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Aboriginal Heritage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_Toc188692178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_Toc188692179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_Toc188692180 \h </w:instrText>
      </w:r>
      <w:r>
        <w:fldChar w:fldCharType="separate"/>
      </w:r>
      <w:r>
        <w:t>2</w:t>
      </w:r>
      <w:r>
        <w:fldChar w:fldCharType="end"/>
      </w:r>
    </w:p>
    <w:p>
      <w:pPr>
        <w:pStyle w:val="TOC2"/>
        <w:tabs>
          <w:tab w:val="right" w:leader="dot" w:pos="7078"/>
        </w:tabs>
        <w:rPr>
          <w:b w:val="0"/>
          <w:sz w:val="24"/>
          <w:szCs w:val="24"/>
        </w:rPr>
      </w:pPr>
      <w:r>
        <w:rPr>
          <w:szCs w:val="30"/>
        </w:rPr>
        <w:t>Part II — Application and traditional use</w:t>
      </w:r>
    </w:p>
    <w:p>
      <w:pPr>
        <w:pStyle w:val="TOC8"/>
        <w:rPr>
          <w:sz w:val="24"/>
          <w:szCs w:val="24"/>
        </w:rPr>
      </w:pPr>
      <w:r>
        <w:rPr>
          <w:szCs w:val="24"/>
        </w:rPr>
        <w:t>5</w:t>
      </w:r>
      <w:r>
        <w:rPr>
          <w:snapToGrid w:val="0"/>
          <w:szCs w:val="24"/>
        </w:rPr>
        <w:t>.</w:t>
      </w:r>
      <w:r>
        <w:rPr>
          <w:snapToGrid w:val="0"/>
          <w:szCs w:val="24"/>
        </w:rPr>
        <w:tab/>
        <w:t>Application to places</w:t>
      </w:r>
      <w:r>
        <w:tab/>
      </w:r>
      <w:r>
        <w:fldChar w:fldCharType="begin"/>
      </w:r>
      <w:r>
        <w:instrText xml:space="preserve"> PAGEREF _Toc188692182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objects</w:t>
      </w:r>
      <w:r>
        <w:tab/>
      </w:r>
      <w:r>
        <w:fldChar w:fldCharType="begin"/>
      </w:r>
      <w:r>
        <w:instrText xml:space="preserve"> PAGEREF _Toc188692183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Traditional use</w:t>
      </w:r>
      <w:r>
        <w:tab/>
      </w:r>
      <w:r>
        <w:fldChar w:fldCharType="begin"/>
      </w:r>
      <w:r>
        <w:instrText xml:space="preserve"> PAGEREF _Toc188692184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Availability for traditional use</w:t>
      </w:r>
      <w:r>
        <w:tab/>
      </w:r>
      <w:r>
        <w:fldChar w:fldCharType="begin"/>
      </w:r>
      <w:r>
        <w:instrText xml:space="preserve"> PAGEREF _Toc188692185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Traditional custodians</w:t>
      </w:r>
      <w:r>
        <w:tab/>
      </w:r>
      <w:r>
        <w:fldChar w:fldCharType="begin"/>
      </w:r>
      <w:r>
        <w:instrText xml:space="preserve"> PAGEREF _Toc188692186 \h </w:instrText>
      </w:r>
      <w:r>
        <w:fldChar w:fldCharType="separate"/>
      </w:r>
      <w:r>
        <w:t>6</w:t>
      </w:r>
      <w:r>
        <w:fldChar w:fldCharType="end"/>
      </w:r>
    </w:p>
    <w:p>
      <w:pPr>
        <w:pStyle w:val="TOC2"/>
        <w:tabs>
          <w:tab w:val="right" w:leader="dot" w:pos="7078"/>
        </w:tabs>
        <w:rPr>
          <w:b w:val="0"/>
          <w:sz w:val="24"/>
          <w:szCs w:val="24"/>
        </w:rPr>
      </w:pPr>
      <w:r>
        <w:rPr>
          <w:szCs w:val="30"/>
        </w:rPr>
        <w:t>Part III — Administration</w:t>
      </w:r>
    </w:p>
    <w:p>
      <w:pPr>
        <w:pStyle w:val="TOC8"/>
        <w:rPr>
          <w:sz w:val="24"/>
          <w:szCs w:val="24"/>
        </w:rPr>
      </w:pPr>
      <w:r>
        <w:rPr>
          <w:szCs w:val="24"/>
        </w:rPr>
        <w:t>10</w:t>
      </w:r>
      <w:r>
        <w:rPr>
          <w:snapToGrid w:val="0"/>
          <w:szCs w:val="24"/>
        </w:rPr>
        <w:t>.</w:t>
      </w:r>
      <w:r>
        <w:rPr>
          <w:snapToGrid w:val="0"/>
          <w:szCs w:val="24"/>
        </w:rPr>
        <w:tab/>
        <w:t>Duty of the Minister</w:t>
      </w:r>
      <w:r>
        <w:tab/>
      </w:r>
      <w:r>
        <w:fldChar w:fldCharType="begin"/>
      </w:r>
      <w:r>
        <w:instrText xml:space="preserve"> PAGEREF _Toc188692188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Minister a body corporate</w:t>
      </w:r>
      <w:r>
        <w:tab/>
      </w:r>
      <w:r>
        <w:fldChar w:fldCharType="begin"/>
      </w:r>
      <w:r>
        <w:instrText xml:space="preserve"> PAGEREF _Toc188692189 \h </w:instrText>
      </w:r>
      <w:r>
        <w:fldChar w:fldCharType="separate"/>
      </w:r>
      <w:r>
        <w:t>7</w:t>
      </w:r>
      <w:r>
        <w:fldChar w:fldCharType="end"/>
      </w:r>
    </w:p>
    <w:p>
      <w:pPr>
        <w:pStyle w:val="TOC8"/>
        <w:rPr>
          <w:sz w:val="24"/>
          <w:szCs w:val="24"/>
        </w:rPr>
      </w:pPr>
      <w:r>
        <w:rPr>
          <w:szCs w:val="24"/>
        </w:rPr>
        <w:t>11A</w:t>
      </w:r>
      <w:r>
        <w:rPr>
          <w:snapToGrid w:val="0"/>
          <w:szCs w:val="24"/>
        </w:rPr>
        <w:t>.</w:t>
      </w:r>
      <w:r>
        <w:rPr>
          <w:snapToGrid w:val="0"/>
          <w:szCs w:val="24"/>
        </w:rPr>
        <w:tab/>
        <w:t>Administration</w:t>
      </w:r>
      <w:r>
        <w:tab/>
      </w:r>
      <w:r>
        <w:fldChar w:fldCharType="begin"/>
      </w:r>
      <w:r>
        <w:instrText xml:space="preserve"> PAGEREF _Toc188692190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Powers of delegation</w:t>
      </w:r>
      <w:r>
        <w:tab/>
      </w:r>
      <w:r>
        <w:fldChar w:fldCharType="begin"/>
      </w:r>
      <w:r>
        <w:instrText xml:space="preserve"> PAGEREF _Toc188692191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Compensation on statutory vesting</w:t>
      </w:r>
      <w:r>
        <w:tab/>
      </w:r>
      <w:r>
        <w:fldChar w:fldCharType="begin"/>
      </w:r>
      <w:r>
        <w:instrText xml:space="preserve"> PAGEREF _Toc188692192 \h </w:instrText>
      </w:r>
      <w:r>
        <w:fldChar w:fldCharType="separate"/>
      </w:r>
      <w:r>
        <w:t>8</w:t>
      </w:r>
      <w:r>
        <w:fldChar w:fldCharType="end"/>
      </w:r>
    </w:p>
    <w:p>
      <w:pPr>
        <w:pStyle w:val="TOC2"/>
        <w:tabs>
          <w:tab w:val="right" w:leader="dot" w:pos="7078"/>
        </w:tabs>
        <w:rPr>
          <w:b w:val="0"/>
          <w:sz w:val="24"/>
          <w:szCs w:val="24"/>
        </w:rPr>
      </w:pPr>
      <w:r>
        <w:rPr>
          <w:szCs w:val="30"/>
        </w:rPr>
        <w:t>Part IV — Protection of Aboriginal sites</w:t>
      </w:r>
    </w:p>
    <w:p>
      <w:pPr>
        <w:pStyle w:val="TOC8"/>
        <w:rPr>
          <w:sz w:val="24"/>
          <w:szCs w:val="24"/>
        </w:rPr>
      </w:pPr>
      <w:r>
        <w:rPr>
          <w:szCs w:val="24"/>
        </w:rPr>
        <w:t>15</w:t>
      </w:r>
      <w:r>
        <w:rPr>
          <w:snapToGrid w:val="0"/>
          <w:szCs w:val="24"/>
        </w:rPr>
        <w:t>.</w:t>
      </w:r>
      <w:r>
        <w:rPr>
          <w:snapToGrid w:val="0"/>
          <w:szCs w:val="24"/>
        </w:rPr>
        <w:tab/>
        <w:t>Report of findings</w:t>
      </w:r>
      <w:r>
        <w:tab/>
      </w:r>
      <w:r>
        <w:fldChar w:fldCharType="begin"/>
      </w:r>
      <w:r>
        <w:instrText xml:space="preserve"> PAGEREF _Toc188692194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Excavation of Aboriginal sites</w:t>
      </w:r>
      <w:r>
        <w:tab/>
      </w:r>
      <w:r>
        <w:fldChar w:fldCharType="begin"/>
      </w:r>
      <w:r>
        <w:instrText xml:space="preserve"> PAGEREF _Toc188692195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Offences relating to Aboriginal sites</w:t>
      </w:r>
      <w:r>
        <w:tab/>
      </w:r>
      <w:r>
        <w:fldChar w:fldCharType="begin"/>
      </w:r>
      <w:r>
        <w:instrText xml:space="preserve"> PAGEREF _Toc188692196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Consent to certain uses</w:t>
      </w:r>
      <w:r>
        <w:tab/>
      </w:r>
      <w:r>
        <w:fldChar w:fldCharType="begin"/>
      </w:r>
      <w:r>
        <w:instrText xml:space="preserve"> PAGEREF _Toc188692197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Protected areas</w:t>
      </w:r>
      <w:r>
        <w:tab/>
      </w:r>
      <w:r>
        <w:fldChar w:fldCharType="begin"/>
      </w:r>
      <w:r>
        <w:instrText xml:space="preserve"> PAGEREF _Toc188692198 \h </w:instrText>
      </w:r>
      <w:r>
        <w:fldChar w:fldCharType="separate"/>
      </w:r>
      <w:r>
        <w:t>12</w:t>
      </w:r>
      <w:r>
        <w:fldChar w:fldCharType="end"/>
      </w:r>
    </w:p>
    <w:p>
      <w:pPr>
        <w:pStyle w:val="TOC8"/>
        <w:rPr>
          <w:sz w:val="24"/>
          <w:szCs w:val="24"/>
        </w:rPr>
      </w:pPr>
      <w:r>
        <w:rPr>
          <w:szCs w:val="24"/>
        </w:rPr>
        <w:lastRenderedPageBreak/>
        <w:t>20</w:t>
      </w:r>
      <w:r>
        <w:rPr>
          <w:snapToGrid w:val="0"/>
          <w:szCs w:val="24"/>
        </w:rPr>
        <w:t>.</w:t>
      </w:r>
      <w:r>
        <w:rPr>
          <w:snapToGrid w:val="0"/>
          <w:szCs w:val="24"/>
        </w:rPr>
        <w:tab/>
        <w:t>Temporarily protected areas</w:t>
      </w:r>
      <w:r>
        <w:tab/>
      </w:r>
      <w:r>
        <w:fldChar w:fldCharType="begin"/>
      </w:r>
      <w:r>
        <w:instrText xml:space="preserve"> PAGEREF _Toc188692199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Objection to declaration</w:t>
      </w:r>
      <w:r>
        <w:tab/>
      </w:r>
      <w:r>
        <w:fldChar w:fldCharType="begin"/>
      </w:r>
      <w:r>
        <w:instrText xml:space="preserve"> PAGEREF _Toc188692200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Compensation and compulsory acquisition</w:t>
      </w:r>
      <w:r>
        <w:tab/>
      </w:r>
      <w:r>
        <w:fldChar w:fldCharType="begin"/>
      </w:r>
      <w:r>
        <w:instrText xml:space="preserve"> PAGEREF _Toc188692201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Marking of protected areas</w:t>
      </w:r>
      <w:r>
        <w:tab/>
      </w:r>
      <w:r>
        <w:fldChar w:fldCharType="begin"/>
      </w:r>
      <w:r>
        <w:instrText xml:space="preserve"> PAGEREF _Toc188692202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Notification of changes, etc.</w:t>
      </w:r>
      <w:r>
        <w:tab/>
      </w:r>
      <w:r>
        <w:fldChar w:fldCharType="begin"/>
      </w:r>
      <w:r>
        <w:instrText xml:space="preserve"> PAGEREF _Toc188692203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Variation of Orders in Council</w:t>
      </w:r>
      <w:r>
        <w:tab/>
      </w:r>
      <w:r>
        <w:fldChar w:fldCharType="begin"/>
      </w:r>
      <w:r>
        <w:instrText xml:space="preserve"> PAGEREF _Toc188692204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Regulations as to protected areas</w:t>
      </w:r>
      <w:r>
        <w:tab/>
      </w:r>
      <w:r>
        <w:fldChar w:fldCharType="begin"/>
      </w:r>
      <w:r>
        <w:instrText xml:space="preserve"> PAGEREF _Toc188692205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Covenants</w:t>
      </w:r>
      <w:r>
        <w:tab/>
      </w:r>
      <w:r>
        <w:fldChar w:fldCharType="begin"/>
      </w:r>
      <w:r>
        <w:instrText xml:space="preserve"> PAGEREF _Toc188692206 \h </w:instrText>
      </w:r>
      <w:r>
        <w:fldChar w:fldCharType="separate"/>
      </w:r>
      <w:r>
        <w:t>17</w:t>
      </w:r>
      <w:r>
        <w:fldChar w:fldCharType="end"/>
      </w:r>
    </w:p>
    <w:p>
      <w:pPr>
        <w:pStyle w:val="TOC2"/>
        <w:tabs>
          <w:tab w:val="right" w:leader="dot" w:pos="7078"/>
        </w:tabs>
        <w:rPr>
          <w:b w:val="0"/>
          <w:sz w:val="24"/>
          <w:szCs w:val="24"/>
        </w:rPr>
      </w:pPr>
      <w:r>
        <w:rPr>
          <w:szCs w:val="30"/>
        </w:rPr>
        <w:t>Part V — Aboriginal Cultural Material Committee</w:t>
      </w:r>
    </w:p>
    <w:p>
      <w:pPr>
        <w:pStyle w:val="TOC8"/>
        <w:rPr>
          <w:sz w:val="24"/>
          <w:szCs w:val="24"/>
        </w:rPr>
      </w:pPr>
      <w:r>
        <w:rPr>
          <w:szCs w:val="24"/>
        </w:rPr>
        <w:t>28</w:t>
      </w:r>
      <w:r>
        <w:rPr>
          <w:snapToGrid w:val="0"/>
          <w:szCs w:val="24"/>
        </w:rPr>
        <w:t>.</w:t>
      </w:r>
      <w:r>
        <w:rPr>
          <w:snapToGrid w:val="0"/>
          <w:szCs w:val="24"/>
        </w:rPr>
        <w:tab/>
        <w:t>Aboriginal Cultural Material Committee</w:t>
      </w:r>
      <w:r>
        <w:tab/>
      </w:r>
      <w:r>
        <w:fldChar w:fldCharType="begin"/>
      </w:r>
      <w:r>
        <w:instrText xml:space="preserve"> PAGEREF _Toc188692208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Ex</w:t>
      </w:r>
      <w:r>
        <w:rPr>
          <w:snapToGrid w:val="0"/>
          <w:szCs w:val="24"/>
        </w:rPr>
        <w:noBreakHyphen/>
        <w:t>officio members</w:t>
      </w:r>
      <w:r>
        <w:tab/>
      </w:r>
      <w:r>
        <w:fldChar w:fldCharType="begin"/>
      </w:r>
      <w:r>
        <w:instrText xml:space="preserve"> PAGEREF _Toc188692209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Resignation, disqualification and co</w:t>
      </w:r>
      <w:r>
        <w:rPr>
          <w:snapToGrid w:val="0"/>
          <w:szCs w:val="24"/>
        </w:rPr>
        <w:noBreakHyphen/>
        <w:t>option</w:t>
      </w:r>
      <w:r>
        <w:tab/>
      </w:r>
      <w:r>
        <w:fldChar w:fldCharType="begin"/>
      </w:r>
      <w:r>
        <w:instrText xml:space="preserve"> PAGEREF _Toc188692210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Deputies</w:t>
      </w:r>
      <w:r>
        <w:tab/>
      </w:r>
      <w:r>
        <w:fldChar w:fldCharType="begin"/>
      </w:r>
      <w:r>
        <w:instrText xml:space="preserve"> PAGEREF _Toc188692211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Quorum and meetings</w:t>
      </w:r>
      <w:r>
        <w:tab/>
      </w:r>
      <w:r>
        <w:fldChar w:fldCharType="begin"/>
      </w:r>
      <w:r>
        <w:instrText xml:space="preserve"> PAGEREF _Toc188692212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Records and validity of proceedings</w:t>
      </w:r>
      <w:r>
        <w:tab/>
      </w:r>
      <w:r>
        <w:fldChar w:fldCharType="begin"/>
      </w:r>
      <w:r>
        <w:instrText xml:space="preserve"> PAGEREF _Toc188692213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Procedure</w:t>
      </w:r>
      <w:r>
        <w:tab/>
      </w:r>
      <w:r>
        <w:fldChar w:fldCharType="begin"/>
      </w:r>
      <w:r>
        <w:instrText xml:space="preserve"> PAGEREF _Toc188692214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Public Sector Management Act provisions</w:t>
      </w:r>
      <w:r>
        <w:tab/>
      </w:r>
      <w:r>
        <w:fldChar w:fldCharType="begin"/>
      </w:r>
      <w:r>
        <w:instrText xml:space="preserve"> PAGEREF _Toc188692215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Remuneration, etc.</w:t>
      </w:r>
      <w:r>
        <w:tab/>
      </w:r>
      <w:r>
        <w:fldChar w:fldCharType="begin"/>
      </w:r>
      <w:r>
        <w:instrText xml:space="preserve"> PAGEREF _Toc188692216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Registrar of Aboriginal Sites</w:t>
      </w:r>
      <w:r>
        <w:tab/>
      </w:r>
      <w:r>
        <w:fldChar w:fldCharType="begin"/>
      </w:r>
      <w:r>
        <w:instrText xml:space="preserve"> PAGEREF _Toc188692217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Register of places and objects</w:t>
      </w:r>
      <w:r>
        <w:tab/>
      </w:r>
      <w:r>
        <w:fldChar w:fldCharType="begin"/>
      </w:r>
      <w:r>
        <w:instrText xml:space="preserve"> PAGEREF _Toc188692218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Functions of the Committee</w:t>
      </w:r>
      <w:r>
        <w:tab/>
      </w:r>
      <w:r>
        <w:fldChar w:fldCharType="begin"/>
      </w:r>
      <w:r>
        <w:instrText xml:space="preserve"> PAGEREF _Toc188692219 \h </w:instrText>
      </w:r>
      <w:r>
        <w:fldChar w:fldCharType="separate"/>
      </w:r>
      <w:r>
        <w:t>24</w:t>
      </w:r>
      <w:r>
        <w:fldChar w:fldCharType="end"/>
      </w:r>
    </w:p>
    <w:p>
      <w:pPr>
        <w:pStyle w:val="TOC2"/>
        <w:tabs>
          <w:tab w:val="right" w:leader="dot" w:pos="7078"/>
        </w:tabs>
        <w:rPr>
          <w:b w:val="0"/>
          <w:sz w:val="24"/>
          <w:szCs w:val="24"/>
        </w:rPr>
      </w:pPr>
      <w:r>
        <w:rPr>
          <w:szCs w:val="30"/>
        </w:rPr>
        <w:t>Part VI — Protection for Aboriginal objects</w:t>
      </w:r>
    </w:p>
    <w:p>
      <w:pPr>
        <w:pStyle w:val="TOC8"/>
        <w:rPr>
          <w:sz w:val="24"/>
          <w:szCs w:val="24"/>
        </w:rPr>
      </w:pPr>
      <w:r>
        <w:rPr>
          <w:szCs w:val="24"/>
        </w:rPr>
        <w:t>39A</w:t>
      </w:r>
      <w:r>
        <w:rPr>
          <w:snapToGrid w:val="0"/>
          <w:szCs w:val="24"/>
        </w:rPr>
        <w:t>.</w:t>
      </w:r>
      <w:r>
        <w:rPr>
          <w:snapToGrid w:val="0"/>
          <w:szCs w:val="24"/>
        </w:rPr>
        <w:tab/>
        <w:t>Consultation between Minister and Trustees concerning administration of Part VI</w:t>
      </w:r>
      <w:r>
        <w:tab/>
      </w:r>
      <w:r>
        <w:fldChar w:fldCharType="begin"/>
      </w:r>
      <w:r>
        <w:instrText xml:space="preserve"> PAGEREF _Toc188692221 \h </w:instrText>
      </w:r>
      <w:r>
        <w:fldChar w:fldCharType="separate"/>
      </w:r>
      <w:r>
        <w:t>26</w:t>
      </w:r>
      <w:r>
        <w:fldChar w:fldCharType="end"/>
      </w:r>
    </w:p>
    <w:p>
      <w:pPr>
        <w:pStyle w:val="TOC8"/>
        <w:rPr>
          <w:sz w:val="24"/>
          <w:szCs w:val="24"/>
        </w:rPr>
      </w:pPr>
      <w:r>
        <w:rPr>
          <w:szCs w:val="24"/>
        </w:rPr>
        <w:t>39B</w:t>
      </w:r>
      <w:r>
        <w:rPr>
          <w:snapToGrid w:val="0"/>
          <w:szCs w:val="24"/>
        </w:rPr>
        <w:t>.</w:t>
      </w:r>
      <w:r>
        <w:rPr>
          <w:snapToGrid w:val="0"/>
          <w:szCs w:val="24"/>
        </w:rPr>
        <w:tab/>
        <w:t>Minister may delegate to Trustees under Part VI</w:t>
      </w:r>
      <w:r>
        <w:tab/>
      </w:r>
      <w:r>
        <w:fldChar w:fldCharType="begin"/>
      </w:r>
      <w:r>
        <w:instrText xml:space="preserve"> PAGEREF _Toc188692222 \h </w:instrText>
      </w:r>
      <w:r>
        <w:fldChar w:fldCharType="separate"/>
      </w:r>
      <w:r>
        <w:t>26</w:t>
      </w:r>
      <w:r>
        <w:fldChar w:fldCharType="end"/>
      </w:r>
    </w:p>
    <w:p>
      <w:pPr>
        <w:pStyle w:val="TOC8"/>
        <w:rPr>
          <w:sz w:val="24"/>
          <w:szCs w:val="24"/>
        </w:rPr>
      </w:pPr>
      <w:r>
        <w:rPr>
          <w:szCs w:val="24"/>
        </w:rPr>
        <w:t>39C</w:t>
      </w:r>
      <w:r>
        <w:rPr>
          <w:snapToGrid w:val="0"/>
          <w:szCs w:val="24"/>
        </w:rPr>
        <w:t>.</w:t>
      </w:r>
      <w:r>
        <w:rPr>
          <w:snapToGrid w:val="0"/>
          <w:szCs w:val="24"/>
        </w:rPr>
        <w:tab/>
        <w:t>Registrar may act on Minister’s behalf</w:t>
      </w:r>
      <w:r>
        <w:tab/>
      </w:r>
      <w:r>
        <w:fldChar w:fldCharType="begin"/>
      </w:r>
      <w:r>
        <w:instrText xml:space="preserve"> PAGEREF _Toc188692223 \h </w:instrText>
      </w:r>
      <w:r>
        <w:fldChar w:fldCharType="separate"/>
      </w:r>
      <w:r>
        <w:t>26</w:t>
      </w:r>
      <w:r>
        <w:fldChar w:fldCharType="end"/>
      </w:r>
    </w:p>
    <w:p>
      <w:pPr>
        <w:pStyle w:val="TOC8"/>
        <w:rPr>
          <w:sz w:val="24"/>
          <w:szCs w:val="24"/>
        </w:rPr>
      </w:pPr>
      <w:r>
        <w:rPr>
          <w:szCs w:val="24"/>
        </w:rPr>
        <w:t>39D</w:t>
      </w:r>
      <w:r>
        <w:rPr>
          <w:snapToGrid w:val="0"/>
          <w:szCs w:val="24"/>
        </w:rPr>
        <w:t>.</w:t>
      </w:r>
      <w:r>
        <w:rPr>
          <w:snapToGrid w:val="0"/>
          <w:szCs w:val="24"/>
        </w:rPr>
        <w:tab/>
        <w:t>Minister to consult with Committee</w:t>
      </w:r>
      <w:r>
        <w:tab/>
      </w:r>
      <w:r>
        <w:fldChar w:fldCharType="begin"/>
      </w:r>
      <w:r>
        <w:instrText xml:space="preserve"> PAGEREF _Toc188692224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Aboriginal cultural material</w:t>
      </w:r>
      <w:r>
        <w:tab/>
      </w:r>
      <w:r>
        <w:fldChar w:fldCharType="begin"/>
      </w:r>
      <w:r>
        <w:instrText xml:space="preserve"> PAGEREF _Toc188692225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Notification and production of objects</w:t>
      </w:r>
      <w:r>
        <w:tab/>
      </w:r>
      <w:r>
        <w:fldChar w:fldCharType="begin"/>
      </w:r>
      <w:r>
        <w:instrText xml:space="preserve"> PAGEREF _Toc188692226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Retention by Minister</w:t>
      </w:r>
      <w:r>
        <w:tab/>
      </w:r>
      <w:r>
        <w:fldChar w:fldCharType="begin"/>
      </w:r>
      <w:r>
        <w:instrText xml:space="preserve"> PAGEREF _Toc188692227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Restrictions on dealing with Aboriginal cultural material</w:t>
      </w:r>
      <w:r>
        <w:tab/>
      </w:r>
      <w:r>
        <w:fldChar w:fldCharType="begin"/>
      </w:r>
      <w:r>
        <w:instrText xml:space="preserve"> PAGEREF _Toc188692228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Prices to be at local rates</w:t>
      </w:r>
      <w:r>
        <w:tab/>
      </w:r>
      <w:r>
        <w:fldChar w:fldCharType="begin"/>
      </w:r>
      <w:r>
        <w:instrText xml:space="preserve"> PAGEREF _Toc188692229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Minister may purchase as agent</w:t>
      </w:r>
      <w:r>
        <w:tab/>
      </w:r>
      <w:r>
        <w:fldChar w:fldCharType="begin"/>
      </w:r>
      <w:r>
        <w:instrText xml:space="preserve"> PAGEREF _Toc188692230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Vesting of objects and inquiries into origin</w:t>
      </w:r>
      <w:r>
        <w:tab/>
      </w:r>
      <w:r>
        <w:fldChar w:fldCharType="begin"/>
      </w:r>
      <w:r>
        <w:instrText xml:space="preserve"> PAGEREF _Toc188692231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Compulsory acquisition of objects</w:t>
      </w:r>
      <w:r>
        <w:tab/>
      </w:r>
      <w:r>
        <w:fldChar w:fldCharType="begin"/>
      </w:r>
      <w:r>
        <w:instrText xml:space="preserve"> PAGEREF _Toc188692232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Restriction on exhibition of objects</w:t>
      </w:r>
      <w:r>
        <w:tab/>
      </w:r>
      <w:r>
        <w:fldChar w:fldCharType="begin"/>
      </w:r>
      <w:r>
        <w:instrText xml:space="preserve"> PAGEREF _Toc188692233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Prohibition on publication</w:t>
      </w:r>
      <w:r>
        <w:tab/>
      </w:r>
      <w:r>
        <w:fldChar w:fldCharType="begin"/>
      </w:r>
      <w:r>
        <w:instrText xml:space="preserve"> PAGEREF _Toc188692234 \h </w:instrText>
      </w:r>
      <w:r>
        <w:fldChar w:fldCharType="separate"/>
      </w:r>
      <w:r>
        <w:t>33</w:t>
      </w:r>
      <w:r>
        <w:fldChar w:fldCharType="end"/>
      </w:r>
    </w:p>
    <w:p>
      <w:pPr>
        <w:pStyle w:val="TOC2"/>
        <w:tabs>
          <w:tab w:val="right" w:leader="dot" w:pos="7078"/>
        </w:tabs>
        <w:rPr>
          <w:b w:val="0"/>
          <w:sz w:val="24"/>
          <w:szCs w:val="24"/>
        </w:rPr>
      </w:pPr>
      <w:r>
        <w:rPr>
          <w:szCs w:val="30"/>
        </w:rPr>
        <w:t>Part VII — Enforcement</w:t>
      </w:r>
    </w:p>
    <w:p>
      <w:pPr>
        <w:pStyle w:val="TOC8"/>
        <w:rPr>
          <w:sz w:val="24"/>
          <w:szCs w:val="24"/>
        </w:rPr>
      </w:pPr>
      <w:r>
        <w:rPr>
          <w:szCs w:val="24"/>
        </w:rPr>
        <w:t>50</w:t>
      </w:r>
      <w:r>
        <w:rPr>
          <w:snapToGrid w:val="0"/>
          <w:szCs w:val="24"/>
        </w:rPr>
        <w:t>.</w:t>
      </w:r>
      <w:r>
        <w:rPr>
          <w:snapToGrid w:val="0"/>
          <w:szCs w:val="24"/>
        </w:rPr>
        <w:tab/>
        <w:t>Honorary wardens</w:t>
      </w:r>
      <w:r>
        <w:tab/>
      </w:r>
      <w:r>
        <w:fldChar w:fldCharType="begin"/>
      </w:r>
      <w:r>
        <w:instrText xml:space="preserve"> PAGEREF _Toc188692236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Powers of inspection</w:t>
      </w:r>
      <w:r>
        <w:tab/>
      </w:r>
      <w:r>
        <w:fldChar w:fldCharType="begin"/>
      </w:r>
      <w:r>
        <w:instrText xml:space="preserve"> PAGEREF _Toc188692237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of officers to represent the Minister</w:t>
      </w:r>
      <w:r>
        <w:tab/>
      </w:r>
      <w:r>
        <w:fldChar w:fldCharType="begin"/>
      </w:r>
      <w:r>
        <w:instrText xml:space="preserve"> PAGEREF _Toc188692238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Proceedings by the Minister</w:t>
      </w:r>
      <w:r>
        <w:tab/>
      </w:r>
      <w:r>
        <w:fldChar w:fldCharType="begin"/>
      </w:r>
      <w:r>
        <w:instrText xml:space="preserve"> PAGEREF _Toc188692239 \h </w:instrText>
      </w:r>
      <w:r>
        <w:fldChar w:fldCharType="separate"/>
      </w:r>
      <w:r>
        <w:t>35</w:t>
      </w:r>
      <w:r>
        <w:fldChar w:fldCharType="end"/>
      </w:r>
    </w:p>
    <w:p>
      <w:pPr>
        <w:pStyle w:val="TOC8"/>
        <w:rPr>
          <w:sz w:val="24"/>
          <w:szCs w:val="24"/>
        </w:rPr>
      </w:pPr>
      <w:r>
        <w:rPr>
          <w:szCs w:val="24"/>
        </w:rPr>
        <w:t>54</w:t>
      </w:r>
      <w:r>
        <w:rPr>
          <w:snapToGrid w:val="0"/>
          <w:szCs w:val="24"/>
        </w:rPr>
        <w:t>.</w:t>
      </w:r>
      <w:r>
        <w:rPr>
          <w:snapToGrid w:val="0"/>
          <w:szCs w:val="24"/>
        </w:rPr>
        <w:tab/>
        <w:t>Persons obstructing execution of this Act</w:t>
      </w:r>
      <w:r>
        <w:tab/>
      </w:r>
      <w:r>
        <w:fldChar w:fldCharType="begin"/>
      </w:r>
      <w:r>
        <w:instrText xml:space="preserve"> PAGEREF _Toc188692240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Breach of conditions</w:t>
      </w:r>
      <w:r>
        <w:tab/>
      </w:r>
      <w:r>
        <w:fldChar w:fldCharType="begin"/>
      </w:r>
      <w:r>
        <w:instrText xml:space="preserve"> PAGEREF _Toc188692241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_Toc188692242 \h </w:instrText>
      </w:r>
      <w:r>
        <w:fldChar w:fldCharType="separate"/>
      </w:r>
      <w:r>
        <w:t>36</w:t>
      </w:r>
      <w:r>
        <w:fldChar w:fldCharType="end"/>
      </w:r>
    </w:p>
    <w:p>
      <w:pPr>
        <w:pStyle w:val="TOC8"/>
        <w:rPr>
          <w:sz w:val="24"/>
          <w:szCs w:val="24"/>
        </w:rPr>
      </w:pPr>
      <w:r>
        <w:rPr>
          <w:szCs w:val="24"/>
        </w:rPr>
        <w:t>57</w:t>
      </w:r>
      <w:r>
        <w:rPr>
          <w:snapToGrid w:val="0"/>
          <w:szCs w:val="24"/>
        </w:rPr>
        <w:t>.</w:t>
      </w:r>
      <w:r>
        <w:rPr>
          <w:snapToGrid w:val="0"/>
          <w:szCs w:val="24"/>
        </w:rPr>
        <w:tab/>
        <w:t>Penalties</w:t>
      </w:r>
      <w:r>
        <w:tab/>
      </w:r>
      <w:r>
        <w:fldChar w:fldCharType="begin"/>
      </w:r>
      <w:r>
        <w:instrText xml:space="preserve"> PAGEREF _Toc188692243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Forfeiture</w:t>
      </w:r>
      <w:r>
        <w:tab/>
      </w:r>
      <w:r>
        <w:fldChar w:fldCharType="begin"/>
      </w:r>
      <w:r>
        <w:instrText xml:space="preserve"> PAGEREF _Toc188692244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Evidence</w:t>
      </w:r>
      <w:r>
        <w:tab/>
      </w:r>
      <w:r>
        <w:fldChar w:fldCharType="begin"/>
      </w:r>
      <w:r>
        <w:instrText xml:space="preserve"> PAGEREF _Toc188692245 \h </w:instrText>
      </w:r>
      <w:r>
        <w:fldChar w:fldCharType="separate"/>
      </w:r>
      <w:r>
        <w:t>38</w:t>
      </w:r>
      <w:r>
        <w:fldChar w:fldCharType="end"/>
      </w:r>
    </w:p>
    <w:p>
      <w:pPr>
        <w:pStyle w:val="TOC8"/>
        <w:rPr>
          <w:sz w:val="24"/>
          <w:szCs w:val="24"/>
        </w:rPr>
      </w:pPr>
      <w:r>
        <w:rPr>
          <w:szCs w:val="24"/>
        </w:rPr>
        <w:t>61</w:t>
      </w:r>
      <w:r>
        <w:rPr>
          <w:snapToGrid w:val="0"/>
          <w:szCs w:val="24"/>
        </w:rPr>
        <w:t>.</w:t>
      </w:r>
      <w:r>
        <w:rPr>
          <w:snapToGrid w:val="0"/>
          <w:szCs w:val="24"/>
        </w:rPr>
        <w:tab/>
        <w:t>Presumption as to notices</w:t>
      </w:r>
      <w:r>
        <w:tab/>
      </w:r>
      <w:r>
        <w:fldChar w:fldCharType="begin"/>
      </w:r>
      <w:r>
        <w:instrText xml:space="preserve"> PAGEREF _Toc188692246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Special defence of lack of knowledge</w:t>
      </w:r>
      <w:r>
        <w:tab/>
      </w:r>
      <w:r>
        <w:fldChar w:fldCharType="begin"/>
      </w:r>
      <w:r>
        <w:instrText xml:space="preserve"> PAGEREF _Toc188692247 \h </w:instrText>
      </w:r>
      <w:r>
        <w:fldChar w:fldCharType="separate"/>
      </w:r>
      <w:r>
        <w:t>39</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67</w:t>
      </w:r>
      <w:r>
        <w:rPr>
          <w:snapToGrid w:val="0"/>
          <w:szCs w:val="24"/>
        </w:rPr>
        <w:t>.</w:t>
      </w:r>
      <w:r>
        <w:rPr>
          <w:snapToGrid w:val="0"/>
          <w:szCs w:val="24"/>
        </w:rPr>
        <w:tab/>
        <w:t>Indemnity</w:t>
      </w:r>
      <w:r>
        <w:tab/>
      </w:r>
      <w:r>
        <w:fldChar w:fldCharType="begin"/>
      </w:r>
      <w:r>
        <w:instrText xml:space="preserve"> PAGEREF _Toc188692249 \h </w:instrText>
      </w:r>
      <w:r>
        <w:fldChar w:fldCharType="separate"/>
      </w:r>
      <w:r>
        <w:t>40</w:t>
      </w:r>
      <w:r>
        <w:fldChar w:fldCharType="end"/>
      </w:r>
    </w:p>
    <w:p>
      <w:pPr>
        <w:pStyle w:val="TOC8"/>
        <w:rPr>
          <w:sz w:val="24"/>
          <w:szCs w:val="24"/>
        </w:rPr>
      </w:pPr>
      <w:r>
        <w:rPr>
          <w:snapToGrid w:val="0"/>
          <w:szCs w:val="24"/>
        </w:rPr>
        <w:t>68.</w:t>
      </w:r>
      <w:r>
        <w:rPr>
          <w:snapToGrid w:val="0"/>
          <w:szCs w:val="24"/>
        </w:rPr>
        <w:tab/>
        <w:t>Regulations</w:t>
      </w:r>
      <w:r>
        <w:tab/>
      </w:r>
      <w:r>
        <w:fldChar w:fldCharType="begin"/>
      </w:r>
      <w:r>
        <w:instrText xml:space="preserve"> PAGEREF _Toc188692250 \h </w:instrText>
      </w:r>
      <w:r>
        <w:fldChar w:fldCharType="separate"/>
      </w:r>
      <w:r>
        <w:t>40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_Toc188692252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_Toc188692253 \h </w:instrText>
      </w:r>
      <w:r>
        <w:fldChar w:fldCharType="separate"/>
      </w:r>
      <w:r>
        <w:t>42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Aboriginal Heritage Act 1972 </w:t>
      </w:r>
    </w:p>
    <w:p>
      <w:pPr>
        <w:pStyle w:val="LongTitle"/>
        <w:rPr>
          <w:snapToGrid w:val="0"/>
        </w:rPr>
      </w:pPr>
      <w:r>
        <w:rPr>
          <w:snapToGrid w:val="0"/>
        </w:rPr>
        <w:t xml:space="preserve">An Act to make provision for the preservation on behalf of the community of places and objects customarily used by or traditional to the original inhabitants of Australia or their descendants, or associated therewith, and for other purposes incidental thereto. </w:t>
      </w:r>
    </w:p>
    <w:p>
      <w:pPr>
        <w:pStyle w:val="Heading2"/>
      </w:pPr>
      <w:bookmarkStart w:id="1" w:name="_Toc72569138"/>
      <w:bookmarkStart w:id="2" w:name="_Toc92437863"/>
      <w:bookmarkStart w:id="3" w:name="_Toc96933070"/>
      <w:bookmarkStart w:id="4" w:name="_Toc102795318"/>
      <w:bookmarkStart w:id="5" w:name="_Toc102795676"/>
      <w:bookmarkStart w:id="6" w:name="_Toc186621500"/>
      <w:bookmarkStart w:id="7" w:name="_Toc186621577"/>
      <w:bookmarkStart w:id="8" w:name="_Toc187048120"/>
      <w:bookmarkStart w:id="9" w:name="_Toc1886921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0806018"/>
      <w:bookmarkStart w:id="11" w:name="_Toc471117188"/>
      <w:bookmarkStart w:id="12" w:name="_Toc51408311"/>
      <w:bookmarkStart w:id="13" w:name="_Toc102795677"/>
      <w:bookmarkStart w:id="14" w:name="_Toc188692178"/>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 xml:space="preserve"> </w:t>
      </w:r>
      <w:r>
        <w:rPr>
          <w:snapToGrid w:val="0"/>
          <w:vertAlign w:val="superscript"/>
        </w:rPr>
        <w:t>1</w:t>
      </w:r>
      <w:r>
        <w:rPr>
          <w:snapToGrid w:val="0"/>
        </w:rPr>
        <w:t>.</w:t>
      </w:r>
    </w:p>
    <w:p>
      <w:pPr>
        <w:pStyle w:val="Heading5"/>
        <w:rPr>
          <w:snapToGrid w:val="0"/>
        </w:rPr>
      </w:pPr>
      <w:bookmarkStart w:id="15" w:name="_Toc410806019"/>
      <w:bookmarkStart w:id="16" w:name="_Toc471117189"/>
      <w:bookmarkStart w:id="17" w:name="_Toc51408312"/>
      <w:bookmarkStart w:id="18" w:name="_Toc102795678"/>
      <w:bookmarkStart w:id="19" w:name="_Toc188692179"/>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24 of 1995 s. 4.] </w:t>
      </w:r>
    </w:p>
    <w:p>
      <w:pPr>
        <w:pStyle w:val="Heading5"/>
        <w:rPr>
          <w:snapToGrid w:val="0"/>
        </w:rPr>
      </w:pPr>
      <w:bookmarkStart w:id="20" w:name="_Toc410806020"/>
      <w:bookmarkStart w:id="21" w:name="_Toc471117190"/>
      <w:bookmarkStart w:id="22" w:name="_Toc51408313"/>
      <w:bookmarkStart w:id="23" w:name="_Toc102795679"/>
      <w:bookmarkStart w:id="24" w:name="_Toc188692180"/>
      <w:r>
        <w:rPr>
          <w:rStyle w:val="CharSectno"/>
        </w:rPr>
        <w:t>4</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Aboriginal cultural material</w:t>
      </w:r>
      <w:r>
        <w:rPr>
          <w:b/>
        </w:rPr>
        <w:t>”</w:t>
      </w:r>
      <w:r>
        <w:t xml:space="preserve"> means an object of Aboriginal origin that has been declared to be so classified under section 40;</w:t>
      </w:r>
    </w:p>
    <w:p>
      <w:pPr>
        <w:pStyle w:val="Defstart"/>
      </w:pPr>
      <w:r>
        <w:rPr>
          <w:b/>
        </w:rPr>
        <w:tab/>
        <w:t>“</w:t>
      </w:r>
      <w:r>
        <w:rPr>
          <w:rStyle w:val="CharDefText"/>
        </w:rPr>
        <w:t>Aboriginal site</w:t>
      </w:r>
      <w:r>
        <w:rPr>
          <w:b/>
        </w:rPr>
        <w:t>”</w:t>
      </w:r>
      <w:r>
        <w:t xml:space="preserve"> means a place to which this Act applies by the operation of section 5;</w:t>
      </w:r>
    </w:p>
    <w:p>
      <w:pPr>
        <w:pStyle w:val="Defstart"/>
      </w:pPr>
      <w:r>
        <w:rPr>
          <w:b/>
        </w:rPr>
        <w:tab/>
        <w:t>“</w:t>
      </w:r>
      <w:r>
        <w:rPr>
          <w:rStyle w:val="CharDefText"/>
        </w:rPr>
        <w:t>Committee</w:t>
      </w:r>
      <w:r>
        <w:rPr>
          <w:b/>
        </w:rPr>
        <w:t>”</w:t>
      </w:r>
      <w:r>
        <w:t xml:space="preserve"> means the Aboriginal Cultural Material Committee established under section 28;</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Director</w:t>
      </w:r>
      <w:r>
        <w:rPr>
          <w:b/>
        </w:rPr>
        <w:t>”</w:t>
      </w:r>
      <w:r>
        <w:t xml:space="preserve"> means the person appointed Director of the Museum under the </w:t>
      </w:r>
      <w:r>
        <w:rPr>
          <w:i/>
        </w:rPr>
        <w:t>Museum Act 1969</w:t>
      </w:r>
      <w:r>
        <w:t>;</w:t>
      </w:r>
    </w:p>
    <w:p>
      <w:pPr>
        <w:pStyle w:val="Defstart"/>
      </w:pPr>
      <w:r>
        <w:rPr>
          <w:b/>
        </w:rPr>
        <w:tab/>
        <w:t>“</w:t>
      </w:r>
      <w:r>
        <w:rPr>
          <w:rStyle w:val="CharDefText"/>
        </w:rPr>
        <w:t>Museum</w:t>
      </w:r>
      <w:r>
        <w:rPr>
          <w:b/>
        </w:rPr>
        <w:t>”</w:t>
      </w:r>
      <w:r>
        <w:t xml:space="preserve"> means the body corporate constituted by that name under the </w:t>
      </w:r>
      <w:r>
        <w:rPr>
          <w:i/>
        </w:rPr>
        <w:t>Museum Act 1969</w:t>
      </w:r>
      <w:r>
        <w:t>;</w:t>
      </w:r>
    </w:p>
    <w:p>
      <w:pPr>
        <w:pStyle w:val="Defstart"/>
      </w:pPr>
      <w:r>
        <w:rPr>
          <w:b/>
        </w:rPr>
        <w:tab/>
        <w:t>“</w:t>
      </w:r>
      <w:r>
        <w:rPr>
          <w:rStyle w:val="CharDefText"/>
        </w:rPr>
        <w:t>person of Aboriginal descent</w:t>
      </w:r>
      <w:r>
        <w:rPr>
          <w:b/>
        </w:rPr>
        <w:t>”</w:t>
      </w:r>
      <w:r>
        <w:t xml:space="preserve"> means any person wholly or partly descended from the original inhabitants of Australia;</w:t>
      </w:r>
    </w:p>
    <w:p>
      <w:pPr>
        <w:pStyle w:val="Defstart"/>
      </w:pPr>
      <w:r>
        <w:rPr>
          <w:b/>
        </w:rPr>
        <w:tab/>
        <w:t>“</w:t>
      </w:r>
      <w:r>
        <w:rPr>
          <w:rStyle w:val="CharDefText"/>
        </w:rPr>
        <w:t>proceedings under this Act</w:t>
      </w:r>
      <w:r>
        <w:rPr>
          <w:b/>
          <w:bCs/>
        </w:rPr>
        <w:t>”</w:t>
      </w:r>
      <w:r>
        <w:t xml:space="preserve"> includes a proceeding commenced under this Act before the State Administrative Tribunal;</w:t>
      </w:r>
    </w:p>
    <w:p>
      <w:pPr>
        <w:pStyle w:val="Defstart"/>
      </w:pPr>
      <w:r>
        <w:rPr>
          <w:b/>
        </w:rPr>
        <w:tab/>
        <w:t>“</w:t>
      </w:r>
      <w:r>
        <w:rPr>
          <w:rStyle w:val="CharDefText"/>
        </w:rPr>
        <w:t>protected area</w:t>
      </w:r>
      <w:r>
        <w:rPr>
          <w:b/>
        </w:rPr>
        <w:t>”</w:t>
      </w:r>
      <w:r>
        <w:t xml:space="preserve"> means an area that has been declared to be such under section 19, and includes a temporarily protected area;</w:t>
      </w:r>
    </w:p>
    <w:p>
      <w:pPr>
        <w:pStyle w:val="Defstart"/>
      </w:pPr>
      <w:r>
        <w:rPr>
          <w:b/>
        </w:rPr>
        <w:tab/>
        <w:t>“</w:t>
      </w:r>
      <w:r>
        <w:rPr>
          <w:rStyle w:val="CharDefText"/>
        </w:rPr>
        <w:t>Registrar</w:t>
      </w:r>
      <w:r>
        <w:rPr>
          <w:b/>
        </w:rPr>
        <w:t>”</w:t>
      </w:r>
      <w:r>
        <w:t xml:space="preserve"> means the person appointed Registrar of Aboriginal Sites under section 37(1);</w:t>
      </w:r>
    </w:p>
    <w:p>
      <w:pPr>
        <w:pStyle w:val="Defstart"/>
      </w:pPr>
      <w:r>
        <w:rPr>
          <w:b/>
        </w:rPr>
        <w:tab/>
        <w:t>“</w:t>
      </w:r>
      <w:r>
        <w:rPr>
          <w:rStyle w:val="CharDefText"/>
        </w:rPr>
        <w:t>temporarily protected area</w:t>
      </w:r>
      <w:r>
        <w:rPr>
          <w:b/>
        </w:rPr>
        <w:t>”</w:t>
      </w:r>
      <w:r>
        <w:t xml:space="preserve"> means an area that has been declared to be such under section 20 and in respect of which the Order continues to have effect;</w:t>
      </w:r>
    </w:p>
    <w:p>
      <w:pPr>
        <w:pStyle w:val="Defstart"/>
      </w:pPr>
      <w:r>
        <w:rPr>
          <w:b/>
        </w:rPr>
        <w:tab/>
        <w:t>“</w:t>
      </w:r>
      <w:r>
        <w:rPr>
          <w:rStyle w:val="CharDefText"/>
        </w:rPr>
        <w:t>the Trustees</w:t>
      </w:r>
      <w:r>
        <w:rPr>
          <w:b/>
        </w:rPr>
        <w:t>”</w:t>
      </w:r>
      <w:r>
        <w:t xml:space="preserve"> means the Trustees of the Museum appointed under the </w:t>
      </w:r>
      <w:r>
        <w:rPr>
          <w:i/>
        </w:rPr>
        <w:t>Museum Act 1969</w:t>
      </w:r>
      <w:r>
        <w:t>;</w:t>
      </w:r>
    </w:p>
    <w:p>
      <w:pPr>
        <w:pStyle w:val="Defstart"/>
      </w:pPr>
      <w:r>
        <w:rPr>
          <w:b/>
        </w:rPr>
        <w:tab/>
        <w:t>“</w:t>
      </w:r>
      <w:r>
        <w:rPr>
          <w:rStyle w:val="CharDefText"/>
        </w:rPr>
        <w:t>traditional custodian</w:t>
      </w:r>
      <w:r>
        <w:rPr>
          <w:b/>
        </w:rPr>
        <w:t>”</w:t>
      </w:r>
      <w:r>
        <w:t xml:space="preserve"> in relation to any place or object means a person named by the Minister in consultation with the Committee in relation thereto under section 9.</w:t>
      </w:r>
    </w:p>
    <w:p>
      <w:pPr>
        <w:pStyle w:val="Footnotesection"/>
      </w:pPr>
      <w:r>
        <w:tab/>
        <w:t xml:space="preserve">[Section 4 amended by No. 24 of 1995 s. 5. No. 55 of 2004 s. 4.] </w:t>
      </w:r>
    </w:p>
    <w:p>
      <w:pPr>
        <w:pStyle w:val="Heading2"/>
      </w:pPr>
      <w:bookmarkStart w:id="25" w:name="_Toc72569142"/>
      <w:bookmarkStart w:id="26" w:name="_Toc92437867"/>
      <w:bookmarkStart w:id="27" w:name="_Toc96933074"/>
      <w:bookmarkStart w:id="28" w:name="_Toc102795322"/>
      <w:bookmarkStart w:id="29" w:name="_Toc102795680"/>
      <w:bookmarkStart w:id="30" w:name="_Toc186621504"/>
      <w:bookmarkStart w:id="31" w:name="_Toc186621581"/>
      <w:bookmarkStart w:id="32" w:name="_Toc187048124"/>
      <w:bookmarkStart w:id="33" w:name="_Toc188692181"/>
      <w:r>
        <w:rPr>
          <w:rStyle w:val="CharPartNo"/>
        </w:rPr>
        <w:t>Part II</w:t>
      </w:r>
      <w:r>
        <w:rPr>
          <w:rStyle w:val="CharDivNo"/>
        </w:rPr>
        <w:t> </w:t>
      </w:r>
      <w:r>
        <w:t>—</w:t>
      </w:r>
      <w:r>
        <w:rPr>
          <w:rStyle w:val="CharDivText"/>
        </w:rPr>
        <w:t> </w:t>
      </w:r>
      <w:r>
        <w:rPr>
          <w:rStyle w:val="CharPartText"/>
        </w:rPr>
        <w:t>Application and traditional use</w:t>
      </w:r>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10806021"/>
      <w:bookmarkStart w:id="35" w:name="_Toc471117191"/>
      <w:bookmarkStart w:id="36" w:name="_Toc51408314"/>
      <w:bookmarkStart w:id="37" w:name="_Toc102795681"/>
      <w:bookmarkStart w:id="38" w:name="_Toc188692182"/>
      <w:r>
        <w:rPr>
          <w:rStyle w:val="CharSectno"/>
        </w:rPr>
        <w:t>5</w:t>
      </w:r>
      <w:r>
        <w:rPr>
          <w:snapToGrid w:val="0"/>
        </w:rPr>
        <w:t>.</w:t>
      </w:r>
      <w:r>
        <w:rPr>
          <w:snapToGrid w:val="0"/>
        </w:rPr>
        <w:tab/>
        <w:t>Application to places</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applies to —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 xml:space="preserve">[Section 5 inserted by No. 8 of 1980 s. 2; amended by No. 24 of 1995 s. 6.] </w:t>
      </w:r>
    </w:p>
    <w:p>
      <w:pPr>
        <w:pStyle w:val="Heading5"/>
        <w:rPr>
          <w:snapToGrid w:val="0"/>
        </w:rPr>
      </w:pPr>
      <w:bookmarkStart w:id="39" w:name="_Toc410806022"/>
      <w:bookmarkStart w:id="40" w:name="_Toc471117192"/>
      <w:bookmarkStart w:id="41" w:name="_Toc51408315"/>
      <w:bookmarkStart w:id="42" w:name="_Toc102795682"/>
      <w:bookmarkStart w:id="43" w:name="_Toc188692183"/>
      <w:r>
        <w:rPr>
          <w:rStyle w:val="CharSectno"/>
        </w:rPr>
        <w:t>6</w:t>
      </w:r>
      <w:r>
        <w:rPr>
          <w:snapToGrid w:val="0"/>
        </w:rPr>
        <w:t>.</w:t>
      </w:r>
      <w:r>
        <w:rPr>
          <w:snapToGrid w:val="0"/>
        </w:rPr>
        <w:tab/>
        <w:t>Application to objects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Subject to subsection (2a), this Act applies to objects so nearly resembling an object of sacred significance to persons of 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 xml:space="preserve">[Section 6 amended by No. 24 of 1995 s. 7.] </w:t>
      </w:r>
    </w:p>
    <w:p>
      <w:pPr>
        <w:pStyle w:val="Heading5"/>
        <w:rPr>
          <w:snapToGrid w:val="0"/>
        </w:rPr>
      </w:pPr>
      <w:bookmarkStart w:id="44" w:name="_Toc410806023"/>
      <w:bookmarkStart w:id="45" w:name="_Toc471117193"/>
      <w:bookmarkStart w:id="46" w:name="_Toc51408316"/>
      <w:bookmarkStart w:id="47" w:name="_Toc102795683"/>
      <w:bookmarkStart w:id="48" w:name="_Toc188692184"/>
      <w:r>
        <w:rPr>
          <w:rStyle w:val="CharSectno"/>
        </w:rPr>
        <w:t>7</w:t>
      </w:r>
      <w:r>
        <w:rPr>
          <w:snapToGrid w:val="0"/>
        </w:rPr>
        <w:t>.</w:t>
      </w:r>
      <w:r>
        <w:rPr>
          <w:snapToGrid w:val="0"/>
        </w:rPr>
        <w:tab/>
        <w:t>Traditional use</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Nothing in subsection (1) authorises any person, or group of persons, to dispose of or exercise any right or interest, or any purported right or interest, in a manner which is, in the opinion of the Minister, detrimental to the purposes of this Act.</w:t>
      </w:r>
    </w:p>
    <w:p>
      <w:pPr>
        <w:pStyle w:val="Footnotesection"/>
      </w:pPr>
      <w:r>
        <w:tab/>
        <w:t xml:space="preserve">[Section 7 amended by No. 24 of 1995 s. 8.] </w:t>
      </w:r>
    </w:p>
    <w:p>
      <w:pPr>
        <w:pStyle w:val="Heading5"/>
        <w:rPr>
          <w:snapToGrid w:val="0"/>
        </w:rPr>
      </w:pPr>
      <w:bookmarkStart w:id="49" w:name="_Toc410806024"/>
      <w:bookmarkStart w:id="50" w:name="_Toc471117194"/>
      <w:bookmarkStart w:id="51" w:name="_Toc51408317"/>
      <w:bookmarkStart w:id="52" w:name="_Toc102795684"/>
      <w:bookmarkStart w:id="53" w:name="_Toc188692185"/>
      <w:r>
        <w:rPr>
          <w:rStyle w:val="CharSectno"/>
        </w:rPr>
        <w:t>8</w:t>
      </w:r>
      <w:r>
        <w:rPr>
          <w:snapToGrid w:val="0"/>
        </w:rPr>
        <w:t>.</w:t>
      </w:r>
      <w:r>
        <w:rPr>
          <w:snapToGrid w:val="0"/>
        </w:rPr>
        <w:tab/>
        <w:t>Availability for traditional use</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 xml:space="preserve">[Section 8 amended by No. 24 of 1995 s. 9.] </w:t>
      </w:r>
    </w:p>
    <w:p>
      <w:pPr>
        <w:pStyle w:val="Heading5"/>
        <w:rPr>
          <w:snapToGrid w:val="0"/>
        </w:rPr>
      </w:pPr>
      <w:bookmarkStart w:id="54" w:name="_Toc410806025"/>
      <w:bookmarkStart w:id="55" w:name="_Toc471117195"/>
      <w:bookmarkStart w:id="56" w:name="_Toc51408318"/>
      <w:bookmarkStart w:id="57" w:name="_Toc102795685"/>
      <w:bookmarkStart w:id="58" w:name="_Toc188692186"/>
      <w:r>
        <w:rPr>
          <w:rStyle w:val="CharSectno"/>
        </w:rPr>
        <w:t>9</w:t>
      </w:r>
      <w:r>
        <w:rPr>
          <w:snapToGrid w:val="0"/>
        </w:rPr>
        <w:t>.</w:t>
      </w:r>
      <w:r>
        <w:rPr>
          <w:snapToGrid w:val="0"/>
        </w:rPr>
        <w:tab/>
        <w:t>Traditional custodians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 xml:space="preserve">[Section 9 amended by No. 24 of 1995 s. 10.] </w:t>
      </w:r>
    </w:p>
    <w:p>
      <w:pPr>
        <w:pStyle w:val="Heading2"/>
      </w:pPr>
      <w:bookmarkStart w:id="59" w:name="_Toc72569148"/>
      <w:bookmarkStart w:id="60" w:name="_Toc92437873"/>
      <w:bookmarkStart w:id="61" w:name="_Toc96933080"/>
      <w:bookmarkStart w:id="62" w:name="_Toc102795328"/>
      <w:bookmarkStart w:id="63" w:name="_Toc102795686"/>
      <w:bookmarkStart w:id="64" w:name="_Toc186621510"/>
      <w:bookmarkStart w:id="65" w:name="_Toc186621587"/>
      <w:bookmarkStart w:id="66" w:name="_Toc187048130"/>
      <w:bookmarkStart w:id="67" w:name="_Toc188692187"/>
      <w:r>
        <w:rPr>
          <w:rStyle w:val="CharPartNo"/>
        </w:rPr>
        <w:t>Part III</w:t>
      </w:r>
      <w:r>
        <w:rPr>
          <w:rStyle w:val="CharDivNo"/>
        </w:rPr>
        <w:t> </w:t>
      </w:r>
      <w:r>
        <w:t>—</w:t>
      </w:r>
      <w:r>
        <w:rPr>
          <w:rStyle w:val="CharDivText"/>
        </w:rPr>
        <w:t> </w:t>
      </w:r>
      <w:r>
        <w:rPr>
          <w:rStyle w:val="CharPartText"/>
        </w:rPr>
        <w:t>Administration</w:t>
      </w:r>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410806026"/>
      <w:bookmarkStart w:id="69" w:name="_Toc471117196"/>
      <w:bookmarkStart w:id="70" w:name="_Toc51408319"/>
      <w:bookmarkStart w:id="71" w:name="_Toc102795687"/>
      <w:bookmarkStart w:id="72" w:name="_Toc188692188"/>
      <w:r>
        <w:rPr>
          <w:rStyle w:val="CharSectno"/>
        </w:rPr>
        <w:t>10</w:t>
      </w:r>
      <w:r>
        <w:rPr>
          <w:snapToGrid w:val="0"/>
        </w:rPr>
        <w:t>.</w:t>
      </w:r>
      <w:r>
        <w:rPr>
          <w:snapToGrid w:val="0"/>
        </w:rPr>
        <w:tab/>
        <w:t>Duty of the Minister</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 xml:space="preserve">[Section 10 amended by No. 24 of 1995 s. 11.] </w:t>
      </w:r>
    </w:p>
    <w:p>
      <w:pPr>
        <w:pStyle w:val="Heading5"/>
        <w:rPr>
          <w:snapToGrid w:val="0"/>
        </w:rPr>
      </w:pPr>
      <w:bookmarkStart w:id="73" w:name="_Toc410806027"/>
      <w:bookmarkStart w:id="74" w:name="_Toc471117197"/>
      <w:bookmarkStart w:id="75" w:name="_Toc51408320"/>
      <w:bookmarkStart w:id="76" w:name="_Toc102795688"/>
      <w:bookmarkStart w:id="77" w:name="_Toc188692189"/>
      <w:r>
        <w:rPr>
          <w:rStyle w:val="CharSectno"/>
        </w:rPr>
        <w:t>11</w:t>
      </w:r>
      <w:r>
        <w:rPr>
          <w:snapToGrid w:val="0"/>
        </w:rPr>
        <w:t>.</w:t>
      </w:r>
      <w:r>
        <w:rPr>
          <w:snapToGrid w:val="0"/>
        </w:rPr>
        <w:tab/>
        <w:t>Minister a body corporate</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 xml:space="preserve">[Section 11 inserted by No. 24 of 1995 s. 12.] </w:t>
      </w:r>
    </w:p>
    <w:p>
      <w:pPr>
        <w:pStyle w:val="Heading5"/>
        <w:rPr>
          <w:snapToGrid w:val="0"/>
        </w:rPr>
      </w:pPr>
      <w:bookmarkStart w:id="78" w:name="_Toc410806028"/>
      <w:bookmarkStart w:id="79" w:name="_Toc471117198"/>
      <w:bookmarkStart w:id="80" w:name="_Toc51408321"/>
      <w:bookmarkStart w:id="81" w:name="_Toc102795689"/>
      <w:bookmarkStart w:id="82" w:name="_Toc188692190"/>
      <w:r>
        <w:rPr>
          <w:rStyle w:val="CharSectno"/>
        </w:rPr>
        <w:t>11A</w:t>
      </w:r>
      <w:r>
        <w:rPr>
          <w:snapToGrid w:val="0"/>
        </w:rPr>
        <w:t>.</w:t>
      </w:r>
      <w:r>
        <w:rPr>
          <w:snapToGrid w:val="0"/>
        </w:rPr>
        <w:tab/>
        <w:t>Administration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 xml:space="preserve">[Section 11A inserted by No. 24 of 1995 s. 12.] </w:t>
      </w:r>
    </w:p>
    <w:p>
      <w:pPr>
        <w:pStyle w:val="Ednotesection"/>
      </w:pPr>
      <w:r>
        <w:t>[</w:t>
      </w:r>
      <w:r>
        <w:rPr>
          <w:b/>
        </w:rPr>
        <w:t>12.</w:t>
      </w:r>
      <w:r>
        <w:tab/>
      </w:r>
      <w:r>
        <w:tab/>
        <w:t xml:space="preserve">Repealed by No. 24 of 1995 s. 13.] </w:t>
      </w:r>
    </w:p>
    <w:p>
      <w:pPr>
        <w:pStyle w:val="Heading5"/>
        <w:rPr>
          <w:snapToGrid w:val="0"/>
        </w:rPr>
      </w:pPr>
      <w:bookmarkStart w:id="83" w:name="_Toc410806029"/>
      <w:bookmarkStart w:id="84" w:name="_Toc471117199"/>
      <w:bookmarkStart w:id="85" w:name="_Toc51408322"/>
      <w:bookmarkStart w:id="86" w:name="_Toc102795690"/>
      <w:bookmarkStart w:id="87" w:name="_Toc188692191"/>
      <w:r>
        <w:rPr>
          <w:rStyle w:val="CharSectno"/>
        </w:rPr>
        <w:t>13</w:t>
      </w:r>
      <w:r>
        <w:rPr>
          <w:snapToGrid w:val="0"/>
        </w:rPr>
        <w:t>.</w:t>
      </w:r>
      <w:r>
        <w:rPr>
          <w:snapToGrid w:val="0"/>
        </w:rPr>
        <w:tab/>
        <w:t>Powers of delegation</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 xml:space="preserve">[Section 13 inserted by No. 24 of 1995 s. 14.] </w:t>
      </w:r>
    </w:p>
    <w:p>
      <w:pPr>
        <w:pStyle w:val="Heading5"/>
        <w:rPr>
          <w:snapToGrid w:val="0"/>
        </w:rPr>
      </w:pPr>
      <w:bookmarkStart w:id="88" w:name="_Toc410806030"/>
      <w:bookmarkStart w:id="89" w:name="_Toc471117200"/>
      <w:bookmarkStart w:id="90" w:name="_Toc51408323"/>
      <w:bookmarkStart w:id="91" w:name="_Toc102795691"/>
      <w:bookmarkStart w:id="92" w:name="_Toc188692192"/>
      <w:r>
        <w:rPr>
          <w:rStyle w:val="CharSectno"/>
        </w:rPr>
        <w:t>14</w:t>
      </w:r>
      <w:r>
        <w:rPr>
          <w:snapToGrid w:val="0"/>
        </w:rPr>
        <w:t>.</w:t>
      </w:r>
      <w:r>
        <w:rPr>
          <w:snapToGrid w:val="0"/>
        </w:rPr>
        <w:tab/>
        <w:t>Compensation on statutory vesting</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 xml:space="preserve">[Section 14 amended by No. 24 of 1995 s. 15.] </w:t>
      </w:r>
    </w:p>
    <w:p>
      <w:pPr>
        <w:pStyle w:val="Heading2"/>
      </w:pPr>
      <w:bookmarkStart w:id="93" w:name="_Toc72569154"/>
      <w:bookmarkStart w:id="94" w:name="_Toc92437879"/>
      <w:bookmarkStart w:id="95" w:name="_Toc96933086"/>
      <w:bookmarkStart w:id="96" w:name="_Toc102795334"/>
      <w:bookmarkStart w:id="97" w:name="_Toc102795692"/>
      <w:bookmarkStart w:id="98" w:name="_Toc186621516"/>
      <w:bookmarkStart w:id="99" w:name="_Toc186621593"/>
      <w:bookmarkStart w:id="100" w:name="_Toc187048136"/>
      <w:bookmarkStart w:id="101" w:name="_Toc188692193"/>
      <w:r>
        <w:rPr>
          <w:rStyle w:val="CharPartNo"/>
        </w:rPr>
        <w:t>Part IV</w:t>
      </w:r>
      <w:r>
        <w:rPr>
          <w:rStyle w:val="CharDivNo"/>
        </w:rPr>
        <w:t> </w:t>
      </w:r>
      <w:r>
        <w:t>—</w:t>
      </w:r>
      <w:r>
        <w:rPr>
          <w:rStyle w:val="CharDivText"/>
        </w:rPr>
        <w:t> </w:t>
      </w:r>
      <w:r>
        <w:rPr>
          <w:rStyle w:val="CharPartText"/>
        </w:rPr>
        <w:t>Protection of Aboriginal sites</w:t>
      </w:r>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10806031"/>
      <w:bookmarkStart w:id="103" w:name="_Toc471117201"/>
      <w:bookmarkStart w:id="104" w:name="_Toc51408324"/>
      <w:bookmarkStart w:id="105" w:name="_Toc102795693"/>
      <w:bookmarkStart w:id="106" w:name="_Toc188692194"/>
      <w:r>
        <w:rPr>
          <w:rStyle w:val="CharSectno"/>
        </w:rPr>
        <w:t>15</w:t>
      </w:r>
      <w:r>
        <w:rPr>
          <w:snapToGrid w:val="0"/>
        </w:rPr>
        <w:t>.</w:t>
      </w:r>
      <w:r>
        <w:rPr>
          <w:snapToGrid w:val="0"/>
        </w:rPr>
        <w:tab/>
        <w:t>Report of findings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 xml:space="preserve">[Section 15 amended by No. 24 of 1995 s. 16.] </w:t>
      </w:r>
    </w:p>
    <w:p>
      <w:pPr>
        <w:pStyle w:val="Heading5"/>
        <w:rPr>
          <w:snapToGrid w:val="0"/>
        </w:rPr>
      </w:pPr>
      <w:bookmarkStart w:id="107" w:name="_Toc410806032"/>
      <w:bookmarkStart w:id="108" w:name="_Toc471117202"/>
      <w:bookmarkStart w:id="109" w:name="_Toc51408325"/>
      <w:bookmarkStart w:id="110" w:name="_Toc102795694"/>
      <w:bookmarkStart w:id="111" w:name="_Toc188692195"/>
      <w:r>
        <w:rPr>
          <w:rStyle w:val="CharSectno"/>
        </w:rPr>
        <w:t>16</w:t>
      </w:r>
      <w:r>
        <w:rPr>
          <w:snapToGrid w:val="0"/>
        </w:rPr>
        <w:t>.</w:t>
      </w:r>
      <w:r>
        <w:rPr>
          <w:snapToGrid w:val="0"/>
        </w:rPr>
        <w:tab/>
        <w:t>Excavation of Aboriginal sites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 xml:space="preserve">[Section 16 amended by No. 8 of 1980 s. 5; No. 24 of 1995 s. 17.] </w:t>
      </w:r>
    </w:p>
    <w:p>
      <w:pPr>
        <w:pStyle w:val="Heading5"/>
        <w:rPr>
          <w:snapToGrid w:val="0"/>
        </w:rPr>
      </w:pPr>
      <w:bookmarkStart w:id="112" w:name="_Toc410806033"/>
      <w:bookmarkStart w:id="113" w:name="_Toc471117203"/>
      <w:bookmarkStart w:id="114" w:name="_Toc51408326"/>
      <w:bookmarkStart w:id="115" w:name="_Toc102795695"/>
      <w:bookmarkStart w:id="116" w:name="_Toc188692196"/>
      <w:r>
        <w:rPr>
          <w:rStyle w:val="CharSectno"/>
        </w:rPr>
        <w:t>17</w:t>
      </w:r>
      <w:r>
        <w:rPr>
          <w:snapToGrid w:val="0"/>
        </w:rPr>
        <w:t>.</w:t>
      </w:r>
      <w:r>
        <w:rPr>
          <w:snapToGrid w:val="0"/>
        </w:rPr>
        <w:tab/>
        <w:t>Offences relating to Aboriginal sites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tab/>
      </w:r>
      <w:r>
        <w:rPr>
          <w:snapToGrid w:val="0"/>
        </w:rPr>
        <w:tab/>
        <w:t>commits an offence unless he is acting with the authorisation of the Registrar under section 16 or the consent of the Minister under section 18.</w:t>
      </w:r>
    </w:p>
    <w:p>
      <w:pPr>
        <w:pStyle w:val="Footnotesection"/>
      </w:pPr>
      <w:r>
        <w:tab/>
        <w:t xml:space="preserve">[Section 17 inserted by No. 8 of 1980 s. 6; amended by No. 24 of 1995 s. 18.] </w:t>
      </w:r>
    </w:p>
    <w:p>
      <w:pPr>
        <w:pStyle w:val="Heading5"/>
        <w:rPr>
          <w:snapToGrid w:val="0"/>
        </w:rPr>
      </w:pPr>
      <w:bookmarkStart w:id="117" w:name="_Toc410806034"/>
      <w:bookmarkStart w:id="118" w:name="_Toc471117204"/>
      <w:bookmarkStart w:id="119" w:name="_Toc51408327"/>
      <w:bookmarkStart w:id="120" w:name="_Toc102795696"/>
      <w:bookmarkStart w:id="121" w:name="_Toc188692197"/>
      <w:r>
        <w:rPr>
          <w:rStyle w:val="CharSectno"/>
        </w:rPr>
        <w:t>18</w:t>
      </w:r>
      <w:r>
        <w:rPr>
          <w:snapToGrid w:val="0"/>
        </w:rPr>
        <w:t>.</w:t>
      </w:r>
      <w:r>
        <w:rPr>
          <w:snapToGrid w:val="0"/>
        </w:rPr>
        <w:tab/>
        <w:t>Consent to certain uses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For the purposes of this section, the expression </w:t>
      </w:r>
      <w:r>
        <w:rPr>
          <w:b/>
          <w:snapToGrid w:val="0"/>
        </w:rPr>
        <w:t>“</w:t>
      </w:r>
      <w:r>
        <w:rPr>
          <w:rStyle w:val="CharDefText"/>
        </w:rPr>
        <w:t>the owner of any land</w:t>
      </w:r>
      <w:r>
        <w:rPr>
          <w:b/>
          <w:snapToGrid w:val="0"/>
        </w:rPr>
        <w:t>”</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w:t>
      </w:r>
    </w:p>
    <w:p>
      <w:pPr>
        <w:pStyle w:val="Subsection"/>
        <w:rPr>
          <w:snapToGrid w:val="0"/>
        </w:rPr>
      </w:pPr>
      <w:r>
        <w:rPr>
          <w:snapToGrid w:val="0"/>
        </w:rPr>
        <w:tab/>
        <w:t>(2)</w:t>
      </w:r>
      <w:r>
        <w:rPr>
          <w:snapToGrid w:val="0"/>
        </w:rPr>
        <w:tab/>
        <w:t>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Ednotesubsection"/>
      </w:pPr>
      <w:r>
        <w:tab/>
        <w:t>[(6)</w:t>
      </w:r>
      <w:r>
        <w:tab/>
        <w:t>repealed]</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by No. 8 of 1980 s. 6; amended by No. 24 of 1995 s. 19 </w:t>
      </w:r>
      <w:r>
        <w:rPr>
          <w:vertAlign w:val="superscript"/>
        </w:rPr>
        <w:t>2</w:t>
      </w:r>
      <w:r>
        <w:t xml:space="preserve">; No. 58 of 1999 s. 39; No. 55 of 2004 s. 5; No. 35 of 2007 s. 89.] </w:t>
      </w:r>
    </w:p>
    <w:p>
      <w:pPr>
        <w:pStyle w:val="Heading5"/>
        <w:rPr>
          <w:snapToGrid w:val="0"/>
        </w:rPr>
      </w:pPr>
      <w:bookmarkStart w:id="122" w:name="_Toc410806035"/>
      <w:bookmarkStart w:id="123" w:name="_Toc471117205"/>
      <w:bookmarkStart w:id="124" w:name="_Toc51408328"/>
      <w:bookmarkStart w:id="125" w:name="_Toc102795697"/>
      <w:bookmarkStart w:id="126" w:name="_Toc188692198"/>
      <w:r>
        <w:rPr>
          <w:rStyle w:val="CharSectno"/>
        </w:rPr>
        <w:t>19</w:t>
      </w:r>
      <w:r>
        <w:rPr>
          <w:snapToGrid w:val="0"/>
        </w:rPr>
        <w:t>.</w:t>
      </w:r>
      <w:r>
        <w:rPr>
          <w:snapToGrid w:val="0"/>
        </w:rPr>
        <w:tab/>
        <w:t>Protected areas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If upon considering the representations, the report of the Committee, and any further information that the Minister may require the complainant or the Committee to provide, it appears to the Minister that it is in the general interest of the community 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 xml:space="preserve">[Section 19 inserted by No. 8 of 1980 s. 6; amended by No. 24 of 1995 s. 20.] </w:t>
      </w:r>
    </w:p>
    <w:p>
      <w:pPr>
        <w:pStyle w:val="Heading5"/>
        <w:rPr>
          <w:snapToGrid w:val="0"/>
        </w:rPr>
      </w:pPr>
      <w:bookmarkStart w:id="127" w:name="_Toc410806036"/>
      <w:bookmarkStart w:id="128" w:name="_Toc471117206"/>
      <w:bookmarkStart w:id="129" w:name="_Toc51408329"/>
      <w:bookmarkStart w:id="130" w:name="_Toc102795698"/>
      <w:bookmarkStart w:id="131" w:name="_Toc188692199"/>
      <w:r>
        <w:rPr>
          <w:rStyle w:val="CharSectno"/>
        </w:rPr>
        <w:t>20</w:t>
      </w:r>
      <w:r>
        <w:rPr>
          <w:snapToGrid w:val="0"/>
        </w:rPr>
        <w:t>.</w:t>
      </w:r>
      <w:r>
        <w:rPr>
          <w:snapToGrid w:val="0"/>
        </w:rPr>
        <w:tab/>
        <w:t>Temporarily protected areas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that an Order made under subsection (1) shall continue to have effect for such period as is therein specified.</w:t>
      </w:r>
    </w:p>
    <w:p>
      <w:pPr>
        <w:pStyle w:val="Footnotesection"/>
      </w:pPr>
      <w:r>
        <w:tab/>
        <w:t xml:space="preserve">[Section 20 amended by No. 24 of 1995 s. 21.] </w:t>
      </w:r>
    </w:p>
    <w:p>
      <w:pPr>
        <w:pStyle w:val="Heading5"/>
        <w:rPr>
          <w:snapToGrid w:val="0"/>
        </w:rPr>
      </w:pPr>
      <w:bookmarkStart w:id="132" w:name="_Toc410806037"/>
      <w:bookmarkStart w:id="133" w:name="_Toc471117207"/>
      <w:bookmarkStart w:id="134" w:name="_Toc51408330"/>
      <w:bookmarkStart w:id="135" w:name="_Toc102795699"/>
      <w:bookmarkStart w:id="136" w:name="_Toc188692200"/>
      <w:r>
        <w:rPr>
          <w:rStyle w:val="CharSectno"/>
        </w:rPr>
        <w:t>21</w:t>
      </w:r>
      <w:r>
        <w:rPr>
          <w:snapToGrid w:val="0"/>
        </w:rPr>
        <w:t>.</w:t>
      </w:r>
      <w:r>
        <w:rPr>
          <w:snapToGrid w:val="0"/>
        </w:rPr>
        <w:tab/>
        <w:t>Objection to declaration</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 xml:space="preserve">[Section 21 inserted by No. 8 of 1980 s. 7; amended by No. 24 of 1995 s. 22.] </w:t>
      </w:r>
    </w:p>
    <w:p>
      <w:pPr>
        <w:pStyle w:val="Heading5"/>
        <w:rPr>
          <w:snapToGrid w:val="0"/>
        </w:rPr>
      </w:pPr>
      <w:bookmarkStart w:id="137" w:name="_Toc410806038"/>
      <w:bookmarkStart w:id="138" w:name="_Toc471117208"/>
      <w:bookmarkStart w:id="139" w:name="_Toc51408331"/>
      <w:bookmarkStart w:id="140" w:name="_Toc102795700"/>
      <w:bookmarkStart w:id="141" w:name="_Toc188692201"/>
      <w:r>
        <w:rPr>
          <w:rStyle w:val="CharSectno"/>
        </w:rPr>
        <w:t>22</w:t>
      </w:r>
      <w:r>
        <w:rPr>
          <w:snapToGrid w:val="0"/>
        </w:rPr>
        <w:t>.</w:t>
      </w:r>
      <w:r>
        <w:rPr>
          <w:snapToGrid w:val="0"/>
        </w:rPr>
        <w:tab/>
        <w:t>Compensation and compulsory acquisition</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 xml:space="preserve">[Section 22 amended by No. 24 of 1995 s. 23; No. 31 of 1997 s. 5.] </w:t>
      </w:r>
    </w:p>
    <w:p>
      <w:pPr>
        <w:pStyle w:val="Heading5"/>
        <w:rPr>
          <w:snapToGrid w:val="0"/>
        </w:rPr>
      </w:pPr>
      <w:bookmarkStart w:id="142" w:name="_Toc410806039"/>
      <w:bookmarkStart w:id="143" w:name="_Toc471117209"/>
      <w:bookmarkStart w:id="144" w:name="_Toc51408332"/>
      <w:bookmarkStart w:id="145" w:name="_Toc102795701"/>
      <w:bookmarkStart w:id="146" w:name="_Toc188692202"/>
      <w:r>
        <w:rPr>
          <w:rStyle w:val="CharSectno"/>
        </w:rPr>
        <w:t>23</w:t>
      </w:r>
      <w:r>
        <w:rPr>
          <w:snapToGrid w:val="0"/>
        </w:rPr>
        <w:t>.</w:t>
      </w:r>
      <w:r>
        <w:rPr>
          <w:snapToGrid w:val="0"/>
        </w:rPr>
        <w:tab/>
        <w:t>Marking of protected areas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Upon any area of land becoming a protected area the Registrar —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 xml:space="preserve">[Section 23 amended by No. 24 of 1995 s. 24.] </w:t>
      </w:r>
    </w:p>
    <w:p>
      <w:pPr>
        <w:pStyle w:val="Heading5"/>
        <w:spacing w:before="180"/>
        <w:rPr>
          <w:snapToGrid w:val="0"/>
        </w:rPr>
      </w:pPr>
      <w:bookmarkStart w:id="147" w:name="_Toc410806040"/>
      <w:bookmarkStart w:id="148" w:name="_Toc471117210"/>
      <w:bookmarkStart w:id="149" w:name="_Toc51408333"/>
      <w:bookmarkStart w:id="150" w:name="_Toc102795702"/>
      <w:bookmarkStart w:id="151" w:name="_Toc188692203"/>
      <w:r>
        <w:rPr>
          <w:rStyle w:val="CharSectno"/>
        </w:rPr>
        <w:t>24</w:t>
      </w:r>
      <w:r>
        <w:rPr>
          <w:snapToGrid w:val="0"/>
        </w:rPr>
        <w:t>.</w:t>
      </w:r>
      <w:r>
        <w:rPr>
          <w:snapToGrid w:val="0"/>
        </w:rPr>
        <w:tab/>
        <w:t>Notification of changes, etc.</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 xml:space="preserve">[Section 24 amended by No. 24 of 1995 s. 25.] </w:t>
      </w:r>
    </w:p>
    <w:p>
      <w:pPr>
        <w:pStyle w:val="Heading5"/>
        <w:spacing w:before="180"/>
        <w:rPr>
          <w:snapToGrid w:val="0"/>
        </w:rPr>
      </w:pPr>
      <w:bookmarkStart w:id="152" w:name="_Toc410806041"/>
      <w:bookmarkStart w:id="153" w:name="_Toc471117211"/>
      <w:bookmarkStart w:id="154" w:name="_Toc51408334"/>
      <w:bookmarkStart w:id="155" w:name="_Toc102795703"/>
      <w:bookmarkStart w:id="156" w:name="_Toc188692204"/>
      <w:r>
        <w:rPr>
          <w:rStyle w:val="CharSectno"/>
        </w:rPr>
        <w:t>25</w:t>
      </w:r>
      <w:r>
        <w:rPr>
          <w:snapToGrid w:val="0"/>
        </w:rPr>
        <w:t>.</w:t>
      </w:r>
      <w:r>
        <w:rPr>
          <w:snapToGrid w:val="0"/>
        </w:rPr>
        <w:tab/>
        <w:t>Variation of Orders in Council</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 xml:space="preserve">[Section 25 amended by No. 8 of 1980 s. 8; No. 24 of 1995 s. 26.] </w:t>
      </w:r>
    </w:p>
    <w:p>
      <w:pPr>
        <w:pStyle w:val="Heading5"/>
        <w:rPr>
          <w:snapToGrid w:val="0"/>
        </w:rPr>
      </w:pPr>
      <w:bookmarkStart w:id="157" w:name="_Toc410806042"/>
      <w:bookmarkStart w:id="158" w:name="_Toc471117212"/>
      <w:bookmarkStart w:id="159" w:name="_Toc51408335"/>
      <w:bookmarkStart w:id="160" w:name="_Toc102795704"/>
      <w:bookmarkStart w:id="161" w:name="_Toc188692205"/>
      <w:r>
        <w:rPr>
          <w:rStyle w:val="CharSectno"/>
        </w:rPr>
        <w:t>26</w:t>
      </w:r>
      <w:r>
        <w:rPr>
          <w:snapToGrid w:val="0"/>
        </w:rPr>
        <w:t>.</w:t>
      </w:r>
      <w:r>
        <w:rPr>
          <w:snapToGrid w:val="0"/>
        </w:rPr>
        <w:tab/>
        <w:t>Regulations as to protected areas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In relation to a protected area the Governor may make regulations prohibiting, or imposing conditions or restrictions upon —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 xml:space="preserve">[Section 26 amended by No. 24 of 1995 s. 27.] </w:t>
      </w:r>
    </w:p>
    <w:p>
      <w:pPr>
        <w:pStyle w:val="Heading5"/>
        <w:rPr>
          <w:snapToGrid w:val="0"/>
        </w:rPr>
      </w:pPr>
      <w:bookmarkStart w:id="162" w:name="_Toc410806043"/>
      <w:bookmarkStart w:id="163" w:name="_Toc471117213"/>
      <w:bookmarkStart w:id="164" w:name="_Toc51408336"/>
      <w:bookmarkStart w:id="165" w:name="_Toc102795705"/>
      <w:bookmarkStart w:id="166" w:name="_Toc188692206"/>
      <w:r>
        <w:rPr>
          <w:rStyle w:val="CharSectno"/>
        </w:rPr>
        <w:t>27</w:t>
      </w:r>
      <w:r>
        <w:rPr>
          <w:snapToGrid w:val="0"/>
        </w:rPr>
        <w:t>.</w:t>
      </w:r>
      <w:r>
        <w:rPr>
          <w:snapToGrid w:val="0"/>
        </w:rPr>
        <w:tab/>
        <w:t>Covenants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Where the Minister is satisfied that it is in the general interest of the community so to do the Minister may agree to a proposal 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27 amended by No. 24 of 1995 s. 28.] </w:t>
      </w:r>
    </w:p>
    <w:p>
      <w:pPr>
        <w:pStyle w:val="Heading2"/>
      </w:pPr>
      <w:bookmarkStart w:id="167" w:name="_Toc72569168"/>
      <w:bookmarkStart w:id="168" w:name="_Toc92437893"/>
      <w:bookmarkStart w:id="169" w:name="_Toc96933100"/>
      <w:bookmarkStart w:id="170" w:name="_Toc102795348"/>
      <w:bookmarkStart w:id="171" w:name="_Toc102795706"/>
      <w:bookmarkStart w:id="172" w:name="_Toc186621530"/>
      <w:bookmarkStart w:id="173" w:name="_Toc186621607"/>
      <w:bookmarkStart w:id="174" w:name="_Toc187048150"/>
      <w:bookmarkStart w:id="175" w:name="_Toc188692207"/>
      <w:r>
        <w:rPr>
          <w:rStyle w:val="CharPartNo"/>
        </w:rPr>
        <w:t>Part V</w:t>
      </w:r>
      <w:r>
        <w:rPr>
          <w:rStyle w:val="CharDivNo"/>
        </w:rPr>
        <w:t> </w:t>
      </w:r>
      <w:r>
        <w:t>—</w:t>
      </w:r>
      <w:r>
        <w:rPr>
          <w:rStyle w:val="CharDivText"/>
        </w:rPr>
        <w:t> </w:t>
      </w:r>
      <w:r>
        <w:rPr>
          <w:rStyle w:val="CharPartText"/>
        </w:rPr>
        <w:t>Aboriginal Cultural Material Committee</w:t>
      </w:r>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10806044"/>
      <w:bookmarkStart w:id="177" w:name="_Toc471117214"/>
      <w:bookmarkStart w:id="178" w:name="_Toc51408337"/>
      <w:bookmarkStart w:id="179" w:name="_Toc102795707"/>
      <w:bookmarkStart w:id="180" w:name="_Toc188692208"/>
      <w:r>
        <w:rPr>
          <w:rStyle w:val="CharSectno"/>
        </w:rPr>
        <w:t>28</w:t>
      </w:r>
      <w:r>
        <w:rPr>
          <w:snapToGrid w:val="0"/>
        </w:rPr>
        <w:t>.</w:t>
      </w:r>
      <w:r>
        <w:rPr>
          <w:snapToGrid w:val="0"/>
        </w:rPr>
        <w:tab/>
        <w:t>Aboriginal Cultural Material Committee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 xml:space="preserve">[Section 28 amended by No. 8 of 1980 s. 9; No. 24 of 1995 s. 29.] </w:t>
      </w:r>
    </w:p>
    <w:p>
      <w:pPr>
        <w:pStyle w:val="Heading5"/>
        <w:rPr>
          <w:snapToGrid w:val="0"/>
        </w:rPr>
      </w:pPr>
      <w:bookmarkStart w:id="181" w:name="_Toc410806045"/>
      <w:bookmarkStart w:id="182" w:name="_Toc471117215"/>
      <w:bookmarkStart w:id="183" w:name="_Toc51408338"/>
      <w:bookmarkStart w:id="184" w:name="_Toc102795708"/>
      <w:bookmarkStart w:id="185" w:name="_Toc188692209"/>
      <w:r>
        <w:rPr>
          <w:rStyle w:val="CharSectno"/>
        </w:rPr>
        <w:t>29</w:t>
      </w:r>
      <w:r>
        <w:rPr>
          <w:snapToGrid w:val="0"/>
        </w:rPr>
        <w:t>.</w:t>
      </w:r>
      <w:r>
        <w:rPr>
          <w:snapToGrid w:val="0"/>
        </w:rPr>
        <w:tab/>
        <w:t>Ex</w:t>
      </w:r>
      <w:r>
        <w:rPr>
          <w:snapToGrid w:val="0"/>
        </w:rPr>
        <w:noBreakHyphen/>
        <w:t>officio members</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following persons, namely —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 xml:space="preserve">[Section 29 amended by No. 126 of 1987 s. 120; No. 31 of 1997 s. 141.] </w:t>
      </w:r>
    </w:p>
    <w:p>
      <w:pPr>
        <w:pStyle w:val="Heading5"/>
        <w:rPr>
          <w:snapToGrid w:val="0"/>
        </w:rPr>
      </w:pPr>
      <w:bookmarkStart w:id="186" w:name="_Toc410806046"/>
      <w:bookmarkStart w:id="187" w:name="_Toc471117216"/>
      <w:bookmarkStart w:id="188" w:name="_Toc51408339"/>
      <w:bookmarkStart w:id="189" w:name="_Toc102795709"/>
      <w:bookmarkStart w:id="190" w:name="_Toc188692210"/>
      <w:r>
        <w:rPr>
          <w:rStyle w:val="CharSectno"/>
        </w:rPr>
        <w:t>30</w:t>
      </w:r>
      <w:r>
        <w:rPr>
          <w:snapToGrid w:val="0"/>
        </w:rPr>
        <w:t>.</w:t>
      </w:r>
      <w:r>
        <w:rPr>
          <w:snapToGrid w:val="0"/>
        </w:rPr>
        <w:tab/>
        <w:t>Resignation, disqualification and co</w:t>
      </w:r>
      <w:r>
        <w:rPr>
          <w:snapToGrid w:val="0"/>
        </w:rPr>
        <w:noBreakHyphen/>
        <w:t>option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 xml:space="preserve">[Section 30 amended by No. 24 of 1990 s. 123.] </w:t>
      </w:r>
    </w:p>
    <w:p>
      <w:pPr>
        <w:pStyle w:val="Heading5"/>
        <w:rPr>
          <w:snapToGrid w:val="0"/>
        </w:rPr>
      </w:pPr>
      <w:bookmarkStart w:id="191" w:name="_Toc410806047"/>
      <w:bookmarkStart w:id="192" w:name="_Toc471117217"/>
      <w:bookmarkStart w:id="193" w:name="_Toc51408340"/>
      <w:bookmarkStart w:id="194" w:name="_Toc102795710"/>
      <w:bookmarkStart w:id="195" w:name="_Toc188692211"/>
      <w:r>
        <w:rPr>
          <w:rStyle w:val="CharSectno"/>
        </w:rPr>
        <w:t>31</w:t>
      </w:r>
      <w:r>
        <w:rPr>
          <w:snapToGrid w:val="0"/>
        </w:rPr>
        <w:t>.</w:t>
      </w:r>
      <w:r>
        <w:rPr>
          <w:snapToGrid w:val="0"/>
        </w:rPr>
        <w:tab/>
        <w:t>Deputies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196" w:name="_Toc410806048"/>
      <w:bookmarkStart w:id="197" w:name="_Toc471117218"/>
      <w:bookmarkStart w:id="198" w:name="_Toc51408341"/>
      <w:bookmarkStart w:id="199" w:name="_Toc102795711"/>
      <w:bookmarkStart w:id="200" w:name="_Toc188692212"/>
      <w:r>
        <w:rPr>
          <w:rStyle w:val="CharSectno"/>
        </w:rPr>
        <w:t>32</w:t>
      </w:r>
      <w:r>
        <w:rPr>
          <w:snapToGrid w:val="0"/>
        </w:rPr>
        <w:t>.</w:t>
      </w:r>
      <w:r>
        <w:rPr>
          <w:snapToGrid w:val="0"/>
        </w:rPr>
        <w:tab/>
        <w:t>Quorum and meetings</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The Minister or the Chairman may at any time convene a meeting of the Committee, and a meeting shall be convened by the Chairman within 7 days of the receipt by him of a written request 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201" w:name="_Toc410806049"/>
      <w:bookmarkStart w:id="202" w:name="_Toc471117219"/>
      <w:bookmarkStart w:id="203" w:name="_Toc51408342"/>
      <w:bookmarkStart w:id="204" w:name="_Toc102795712"/>
      <w:bookmarkStart w:id="205" w:name="_Toc188692213"/>
      <w:r>
        <w:rPr>
          <w:rStyle w:val="CharSectno"/>
        </w:rPr>
        <w:t>33</w:t>
      </w:r>
      <w:r>
        <w:rPr>
          <w:snapToGrid w:val="0"/>
        </w:rPr>
        <w:t>.</w:t>
      </w:r>
      <w:r>
        <w:rPr>
          <w:snapToGrid w:val="0"/>
        </w:rPr>
        <w:tab/>
        <w:t>Records and validity of proceedings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206" w:name="_Toc410806050"/>
      <w:bookmarkStart w:id="207" w:name="_Toc471117220"/>
      <w:bookmarkStart w:id="208" w:name="_Toc51408343"/>
      <w:bookmarkStart w:id="209" w:name="_Toc102795713"/>
      <w:bookmarkStart w:id="210" w:name="_Toc188692214"/>
      <w:r>
        <w:rPr>
          <w:rStyle w:val="CharSectno"/>
        </w:rPr>
        <w:t>34</w:t>
      </w:r>
      <w:r>
        <w:rPr>
          <w:snapToGrid w:val="0"/>
        </w:rPr>
        <w:t>.</w:t>
      </w:r>
      <w:r>
        <w:rPr>
          <w:snapToGrid w:val="0"/>
        </w:rPr>
        <w:tab/>
        <w:t>Procedure</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211" w:name="_Toc410806051"/>
      <w:bookmarkStart w:id="212" w:name="_Toc471117221"/>
      <w:bookmarkStart w:id="213" w:name="_Toc51408344"/>
      <w:bookmarkStart w:id="214" w:name="_Toc102795714"/>
      <w:bookmarkStart w:id="215" w:name="_Toc188692215"/>
      <w:r>
        <w:rPr>
          <w:rStyle w:val="CharSectno"/>
        </w:rPr>
        <w:t>35</w:t>
      </w:r>
      <w:r>
        <w:rPr>
          <w:snapToGrid w:val="0"/>
        </w:rPr>
        <w:t>.</w:t>
      </w:r>
      <w:r>
        <w:rPr>
          <w:snapToGrid w:val="0"/>
        </w:rPr>
        <w:tab/>
        <w:t>Public Sector Management Act provisions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 xml:space="preserve">[Section 35 amended by No. 32 of 1994 s. 3(1).] </w:t>
      </w:r>
    </w:p>
    <w:p>
      <w:pPr>
        <w:pStyle w:val="Heading5"/>
        <w:rPr>
          <w:snapToGrid w:val="0"/>
        </w:rPr>
      </w:pPr>
      <w:bookmarkStart w:id="216" w:name="_Toc410806052"/>
      <w:bookmarkStart w:id="217" w:name="_Toc471117222"/>
      <w:bookmarkStart w:id="218" w:name="_Toc51408345"/>
      <w:bookmarkStart w:id="219" w:name="_Toc102795715"/>
      <w:bookmarkStart w:id="220" w:name="_Toc188692216"/>
      <w:r>
        <w:rPr>
          <w:rStyle w:val="CharSectno"/>
        </w:rPr>
        <w:t>36</w:t>
      </w:r>
      <w:r>
        <w:rPr>
          <w:snapToGrid w:val="0"/>
        </w:rPr>
        <w:t>.</w:t>
      </w:r>
      <w:r>
        <w:rPr>
          <w:snapToGrid w:val="0"/>
        </w:rPr>
        <w:tab/>
        <w:t>Remuneration, etc.</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221" w:name="_Toc410806053"/>
      <w:bookmarkStart w:id="222" w:name="_Toc471117223"/>
      <w:bookmarkStart w:id="223" w:name="_Toc51408346"/>
      <w:bookmarkStart w:id="224" w:name="_Toc102795716"/>
      <w:bookmarkStart w:id="225" w:name="_Toc188692217"/>
      <w:r>
        <w:rPr>
          <w:rStyle w:val="CharSectno"/>
        </w:rPr>
        <w:t>37</w:t>
      </w:r>
      <w:r>
        <w:rPr>
          <w:snapToGrid w:val="0"/>
        </w:rPr>
        <w:t>.</w:t>
      </w:r>
      <w:r>
        <w:rPr>
          <w:snapToGrid w:val="0"/>
        </w:rPr>
        <w:tab/>
        <w:t>Registrar of Aboriginal Sites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 xml:space="preserve">[Section 37 inserted by No. 24 of 1995 s. 30.] </w:t>
      </w:r>
    </w:p>
    <w:p>
      <w:pPr>
        <w:pStyle w:val="Heading5"/>
        <w:rPr>
          <w:snapToGrid w:val="0"/>
        </w:rPr>
      </w:pPr>
      <w:bookmarkStart w:id="226" w:name="_Toc410806054"/>
      <w:bookmarkStart w:id="227" w:name="_Toc471117224"/>
      <w:bookmarkStart w:id="228" w:name="_Toc51408347"/>
      <w:bookmarkStart w:id="229" w:name="_Toc102795717"/>
      <w:bookmarkStart w:id="230" w:name="_Toc188692218"/>
      <w:r>
        <w:rPr>
          <w:rStyle w:val="CharSectno"/>
        </w:rPr>
        <w:t>38</w:t>
      </w:r>
      <w:r>
        <w:rPr>
          <w:snapToGrid w:val="0"/>
        </w:rPr>
        <w:t>.</w:t>
      </w:r>
      <w:r>
        <w:rPr>
          <w:snapToGrid w:val="0"/>
        </w:rPr>
        <w:tab/>
        <w:t>Register of places and objects</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 xml:space="preserve">[Section 38 amended by No. 24 of 1995 s. 31.] </w:t>
      </w:r>
    </w:p>
    <w:p>
      <w:pPr>
        <w:pStyle w:val="Heading5"/>
        <w:rPr>
          <w:snapToGrid w:val="0"/>
        </w:rPr>
      </w:pPr>
      <w:bookmarkStart w:id="231" w:name="_Toc410806055"/>
      <w:bookmarkStart w:id="232" w:name="_Toc471117225"/>
      <w:bookmarkStart w:id="233" w:name="_Toc51408348"/>
      <w:bookmarkStart w:id="234" w:name="_Toc102795718"/>
      <w:bookmarkStart w:id="235" w:name="_Toc188692219"/>
      <w:r>
        <w:rPr>
          <w:rStyle w:val="CharSectno"/>
        </w:rPr>
        <w:t>39</w:t>
      </w:r>
      <w:r>
        <w:rPr>
          <w:snapToGrid w:val="0"/>
        </w:rPr>
        <w:t>.</w:t>
      </w:r>
      <w:r>
        <w:rPr>
          <w:snapToGrid w:val="0"/>
        </w:rPr>
        <w:tab/>
        <w:t>Functions of the Committee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rPr>
          <w:snapToGrid w:val="0"/>
        </w:rPr>
      </w:pPr>
      <w:r>
        <w:tab/>
        <w:t>[(d)</w:t>
      </w:r>
      <w:r>
        <w:tab/>
      </w:r>
      <w:r>
        <w:rPr>
          <w:snapToGrid w:val="0"/>
        </w:rPr>
        <w:t xml:space="preserve"> deleted] </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 xml:space="preserve">[Section 39 amended by No. 8 of 1980 s. 10; No. 24 of 1995 s. 32.] </w:t>
      </w:r>
    </w:p>
    <w:p>
      <w:pPr>
        <w:pStyle w:val="Heading2"/>
      </w:pPr>
      <w:bookmarkStart w:id="236" w:name="_Toc72569181"/>
      <w:bookmarkStart w:id="237" w:name="_Toc92437906"/>
      <w:bookmarkStart w:id="238" w:name="_Toc96933113"/>
      <w:bookmarkStart w:id="239" w:name="_Toc102795361"/>
      <w:bookmarkStart w:id="240" w:name="_Toc102795719"/>
      <w:bookmarkStart w:id="241" w:name="_Toc186621543"/>
      <w:bookmarkStart w:id="242" w:name="_Toc186621620"/>
      <w:bookmarkStart w:id="243" w:name="_Toc187048163"/>
      <w:bookmarkStart w:id="244" w:name="_Toc188692220"/>
      <w:r>
        <w:rPr>
          <w:rStyle w:val="CharPartNo"/>
        </w:rPr>
        <w:t>Part VI</w:t>
      </w:r>
      <w:r>
        <w:rPr>
          <w:rStyle w:val="CharDivNo"/>
        </w:rPr>
        <w:t> </w:t>
      </w:r>
      <w:r>
        <w:t>—</w:t>
      </w:r>
      <w:r>
        <w:rPr>
          <w:rStyle w:val="CharDivText"/>
        </w:rPr>
        <w:t> </w:t>
      </w:r>
      <w:r>
        <w:rPr>
          <w:rStyle w:val="CharPartText"/>
        </w:rPr>
        <w:t>Protection for Aboriginal objects</w:t>
      </w:r>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410806056"/>
      <w:bookmarkStart w:id="246" w:name="_Toc471117226"/>
      <w:bookmarkStart w:id="247" w:name="_Toc51408349"/>
      <w:bookmarkStart w:id="248" w:name="_Toc102795720"/>
      <w:bookmarkStart w:id="249" w:name="_Toc188692221"/>
      <w:r>
        <w:rPr>
          <w:rStyle w:val="CharSectno"/>
        </w:rPr>
        <w:t>39A</w:t>
      </w:r>
      <w:r>
        <w:rPr>
          <w:snapToGrid w:val="0"/>
        </w:rPr>
        <w:t>.</w:t>
      </w:r>
      <w:r>
        <w:rPr>
          <w:snapToGrid w:val="0"/>
        </w:rPr>
        <w:tab/>
        <w:t>Consultation between Minister and Trustees concerning administration of Part VI</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 xml:space="preserve">[Section 39A inserted by No. 24 of 1995 s. 33.] </w:t>
      </w:r>
    </w:p>
    <w:p>
      <w:pPr>
        <w:pStyle w:val="Heading5"/>
        <w:rPr>
          <w:snapToGrid w:val="0"/>
        </w:rPr>
      </w:pPr>
      <w:bookmarkStart w:id="250" w:name="_Toc410806057"/>
      <w:bookmarkStart w:id="251" w:name="_Toc471117227"/>
      <w:bookmarkStart w:id="252" w:name="_Toc51408350"/>
      <w:bookmarkStart w:id="253" w:name="_Toc102795721"/>
      <w:bookmarkStart w:id="254" w:name="_Toc188692222"/>
      <w:r>
        <w:rPr>
          <w:rStyle w:val="CharSectno"/>
        </w:rPr>
        <w:t>39B</w:t>
      </w:r>
      <w:r>
        <w:rPr>
          <w:snapToGrid w:val="0"/>
        </w:rPr>
        <w:t>.</w:t>
      </w:r>
      <w:r>
        <w:rPr>
          <w:snapToGrid w:val="0"/>
        </w:rPr>
        <w:tab/>
        <w:t>Minister may delegate to Trustees under Part VI</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Minister may delegate any or all of his powers and duties under this Part to the Trustees.</w:t>
      </w:r>
    </w:p>
    <w:p>
      <w:pPr>
        <w:pStyle w:val="Footnotesection"/>
      </w:pPr>
      <w:r>
        <w:tab/>
        <w:t xml:space="preserve">[Section 39B inserted by No. 24 of 1995 s. 33.] </w:t>
      </w:r>
    </w:p>
    <w:p>
      <w:pPr>
        <w:pStyle w:val="Heading5"/>
        <w:rPr>
          <w:snapToGrid w:val="0"/>
        </w:rPr>
      </w:pPr>
      <w:bookmarkStart w:id="255" w:name="_Toc410806058"/>
      <w:bookmarkStart w:id="256" w:name="_Toc471117228"/>
      <w:bookmarkStart w:id="257" w:name="_Toc51408351"/>
      <w:bookmarkStart w:id="258" w:name="_Toc102795722"/>
      <w:bookmarkStart w:id="259" w:name="_Toc188692223"/>
      <w:r>
        <w:rPr>
          <w:rStyle w:val="CharSectno"/>
        </w:rPr>
        <w:t>39C</w:t>
      </w:r>
      <w:r>
        <w:rPr>
          <w:snapToGrid w:val="0"/>
        </w:rPr>
        <w:t>.</w:t>
      </w:r>
      <w:r>
        <w:rPr>
          <w:snapToGrid w:val="0"/>
        </w:rPr>
        <w:tab/>
        <w:t>Registrar may act on Minister’s behalf</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 xml:space="preserve">[Section 39C inserted by No. 24 of 1995 s. 33.] </w:t>
      </w:r>
    </w:p>
    <w:p>
      <w:pPr>
        <w:pStyle w:val="Heading5"/>
        <w:rPr>
          <w:snapToGrid w:val="0"/>
        </w:rPr>
      </w:pPr>
      <w:bookmarkStart w:id="260" w:name="_Toc410806059"/>
      <w:bookmarkStart w:id="261" w:name="_Toc471117229"/>
      <w:bookmarkStart w:id="262" w:name="_Toc51408352"/>
      <w:bookmarkStart w:id="263" w:name="_Toc102795723"/>
      <w:bookmarkStart w:id="264" w:name="_Toc188692224"/>
      <w:r>
        <w:rPr>
          <w:rStyle w:val="CharSectno"/>
        </w:rPr>
        <w:t>39D</w:t>
      </w:r>
      <w:r>
        <w:rPr>
          <w:snapToGrid w:val="0"/>
        </w:rPr>
        <w:t>.</w:t>
      </w:r>
      <w:r>
        <w:rPr>
          <w:snapToGrid w:val="0"/>
        </w:rPr>
        <w:tab/>
        <w:t>Minister to consult with Committee</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 xml:space="preserve">[Section 39D inserted by No. 24 of 1995 s. 33.] </w:t>
      </w:r>
    </w:p>
    <w:p>
      <w:pPr>
        <w:pStyle w:val="Heading5"/>
        <w:rPr>
          <w:snapToGrid w:val="0"/>
        </w:rPr>
      </w:pPr>
      <w:bookmarkStart w:id="265" w:name="_Toc410806060"/>
      <w:bookmarkStart w:id="266" w:name="_Toc471117230"/>
      <w:bookmarkStart w:id="267" w:name="_Toc51408353"/>
      <w:bookmarkStart w:id="268" w:name="_Toc102795724"/>
      <w:bookmarkStart w:id="269" w:name="_Toc188692225"/>
      <w:r>
        <w:rPr>
          <w:rStyle w:val="CharSectno"/>
        </w:rPr>
        <w:t>40</w:t>
      </w:r>
      <w:r>
        <w:rPr>
          <w:snapToGrid w:val="0"/>
        </w:rPr>
        <w:t>.</w:t>
      </w:r>
      <w:r>
        <w:rPr>
          <w:snapToGrid w:val="0"/>
        </w:rPr>
        <w:tab/>
        <w:t>Aboriginal cultural material</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Where the Committee recommends to the Governor that an object or class of objects in the State is of Aboriginal origin and is —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 xml:space="preserve">[Section 40 amended by No. 24 of 1995 s. 34.] </w:t>
      </w:r>
    </w:p>
    <w:p>
      <w:pPr>
        <w:pStyle w:val="Heading5"/>
        <w:rPr>
          <w:snapToGrid w:val="0"/>
        </w:rPr>
      </w:pPr>
      <w:bookmarkStart w:id="270" w:name="_Toc410806061"/>
      <w:bookmarkStart w:id="271" w:name="_Toc471117231"/>
      <w:bookmarkStart w:id="272" w:name="_Toc51408354"/>
      <w:bookmarkStart w:id="273" w:name="_Toc102795725"/>
      <w:bookmarkStart w:id="274" w:name="_Toc188692226"/>
      <w:r>
        <w:rPr>
          <w:rStyle w:val="CharSectno"/>
        </w:rPr>
        <w:t>41</w:t>
      </w:r>
      <w:r>
        <w:rPr>
          <w:snapToGrid w:val="0"/>
        </w:rPr>
        <w:t>.</w:t>
      </w:r>
      <w:r>
        <w:rPr>
          <w:snapToGrid w:val="0"/>
        </w:rPr>
        <w:tab/>
        <w:t>Notification and production of objects</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 xml:space="preserve">[Section 41 amended by No. 24 of 1995 s. 35.] </w:t>
      </w:r>
    </w:p>
    <w:p>
      <w:pPr>
        <w:pStyle w:val="Heading5"/>
        <w:rPr>
          <w:snapToGrid w:val="0"/>
        </w:rPr>
      </w:pPr>
      <w:bookmarkStart w:id="275" w:name="_Toc410806062"/>
      <w:bookmarkStart w:id="276" w:name="_Toc471117232"/>
      <w:bookmarkStart w:id="277" w:name="_Toc51408355"/>
      <w:bookmarkStart w:id="278" w:name="_Toc102795726"/>
      <w:bookmarkStart w:id="279" w:name="_Toc188692227"/>
      <w:r>
        <w:rPr>
          <w:rStyle w:val="CharSectno"/>
        </w:rPr>
        <w:t>42</w:t>
      </w:r>
      <w:r>
        <w:rPr>
          <w:snapToGrid w:val="0"/>
        </w:rPr>
        <w:t>.</w:t>
      </w:r>
      <w:r>
        <w:rPr>
          <w:snapToGrid w:val="0"/>
        </w:rPr>
        <w:tab/>
        <w:t>Retention by Minister</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The Minister may retain any object produced to the Minister pursuant to the provisions of section 41 —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 xml:space="preserve">[Section 42 amended by No. 24 of 1995 s. 36.] </w:t>
      </w:r>
    </w:p>
    <w:p>
      <w:pPr>
        <w:pStyle w:val="Heading5"/>
        <w:rPr>
          <w:snapToGrid w:val="0"/>
        </w:rPr>
      </w:pPr>
      <w:bookmarkStart w:id="280" w:name="_Toc410806063"/>
      <w:bookmarkStart w:id="281" w:name="_Toc471117233"/>
      <w:bookmarkStart w:id="282" w:name="_Toc51408356"/>
      <w:bookmarkStart w:id="283" w:name="_Toc102795727"/>
      <w:bookmarkStart w:id="284" w:name="_Toc188692228"/>
      <w:r>
        <w:rPr>
          <w:rStyle w:val="CharSectno"/>
        </w:rPr>
        <w:t>43</w:t>
      </w:r>
      <w:r>
        <w:rPr>
          <w:snapToGrid w:val="0"/>
        </w:rPr>
        <w:t>.</w:t>
      </w:r>
      <w:r>
        <w:rPr>
          <w:snapToGrid w:val="0"/>
        </w:rPr>
        <w:tab/>
        <w:t>Restrictions on dealing with Aboriginal cultural material</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in determining the reasonable price for an object pursuant to subsection (3), 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repealed]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 xml:space="preserve">[Section 43 amended by No. 24 of 1995 s. 37; No. 55 of 2004 s. 6 and 9.] </w:t>
      </w:r>
    </w:p>
    <w:p>
      <w:pPr>
        <w:pStyle w:val="Heading5"/>
        <w:rPr>
          <w:snapToGrid w:val="0"/>
        </w:rPr>
      </w:pPr>
      <w:bookmarkStart w:id="285" w:name="_Toc410806064"/>
      <w:bookmarkStart w:id="286" w:name="_Toc471117234"/>
      <w:bookmarkStart w:id="287" w:name="_Toc51408357"/>
      <w:bookmarkStart w:id="288" w:name="_Toc102795728"/>
      <w:bookmarkStart w:id="289" w:name="_Toc188692229"/>
      <w:r>
        <w:rPr>
          <w:rStyle w:val="CharSectno"/>
        </w:rPr>
        <w:t>44</w:t>
      </w:r>
      <w:r>
        <w:rPr>
          <w:snapToGrid w:val="0"/>
        </w:rPr>
        <w:t>.</w:t>
      </w:r>
      <w:r>
        <w:rPr>
          <w:snapToGrid w:val="0"/>
        </w:rPr>
        <w:tab/>
        <w:t>Prices to be at local rates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 xml:space="preserve">[Section 44 amended by No. 24 of 1995 s. 38; No. 55 of 2004 s. 9.] </w:t>
      </w:r>
    </w:p>
    <w:p>
      <w:pPr>
        <w:pStyle w:val="Heading5"/>
        <w:rPr>
          <w:snapToGrid w:val="0"/>
        </w:rPr>
      </w:pPr>
      <w:bookmarkStart w:id="290" w:name="_Toc410806065"/>
      <w:bookmarkStart w:id="291" w:name="_Toc471117235"/>
      <w:bookmarkStart w:id="292" w:name="_Toc51408358"/>
      <w:bookmarkStart w:id="293" w:name="_Toc102795729"/>
      <w:bookmarkStart w:id="294" w:name="_Toc188692230"/>
      <w:r>
        <w:rPr>
          <w:rStyle w:val="CharSectno"/>
        </w:rPr>
        <w:t>45</w:t>
      </w:r>
      <w:r>
        <w:rPr>
          <w:snapToGrid w:val="0"/>
        </w:rPr>
        <w:t>.</w:t>
      </w:r>
      <w:r>
        <w:rPr>
          <w:snapToGrid w:val="0"/>
        </w:rPr>
        <w:tab/>
        <w:t>Minister may purchase as agent</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 xml:space="preserve">[Section 45 amended by No. 24 of 1995 s. 39.] </w:t>
      </w:r>
    </w:p>
    <w:p>
      <w:pPr>
        <w:pStyle w:val="Heading5"/>
        <w:rPr>
          <w:snapToGrid w:val="0"/>
        </w:rPr>
      </w:pPr>
      <w:bookmarkStart w:id="295" w:name="_Toc410806066"/>
      <w:bookmarkStart w:id="296" w:name="_Toc471117236"/>
      <w:bookmarkStart w:id="297" w:name="_Toc51408359"/>
      <w:bookmarkStart w:id="298" w:name="_Toc102795730"/>
      <w:bookmarkStart w:id="299" w:name="_Toc188692231"/>
      <w:r>
        <w:rPr>
          <w:rStyle w:val="CharSectno"/>
        </w:rPr>
        <w:t>46</w:t>
      </w:r>
      <w:r>
        <w:rPr>
          <w:snapToGrid w:val="0"/>
        </w:rPr>
        <w:t>.</w:t>
      </w:r>
      <w:r>
        <w:rPr>
          <w:snapToGrid w:val="0"/>
        </w:rPr>
        <w:tab/>
        <w:t>Vesting of objects and inquiries into origin</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repealed]</w:t>
      </w:r>
    </w:p>
    <w:p>
      <w:pPr>
        <w:pStyle w:val="Subsection"/>
        <w:rPr>
          <w:snapToGrid w:val="0"/>
        </w:rPr>
      </w:pPr>
      <w:r>
        <w:rPr>
          <w:snapToGrid w:val="0"/>
        </w:rPr>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repealed]</w:t>
      </w:r>
    </w:p>
    <w:p>
      <w:pPr>
        <w:pStyle w:val="Subsection"/>
        <w:rPr>
          <w:snapToGrid w:val="0"/>
        </w:rPr>
      </w:pPr>
      <w:r>
        <w:rPr>
          <w:snapToGrid w:val="0"/>
        </w:rPr>
        <w:tab/>
        <w:t>(7)</w:t>
      </w:r>
      <w:r>
        <w:rPr>
          <w:snapToGrid w:val="0"/>
        </w:rPr>
        <w:tab/>
        <w:t>For the purposes of any proceedings under this Act it is hereby declared —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 xml:space="preserve">[Section 46 amended by No. 24 of 1995 s. 40; No. 55 of 2004 s. 7.] </w:t>
      </w:r>
    </w:p>
    <w:p>
      <w:pPr>
        <w:pStyle w:val="Heading5"/>
        <w:rPr>
          <w:snapToGrid w:val="0"/>
        </w:rPr>
      </w:pPr>
      <w:bookmarkStart w:id="300" w:name="_Toc410806067"/>
      <w:bookmarkStart w:id="301" w:name="_Toc471117237"/>
      <w:bookmarkStart w:id="302" w:name="_Toc51408360"/>
      <w:bookmarkStart w:id="303" w:name="_Toc102795731"/>
      <w:bookmarkStart w:id="304" w:name="_Toc188692232"/>
      <w:r>
        <w:rPr>
          <w:rStyle w:val="CharSectno"/>
        </w:rPr>
        <w:t>47</w:t>
      </w:r>
      <w:r>
        <w:rPr>
          <w:snapToGrid w:val="0"/>
        </w:rPr>
        <w:t>.</w:t>
      </w:r>
      <w:r>
        <w:rPr>
          <w:snapToGrid w:val="0"/>
        </w:rPr>
        <w:tab/>
        <w:t>Compulsory acquisition of objects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 xml:space="preserve">[Section 47 amended by No. 24 of 1995 s. 41; No. 55 of 2004 s. 9.] </w:t>
      </w:r>
    </w:p>
    <w:p>
      <w:pPr>
        <w:pStyle w:val="Heading5"/>
        <w:rPr>
          <w:snapToGrid w:val="0"/>
        </w:rPr>
      </w:pPr>
      <w:bookmarkStart w:id="305" w:name="_Toc410806068"/>
      <w:bookmarkStart w:id="306" w:name="_Toc471117238"/>
      <w:bookmarkStart w:id="307" w:name="_Toc51408361"/>
      <w:bookmarkStart w:id="308" w:name="_Toc102795732"/>
      <w:bookmarkStart w:id="309" w:name="_Toc188692233"/>
      <w:r>
        <w:rPr>
          <w:rStyle w:val="CharSectno"/>
        </w:rPr>
        <w:t>48</w:t>
      </w:r>
      <w:r>
        <w:rPr>
          <w:snapToGrid w:val="0"/>
        </w:rPr>
        <w:t>.</w:t>
      </w:r>
      <w:r>
        <w:rPr>
          <w:snapToGrid w:val="0"/>
        </w:rPr>
        <w:tab/>
        <w:t>Restriction on exhibition of objects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 xml:space="preserve">[Section 48 amended by No. 24 of 1995 s. 42.] </w:t>
      </w:r>
    </w:p>
    <w:p>
      <w:pPr>
        <w:pStyle w:val="Heading5"/>
        <w:rPr>
          <w:snapToGrid w:val="0"/>
        </w:rPr>
      </w:pPr>
      <w:bookmarkStart w:id="310" w:name="_Toc410806069"/>
      <w:bookmarkStart w:id="311" w:name="_Toc471117239"/>
      <w:bookmarkStart w:id="312" w:name="_Toc51408362"/>
      <w:bookmarkStart w:id="313" w:name="_Toc102795733"/>
      <w:bookmarkStart w:id="314" w:name="_Toc188692234"/>
      <w:r>
        <w:rPr>
          <w:rStyle w:val="CharSectno"/>
        </w:rPr>
        <w:t>49</w:t>
      </w:r>
      <w:r>
        <w:rPr>
          <w:snapToGrid w:val="0"/>
        </w:rPr>
        <w:t>.</w:t>
      </w:r>
      <w:r>
        <w:rPr>
          <w:snapToGrid w:val="0"/>
        </w:rPr>
        <w:tab/>
        <w:t>Prohibition on publication</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 xml:space="preserve">[Section 49 amended by No. 24 of 1995 s. 43.] </w:t>
      </w:r>
    </w:p>
    <w:p>
      <w:pPr>
        <w:pStyle w:val="Heading2"/>
      </w:pPr>
      <w:bookmarkStart w:id="315" w:name="_Toc72569196"/>
      <w:bookmarkStart w:id="316" w:name="_Toc92437921"/>
      <w:bookmarkStart w:id="317" w:name="_Toc96933128"/>
      <w:bookmarkStart w:id="318" w:name="_Toc102795376"/>
      <w:bookmarkStart w:id="319" w:name="_Toc102795734"/>
      <w:bookmarkStart w:id="320" w:name="_Toc186621558"/>
      <w:bookmarkStart w:id="321" w:name="_Toc186621635"/>
      <w:bookmarkStart w:id="322" w:name="_Toc187048178"/>
      <w:bookmarkStart w:id="323" w:name="_Toc188692235"/>
      <w:r>
        <w:rPr>
          <w:rStyle w:val="CharPartNo"/>
        </w:rPr>
        <w:t>Part VII</w:t>
      </w:r>
      <w:r>
        <w:rPr>
          <w:rStyle w:val="CharDivNo"/>
        </w:rPr>
        <w:t> </w:t>
      </w:r>
      <w:r>
        <w:t>—</w:t>
      </w:r>
      <w:r>
        <w:rPr>
          <w:rStyle w:val="CharDivText"/>
        </w:rPr>
        <w:t> </w:t>
      </w:r>
      <w:r>
        <w:rPr>
          <w:rStyle w:val="CharPartText"/>
        </w:rPr>
        <w:t>Enforcement</w:t>
      </w:r>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410806070"/>
      <w:bookmarkStart w:id="325" w:name="_Toc471117240"/>
      <w:bookmarkStart w:id="326" w:name="_Toc51408363"/>
      <w:bookmarkStart w:id="327" w:name="_Toc102795735"/>
      <w:bookmarkStart w:id="328" w:name="_Toc188692236"/>
      <w:r>
        <w:rPr>
          <w:rStyle w:val="CharSectno"/>
        </w:rPr>
        <w:t>50</w:t>
      </w:r>
      <w:r>
        <w:rPr>
          <w:snapToGrid w:val="0"/>
        </w:rPr>
        <w:t>.</w:t>
      </w:r>
      <w:r>
        <w:rPr>
          <w:snapToGrid w:val="0"/>
        </w:rPr>
        <w:tab/>
        <w:t>Honorary wardens</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 xml:space="preserve">[Section 50 amended by No. 24 of 1995 s. 44; No. 55 of 2004 s. 8.] </w:t>
      </w:r>
    </w:p>
    <w:p>
      <w:pPr>
        <w:pStyle w:val="Heading5"/>
        <w:rPr>
          <w:snapToGrid w:val="0"/>
        </w:rPr>
      </w:pPr>
      <w:bookmarkStart w:id="329" w:name="_Toc410806071"/>
      <w:bookmarkStart w:id="330" w:name="_Toc471117241"/>
      <w:bookmarkStart w:id="331" w:name="_Toc51408364"/>
      <w:bookmarkStart w:id="332" w:name="_Toc102795736"/>
      <w:bookmarkStart w:id="333" w:name="_Toc188692237"/>
      <w:r>
        <w:rPr>
          <w:rStyle w:val="CharSectno"/>
        </w:rPr>
        <w:t>51</w:t>
      </w:r>
      <w:r>
        <w:rPr>
          <w:snapToGrid w:val="0"/>
        </w:rPr>
        <w:t>.</w:t>
      </w:r>
      <w:r>
        <w:rPr>
          <w:snapToGrid w:val="0"/>
        </w:rPr>
        <w:tab/>
        <w:t>Powers of inspection</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 xml:space="preserve">[Section 51 amended by No. 24 of 1995 s. 45.] </w:t>
      </w:r>
    </w:p>
    <w:p>
      <w:pPr>
        <w:pStyle w:val="Heading5"/>
        <w:rPr>
          <w:snapToGrid w:val="0"/>
        </w:rPr>
      </w:pPr>
      <w:bookmarkStart w:id="334" w:name="_Toc410806072"/>
      <w:bookmarkStart w:id="335" w:name="_Toc471117242"/>
      <w:bookmarkStart w:id="336" w:name="_Toc51408365"/>
      <w:bookmarkStart w:id="337" w:name="_Toc102795737"/>
      <w:bookmarkStart w:id="338" w:name="_Toc188692238"/>
      <w:r>
        <w:rPr>
          <w:rStyle w:val="CharSectno"/>
        </w:rPr>
        <w:t>52</w:t>
      </w:r>
      <w:r>
        <w:rPr>
          <w:snapToGrid w:val="0"/>
        </w:rPr>
        <w:t>.</w:t>
      </w:r>
      <w:r>
        <w:rPr>
          <w:snapToGrid w:val="0"/>
        </w:rPr>
        <w:tab/>
        <w:t>Power of officers to represent the Minister</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 xml:space="preserve">[Section 52 amended by No. 24 of 1995 s. 46.] </w:t>
      </w:r>
    </w:p>
    <w:p>
      <w:pPr>
        <w:pStyle w:val="Heading5"/>
        <w:rPr>
          <w:snapToGrid w:val="0"/>
        </w:rPr>
      </w:pPr>
      <w:bookmarkStart w:id="339" w:name="_Toc410806073"/>
      <w:bookmarkStart w:id="340" w:name="_Toc471117243"/>
      <w:bookmarkStart w:id="341" w:name="_Toc51408366"/>
      <w:bookmarkStart w:id="342" w:name="_Toc102795738"/>
      <w:bookmarkStart w:id="343" w:name="_Toc188692239"/>
      <w:r>
        <w:rPr>
          <w:rStyle w:val="CharSectno"/>
        </w:rPr>
        <w:t>53</w:t>
      </w:r>
      <w:r>
        <w:rPr>
          <w:snapToGrid w:val="0"/>
        </w:rPr>
        <w:t>.</w:t>
      </w:r>
      <w:r>
        <w:rPr>
          <w:snapToGrid w:val="0"/>
        </w:rPr>
        <w:tab/>
        <w:t>Proceedings by the Minister</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 xml:space="preserve">[Section 53 inserted by No. 24 of 1995 s. 47; No. 84 of 2004 s. 80 and 82.] </w:t>
      </w:r>
    </w:p>
    <w:p>
      <w:pPr>
        <w:pStyle w:val="Heading5"/>
        <w:keepLines w:val="0"/>
        <w:spacing w:before="180"/>
        <w:rPr>
          <w:snapToGrid w:val="0"/>
        </w:rPr>
      </w:pPr>
      <w:bookmarkStart w:id="344" w:name="_Toc410806074"/>
      <w:bookmarkStart w:id="345" w:name="_Toc471117244"/>
      <w:bookmarkStart w:id="346" w:name="_Toc51408367"/>
      <w:bookmarkStart w:id="347" w:name="_Toc102795739"/>
      <w:bookmarkStart w:id="348" w:name="_Toc188692240"/>
      <w:r>
        <w:rPr>
          <w:rStyle w:val="CharSectno"/>
        </w:rPr>
        <w:t>54</w:t>
      </w:r>
      <w:r>
        <w:rPr>
          <w:snapToGrid w:val="0"/>
        </w:rPr>
        <w:t>.</w:t>
      </w:r>
      <w:r>
        <w:rPr>
          <w:snapToGrid w:val="0"/>
        </w:rPr>
        <w:tab/>
        <w:t>Persons obstructing execution of this Act</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rPr>
          <w:snapToGrid w:val="0"/>
        </w:rPr>
      </w:pPr>
      <w:bookmarkStart w:id="349" w:name="_Toc410806075"/>
      <w:bookmarkStart w:id="350" w:name="_Toc471117245"/>
      <w:bookmarkStart w:id="351" w:name="_Toc51408368"/>
      <w:bookmarkStart w:id="352" w:name="_Toc102795740"/>
      <w:bookmarkStart w:id="353" w:name="_Toc188692241"/>
      <w:r>
        <w:rPr>
          <w:rStyle w:val="CharSectno"/>
        </w:rPr>
        <w:t>55</w:t>
      </w:r>
      <w:r>
        <w:rPr>
          <w:snapToGrid w:val="0"/>
        </w:rPr>
        <w:t>.</w:t>
      </w:r>
      <w:r>
        <w:rPr>
          <w:snapToGrid w:val="0"/>
        </w:rPr>
        <w:tab/>
        <w:t>Breach of conditions</w:t>
      </w:r>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 xml:space="preserve">[Section 55 amended by No. 8 of 1980 s. 11.] </w:t>
      </w:r>
    </w:p>
    <w:p>
      <w:pPr>
        <w:pStyle w:val="Heading5"/>
        <w:rPr>
          <w:snapToGrid w:val="0"/>
        </w:rPr>
      </w:pPr>
      <w:bookmarkStart w:id="354" w:name="_Toc410806076"/>
      <w:bookmarkStart w:id="355" w:name="_Toc471117246"/>
      <w:bookmarkStart w:id="356" w:name="_Toc51408369"/>
      <w:bookmarkStart w:id="357" w:name="_Toc102795741"/>
      <w:bookmarkStart w:id="358" w:name="_Toc188692242"/>
      <w:r>
        <w:rPr>
          <w:rStyle w:val="CharSectno"/>
        </w:rPr>
        <w:t>56</w:t>
      </w:r>
      <w:r>
        <w:rPr>
          <w:snapToGrid w:val="0"/>
        </w:rPr>
        <w:t>.</w:t>
      </w:r>
      <w:r>
        <w:rPr>
          <w:snapToGrid w:val="0"/>
        </w:rPr>
        <w:tab/>
        <w:t>Secrecy</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rPr>
          <w:snapToGrid w:val="0"/>
        </w:rPr>
      </w:pPr>
      <w:bookmarkStart w:id="359" w:name="_Toc410806077"/>
      <w:bookmarkStart w:id="360" w:name="_Toc471117247"/>
      <w:bookmarkStart w:id="361" w:name="_Toc51408370"/>
      <w:bookmarkStart w:id="362" w:name="_Toc102795742"/>
      <w:bookmarkStart w:id="363" w:name="_Toc188692243"/>
      <w:r>
        <w:rPr>
          <w:rStyle w:val="CharSectno"/>
        </w:rPr>
        <w:t>57</w:t>
      </w:r>
      <w:r>
        <w:rPr>
          <w:snapToGrid w:val="0"/>
        </w:rPr>
        <w:t>.</w:t>
      </w:r>
      <w:r>
        <w:rPr>
          <w:snapToGrid w:val="0"/>
        </w:rPr>
        <w:tab/>
        <w:t>Penalties</w:t>
      </w:r>
      <w:bookmarkEnd w:id="359"/>
      <w:bookmarkEnd w:id="360"/>
      <w:bookmarkEnd w:id="361"/>
      <w:bookmarkEnd w:id="362"/>
      <w:bookmarkEnd w:id="363"/>
      <w:r>
        <w:rPr>
          <w:snapToGrid w:val="0"/>
        </w:rPr>
        <w:t xml:space="preserve"> </w:t>
      </w:r>
    </w:p>
    <w:p>
      <w:pPr>
        <w:pStyle w:val="Subsection"/>
      </w:pPr>
      <w:r>
        <w:tab/>
        <w:t>(1)</w:t>
      </w:r>
      <w:r>
        <w:tab/>
        <w:t xml:space="preserve">A person who commits an offence against this Act for which no penalty is specifically provided is liable, on summary conviction — </w:t>
      </w:r>
    </w:p>
    <w:p>
      <w:pPr>
        <w:pStyle w:val="Indenta"/>
      </w:pPr>
      <w:r>
        <w:tab/>
        <w:t>(a)</w:t>
      </w:r>
      <w:r>
        <w:tab/>
        <w:t xml:space="preserve">in the case of an individual, to — </w:t>
      </w:r>
    </w:p>
    <w:p>
      <w:pPr>
        <w:pStyle w:val="Indenti"/>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 xml:space="preserve">in the case of a body corporate, to — </w:t>
      </w:r>
    </w:p>
    <w:p>
      <w:pPr>
        <w:pStyle w:val="Indenti"/>
      </w:pPr>
      <w:r>
        <w:tab/>
        <w:t>(i)</w:t>
      </w:r>
      <w:r>
        <w:tab/>
        <w:t xml:space="preserve">for a first offence, $50 000; and </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Fund.</w:t>
      </w:r>
    </w:p>
    <w:p>
      <w:pPr>
        <w:pStyle w:val="Footnotesection"/>
      </w:pPr>
      <w:r>
        <w:tab/>
        <w:t xml:space="preserve">[Section 57 amended by No. 78 of 1995 s. 4 and 147; No. 50 of 2003 s. 35(2).] </w:t>
      </w:r>
    </w:p>
    <w:p>
      <w:pPr>
        <w:pStyle w:val="Ednotesection"/>
      </w:pPr>
      <w:r>
        <w:t>[</w:t>
      </w:r>
      <w:r>
        <w:rPr>
          <w:b/>
        </w:rPr>
        <w:t>58.</w:t>
      </w:r>
      <w:r>
        <w:tab/>
      </w:r>
      <w:r>
        <w:tab/>
        <w:t xml:space="preserve">Repealed by No. 8 of 1980 s. 12.] </w:t>
      </w:r>
    </w:p>
    <w:p>
      <w:pPr>
        <w:pStyle w:val="Heading5"/>
        <w:rPr>
          <w:snapToGrid w:val="0"/>
        </w:rPr>
      </w:pPr>
      <w:bookmarkStart w:id="364" w:name="_Toc410806078"/>
      <w:bookmarkStart w:id="365" w:name="_Toc471117248"/>
      <w:bookmarkStart w:id="366" w:name="_Toc51408371"/>
      <w:bookmarkStart w:id="367" w:name="_Toc102795743"/>
      <w:bookmarkStart w:id="368" w:name="_Toc188692244"/>
      <w:r>
        <w:rPr>
          <w:rStyle w:val="CharSectno"/>
        </w:rPr>
        <w:t>59</w:t>
      </w:r>
      <w:r>
        <w:rPr>
          <w:snapToGrid w:val="0"/>
        </w:rPr>
        <w:t>.</w:t>
      </w:r>
      <w:r>
        <w:rPr>
          <w:snapToGrid w:val="0"/>
        </w:rPr>
        <w:tab/>
        <w:t>Forfeiture</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 xml:space="preserve">[Section 59 amended by No. 24 of 1995 s. 48.] </w:t>
      </w:r>
    </w:p>
    <w:p>
      <w:pPr>
        <w:pStyle w:val="Heading5"/>
        <w:rPr>
          <w:snapToGrid w:val="0"/>
        </w:rPr>
      </w:pPr>
      <w:bookmarkStart w:id="369" w:name="_Toc410806079"/>
      <w:bookmarkStart w:id="370" w:name="_Toc471117249"/>
      <w:bookmarkStart w:id="371" w:name="_Toc51408372"/>
      <w:bookmarkStart w:id="372" w:name="_Toc102795744"/>
      <w:bookmarkStart w:id="373" w:name="_Toc188692245"/>
      <w:r>
        <w:rPr>
          <w:rStyle w:val="CharSectno"/>
        </w:rPr>
        <w:t>60</w:t>
      </w:r>
      <w:r>
        <w:rPr>
          <w:snapToGrid w:val="0"/>
        </w:rPr>
        <w:t>.</w:t>
      </w:r>
      <w:r>
        <w:rPr>
          <w:snapToGrid w:val="0"/>
        </w:rPr>
        <w:tab/>
        <w:t>Evidence</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by No. 84 of 2004 s. 80 and 82.]</w:t>
      </w:r>
    </w:p>
    <w:p>
      <w:pPr>
        <w:pStyle w:val="Heading5"/>
        <w:spacing w:before="180"/>
        <w:rPr>
          <w:snapToGrid w:val="0"/>
        </w:rPr>
      </w:pPr>
      <w:bookmarkStart w:id="374" w:name="_Toc410806080"/>
      <w:bookmarkStart w:id="375" w:name="_Toc471117250"/>
      <w:bookmarkStart w:id="376" w:name="_Toc51408373"/>
      <w:bookmarkStart w:id="377" w:name="_Toc102795745"/>
      <w:bookmarkStart w:id="378" w:name="_Toc188692246"/>
      <w:r>
        <w:rPr>
          <w:rStyle w:val="CharSectno"/>
        </w:rPr>
        <w:t>61</w:t>
      </w:r>
      <w:r>
        <w:rPr>
          <w:snapToGrid w:val="0"/>
        </w:rPr>
        <w:t>.</w:t>
      </w:r>
      <w:r>
        <w:rPr>
          <w:snapToGrid w:val="0"/>
        </w:rPr>
        <w:tab/>
        <w:t>Presumption as to notices</w:t>
      </w:r>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In any proceedings for an offence against this Act the fact that —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 xml:space="preserve">[Section 61 amended by No. 8 of 1980 s. 14; No. 24 of 1995 s. 49.] </w:t>
      </w:r>
    </w:p>
    <w:p>
      <w:pPr>
        <w:pStyle w:val="Heading5"/>
        <w:spacing w:before="180"/>
        <w:rPr>
          <w:snapToGrid w:val="0"/>
        </w:rPr>
      </w:pPr>
      <w:bookmarkStart w:id="379" w:name="_Toc410806081"/>
      <w:bookmarkStart w:id="380" w:name="_Toc471117251"/>
      <w:bookmarkStart w:id="381" w:name="_Toc51408374"/>
      <w:bookmarkStart w:id="382" w:name="_Toc102795746"/>
      <w:bookmarkStart w:id="383" w:name="_Toc188692247"/>
      <w:r>
        <w:rPr>
          <w:rStyle w:val="CharSectno"/>
        </w:rPr>
        <w:t>62</w:t>
      </w:r>
      <w:r>
        <w:rPr>
          <w:snapToGrid w:val="0"/>
        </w:rPr>
        <w:t>.</w:t>
      </w:r>
      <w:r>
        <w:rPr>
          <w:snapToGrid w:val="0"/>
        </w:rPr>
        <w:tab/>
        <w:t>Special defence of lack of knowledge</w:t>
      </w:r>
      <w:bookmarkEnd w:id="379"/>
      <w:bookmarkEnd w:id="380"/>
      <w:bookmarkEnd w:id="381"/>
      <w:bookmarkEnd w:id="382"/>
      <w:bookmarkEnd w:id="383"/>
      <w:r>
        <w:rPr>
          <w:snapToGrid w:val="0"/>
        </w:rPr>
        <w:t xml:space="preserve"> </w:t>
      </w:r>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384" w:name="_Toc72569209"/>
      <w:bookmarkStart w:id="385" w:name="_Toc92437934"/>
      <w:bookmarkStart w:id="386" w:name="_Toc96933141"/>
      <w:bookmarkStart w:id="387" w:name="_Toc102795389"/>
      <w:bookmarkStart w:id="388" w:name="_Toc102795747"/>
      <w:bookmarkStart w:id="389" w:name="_Toc186621571"/>
      <w:bookmarkStart w:id="390" w:name="_Toc186621648"/>
      <w:bookmarkStart w:id="391" w:name="_Toc187048191"/>
      <w:bookmarkStart w:id="392" w:name="_Toc188692248"/>
      <w:r>
        <w:rPr>
          <w:rStyle w:val="CharPartNo"/>
        </w:rPr>
        <w:t>Part VIII</w:t>
      </w:r>
      <w:r>
        <w:rPr>
          <w:rStyle w:val="CharDivNo"/>
        </w:rPr>
        <w:t> </w:t>
      </w:r>
      <w:r>
        <w:t>—</w:t>
      </w:r>
      <w:r>
        <w:rPr>
          <w:rStyle w:val="CharDivText"/>
        </w:rPr>
        <w:t> </w:t>
      </w:r>
      <w:r>
        <w:rPr>
          <w:rStyle w:val="CharPartText"/>
        </w:rPr>
        <w:t>General</w:t>
      </w:r>
      <w:bookmarkEnd w:id="384"/>
      <w:bookmarkEnd w:id="385"/>
      <w:bookmarkEnd w:id="386"/>
      <w:bookmarkEnd w:id="387"/>
      <w:bookmarkEnd w:id="388"/>
      <w:bookmarkEnd w:id="389"/>
      <w:bookmarkEnd w:id="390"/>
      <w:bookmarkEnd w:id="391"/>
      <w:bookmarkEnd w:id="392"/>
      <w:r>
        <w:rPr>
          <w:rStyle w:val="CharPartText"/>
        </w:rPr>
        <w:t xml:space="preserve"> </w:t>
      </w:r>
    </w:p>
    <w:p>
      <w:pPr>
        <w:pStyle w:val="Footnoteheading"/>
        <w:rPr>
          <w:snapToGrid w:val="0"/>
        </w:rPr>
      </w:pPr>
      <w:r>
        <w:rPr>
          <w:snapToGrid w:val="0"/>
        </w:rPr>
        <w:tab/>
        <w:t>[Heading </w:t>
      </w:r>
      <w:r>
        <w:t>amended by No. 24 of 1995</w:t>
      </w:r>
      <w:r>
        <w:rPr>
          <w:snapToGrid w:val="0"/>
        </w:rPr>
        <w:t xml:space="preserve"> s. 50.]</w:t>
      </w:r>
    </w:p>
    <w:p>
      <w:pPr>
        <w:pStyle w:val="Ednotesection"/>
      </w:pPr>
      <w:r>
        <w:t>[</w:t>
      </w:r>
      <w:r>
        <w:rPr>
          <w:b/>
        </w:rPr>
        <w:t>63-66.</w:t>
      </w:r>
      <w:r>
        <w:rPr>
          <w:bCs/>
        </w:rPr>
        <w:tab/>
      </w:r>
      <w:r>
        <w:t xml:space="preserve">Repealed by No. 24 of 1995 s. 51.] </w:t>
      </w:r>
    </w:p>
    <w:p>
      <w:pPr>
        <w:pStyle w:val="Heading5"/>
        <w:rPr>
          <w:snapToGrid w:val="0"/>
        </w:rPr>
      </w:pPr>
      <w:bookmarkStart w:id="393" w:name="_Toc410806082"/>
      <w:bookmarkStart w:id="394" w:name="_Toc471117252"/>
      <w:bookmarkStart w:id="395" w:name="_Toc51408375"/>
      <w:bookmarkStart w:id="396" w:name="_Toc102795748"/>
      <w:bookmarkStart w:id="397" w:name="_Toc188692249"/>
      <w:r>
        <w:rPr>
          <w:rStyle w:val="CharSectno"/>
        </w:rPr>
        <w:t>67</w:t>
      </w:r>
      <w:r>
        <w:rPr>
          <w:snapToGrid w:val="0"/>
        </w:rPr>
        <w:t>.</w:t>
      </w:r>
      <w:r>
        <w:rPr>
          <w:snapToGrid w:val="0"/>
        </w:rPr>
        <w:tab/>
        <w:t>Indemnity</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person who is, or has been —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tab/>
      </w:r>
      <w:r>
        <w:rPr>
          <w:snapToGrid w:val="0"/>
        </w:rPr>
        <w:tab/>
        <w:t>is not personally liable for anything done, or omitted to be done, in good faith, in, or in connection with, the exercise or purported exercise of any function under this Act.</w:t>
      </w:r>
    </w:p>
    <w:p>
      <w:pPr>
        <w:pStyle w:val="Footnotesection"/>
      </w:pPr>
      <w:r>
        <w:tab/>
        <w:t xml:space="preserve">[Section 67 inserted by No. 24 of 1995 s. 52.] </w:t>
      </w:r>
    </w:p>
    <w:p>
      <w:pPr>
        <w:pStyle w:val="Heading5"/>
        <w:rPr>
          <w:snapToGrid w:val="0"/>
        </w:rPr>
      </w:pPr>
      <w:bookmarkStart w:id="398" w:name="_Toc410806083"/>
      <w:bookmarkStart w:id="399" w:name="_Toc471117253"/>
      <w:bookmarkStart w:id="400" w:name="_Toc51408376"/>
      <w:bookmarkStart w:id="401" w:name="_Toc102795749"/>
      <w:bookmarkStart w:id="402" w:name="_Toc188692250"/>
      <w:r>
        <w:rPr>
          <w:snapToGrid w:val="0"/>
        </w:rPr>
        <w:t>68.</w:t>
      </w:r>
      <w:r>
        <w:rPr>
          <w:snapToGrid w:val="0"/>
        </w:rPr>
        <w:tab/>
        <w:t>Regulations</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 xml:space="preserve">[Section 68 inserted by No. 24 of 1995 s. 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03" w:name="_Toc72569212"/>
      <w:bookmarkStart w:id="404" w:name="_Toc92437937"/>
      <w:bookmarkStart w:id="405" w:name="_Toc96933144"/>
      <w:bookmarkStart w:id="406" w:name="_Toc102795392"/>
      <w:bookmarkStart w:id="407" w:name="_Toc102795750"/>
      <w:bookmarkStart w:id="408" w:name="_Toc186621574"/>
      <w:bookmarkStart w:id="409" w:name="_Toc186621651"/>
      <w:bookmarkStart w:id="410" w:name="_Toc187048194"/>
      <w:bookmarkStart w:id="411" w:name="_Toc188692251"/>
      <w:r>
        <w:t>Notes</w:t>
      </w:r>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Heritage Act 1972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412" w:name="_Toc188692252"/>
      <w:r>
        <w:t>Compilation table</w:t>
      </w:r>
      <w:bookmarkEnd w:id="41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14"/>
              <w:rPr>
                <w:b/>
                <w:sz w:val="19"/>
              </w:rPr>
            </w:pPr>
            <w:r>
              <w:rPr>
                <w:b/>
                <w:sz w:val="19"/>
              </w:rPr>
              <w:t>Commencement</w:t>
            </w:r>
          </w:p>
        </w:tc>
      </w:tr>
      <w:tr>
        <w:trPr>
          <w:cantSplit/>
        </w:trPr>
        <w:tc>
          <w:tcPr>
            <w:tcW w:w="2268" w:type="dxa"/>
          </w:tcPr>
          <w:p>
            <w:pPr>
              <w:pStyle w:val="nTable"/>
              <w:spacing w:after="40"/>
              <w:ind w:right="170"/>
              <w:rPr>
                <w:i/>
                <w:sz w:val="19"/>
              </w:rPr>
            </w:pPr>
            <w:r>
              <w:rPr>
                <w:i/>
                <w:sz w:val="19"/>
              </w:rPr>
              <w:t>Aboriginal Heritage Act 1972</w:t>
            </w:r>
          </w:p>
        </w:tc>
        <w:tc>
          <w:tcPr>
            <w:tcW w:w="1134" w:type="dxa"/>
          </w:tcPr>
          <w:p>
            <w:pPr>
              <w:pStyle w:val="nTable"/>
              <w:spacing w:after="40"/>
              <w:rPr>
                <w:sz w:val="19"/>
              </w:rPr>
            </w:pPr>
            <w:r>
              <w:rPr>
                <w:sz w:val="19"/>
              </w:rPr>
              <w:t>53 of 1972</w:t>
            </w:r>
          </w:p>
        </w:tc>
        <w:tc>
          <w:tcPr>
            <w:tcW w:w="1134" w:type="dxa"/>
          </w:tcPr>
          <w:p>
            <w:pPr>
              <w:pStyle w:val="nTable"/>
              <w:spacing w:after="40"/>
              <w:rPr>
                <w:sz w:val="19"/>
              </w:rPr>
            </w:pPr>
            <w:r>
              <w:rPr>
                <w:sz w:val="19"/>
              </w:rPr>
              <w:t>2 Oct 1972</w:t>
            </w:r>
          </w:p>
        </w:tc>
        <w:tc>
          <w:tcPr>
            <w:tcW w:w="2551" w:type="dxa"/>
          </w:tcPr>
          <w:p>
            <w:pPr>
              <w:pStyle w:val="nTable"/>
              <w:spacing w:after="40"/>
              <w:rPr>
                <w:sz w:val="19"/>
              </w:rPr>
            </w:pPr>
            <w:r>
              <w:rPr>
                <w:sz w:val="19"/>
              </w:rPr>
              <w:t>15 Dec 1972 (see s. 2 and</w:t>
            </w:r>
            <w:r>
              <w:rPr>
                <w:i/>
                <w:sz w:val="19"/>
              </w:rPr>
              <w:t xml:space="preserve"> Gazette</w:t>
            </w:r>
            <w:r>
              <w:rPr>
                <w:sz w:val="19"/>
              </w:rPr>
              <w:t xml:space="preserve"> 15 Dec 1972 p. 4681)</w:t>
            </w:r>
          </w:p>
        </w:tc>
      </w:tr>
      <w:tr>
        <w:trPr>
          <w:cantSplit/>
        </w:trPr>
        <w:tc>
          <w:tcPr>
            <w:tcW w:w="2268" w:type="dxa"/>
          </w:tcPr>
          <w:p>
            <w:pPr>
              <w:pStyle w:val="nTable"/>
              <w:spacing w:after="40"/>
              <w:ind w:right="170"/>
              <w:rPr>
                <w:sz w:val="19"/>
              </w:rPr>
            </w:pPr>
            <w:r>
              <w:rPr>
                <w:i/>
                <w:sz w:val="19"/>
              </w:rPr>
              <w:t>Aboriginal Heritage Amendment Act (No. 2) 1980</w:t>
            </w:r>
          </w:p>
        </w:tc>
        <w:tc>
          <w:tcPr>
            <w:tcW w:w="1134" w:type="dxa"/>
          </w:tcPr>
          <w:p>
            <w:pPr>
              <w:pStyle w:val="nTable"/>
              <w:spacing w:after="40"/>
              <w:rPr>
                <w:sz w:val="19"/>
              </w:rPr>
            </w:pPr>
            <w:r>
              <w:rPr>
                <w:sz w:val="19"/>
              </w:rPr>
              <w:t>8 of 1980</w:t>
            </w:r>
          </w:p>
        </w:tc>
        <w:tc>
          <w:tcPr>
            <w:tcW w:w="1134" w:type="dxa"/>
          </w:tcPr>
          <w:p>
            <w:pPr>
              <w:pStyle w:val="nTable"/>
              <w:spacing w:after="40"/>
              <w:rPr>
                <w:sz w:val="19"/>
              </w:rPr>
            </w:pPr>
            <w:r>
              <w:rPr>
                <w:sz w:val="19"/>
              </w:rPr>
              <w:t>23 Sep 1980</w:t>
            </w:r>
          </w:p>
        </w:tc>
        <w:tc>
          <w:tcPr>
            <w:tcW w:w="2551" w:type="dxa"/>
          </w:tcPr>
          <w:p>
            <w:pPr>
              <w:pStyle w:val="nTable"/>
              <w:spacing w:after="40"/>
              <w:rPr>
                <w:sz w:val="19"/>
              </w:rPr>
            </w:pPr>
            <w:r>
              <w:rPr>
                <w:sz w:val="19"/>
              </w:rPr>
              <w:t>23 Sep 1980</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ind w:right="-29"/>
              <w:rPr>
                <w:sz w:val="19"/>
              </w:rPr>
            </w:pPr>
            <w:r>
              <w:rPr>
                <w:sz w:val="19"/>
              </w:rPr>
              <w:t>98 of 1985</w:t>
            </w:r>
            <w:r>
              <w:rPr>
                <w:sz w:val="19"/>
              </w:rPr>
              <w:br/>
            </w:r>
            <w:r>
              <w:rPr>
                <w:spacing w:val="-2"/>
                <w:sz w:val="19"/>
              </w:rPr>
              <w:t xml:space="preserve">(as amended by No. 4 </w:t>
            </w:r>
            <w:r>
              <w:rPr>
                <w:spacing w:val="-2"/>
                <w:sz w:val="19"/>
              </w:rPr>
              <w:br/>
              <w:t>of 1986, section 3)</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XIV</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20 Oct 1992 (see s. 2 and</w:t>
            </w:r>
            <w:r>
              <w:rPr>
                <w:i/>
                <w:sz w:val="19"/>
              </w:rPr>
              <w:t xml:space="preserve"> 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iCs/>
                <w:sz w:val="19"/>
                <w:vertAlign w:val="superscript"/>
              </w:rPr>
            </w:pPr>
            <w:r>
              <w:rPr>
                <w:i/>
                <w:sz w:val="19"/>
              </w:rPr>
              <w:t>Aboriginal Heritage Amendment Act 1995</w:t>
            </w:r>
            <w:r>
              <w:rPr>
                <w:iCs/>
                <w:sz w:val="19"/>
                <w:vertAlign w:val="superscript"/>
              </w:rPr>
              <w:t> 2, 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w:t>
            </w:r>
            <w:r>
              <w:rPr>
                <w:i/>
                <w:sz w:val="19"/>
              </w:rPr>
              <w:t xml:space="preserve"> Gazette</w:t>
            </w:r>
            <w:r>
              <w:rPr>
                <w:sz w:val="19"/>
              </w:rPr>
              <w:t xml:space="preserve"> 30 Jun 1995 p. 2781)</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Gas Corporation (Business Disposal) Act 1999</w:t>
            </w:r>
            <w:r>
              <w:rPr>
                <w:sz w:val="19"/>
              </w:rPr>
              <w:t xml:space="preserve"> s. 39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24 Dec 1999 (see s. 2(1))</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35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State Administrative Tribunal (Conferral of Jurisdiction) Amendment and Repeal Act 2004 </w:t>
            </w:r>
            <w:r>
              <w:rPr>
                <w:sz w:val="19"/>
              </w:rPr>
              <w:t>Pt. 2 Div. 1</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70"/>
              <w:rPr>
                <w:i/>
                <w:iCs/>
                <w:snapToGrid w:val="0"/>
                <w:sz w:val="19"/>
                <w:lang w:val="en-US"/>
              </w:rPr>
            </w:pPr>
            <w:r>
              <w:rPr>
                <w:i/>
                <w:snapToGrid w:val="0"/>
                <w:sz w:val="19"/>
              </w:rPr>
              <w:t>Petroleum Amendment Act 2007</w:t>
            </w:r>
            <w:r>
              <w:rPr>
                <w:iCs/>
                <w:snapToGrid w:val="0"/>
                <w:sz w:val="19"/>
              </w:rPr>
              <w:t xml:space="preserve"> s. 89</w:t>
            </w:r>
            <w:r>
              <w:rPr>
                <w:sz w:val="19"/>
              </w:rPr>
              <w:t> </w:t>
            </w:r>
          </w:p>
        </w:tc>
        <w:tc>
          <w:tcPr>
            <w:tcW w:w="1134" w:type="dxa"/>
            <w:tcBorders>
              <w:bottom w:val="single" w:sz="8" w:space="0" w:color="auto"/>
            </w:tcBorders>
          </w:tcPr>
          <w:p>
            <w:pPr>
              <w:pStyle w:val="nTable"/>
              <w:spacing w:after="40"/>
              <w:rPr>
                <w:snapToGrid w:val="0"/>
                <w:sz w:val="19"/>
                <w:lang w:val="en-US"/>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1" w:type="dxa"/>
            <w:tcBorders>
              <w:bottom w:val="single" w:sz="8"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13" w:name="_Toc534778309"/>
      <w:bookmarkStart w:id="414" w:name="_Toc7405063"/>
      <w:bookmarkStart w:id="415" w:name="_Toc86554138"/>
      <w:bookmarkStart w:id="416" w:name="_Toc86554219"/>
      <w:bookmarkStart w:id="417" w:name="_Toc102795752"/>
      <w:bookmarkStart w:id="418" w:name="_Toc188692253"/>
      <w:r>
        <w:t>Provisions that have not come into operation</w:t>
      </w:r>
      <w:bookmarkEnd w:id="413"/>
      <w:bookmarkEnd w:id="414"/>
      <w:bookmarkEnd w:id="415"/>
      <w:bookmarkEnd w:id="416"/>
      <w:bookmarkEnd w:id="417"/>
      <w:bookmarkEnd w:id="41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38"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38"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Aboriginal Heritage Act 1972</w:t>
      </w:r>
      <w:r>
        <w:rPr>
          <w:snapToGrid w:val="0"/>
        </w:rPr>
        <w:t xml:space="preserve"> is affected by the </w:t>
      </w:r>
      <w:r>
        <w:rPr>
          <w:i/>
          <w:snapToGrid w:val="0"/>
        </w:rPr>
        <w:t xml:space="preserve">Aboriginal Heritage (Marandoo) Act 1992 </w:t>
      </w:r>
      <w:r>
        <w:rPr>
          <w:snapToGrid w:val="0"/>
        </w:rPr>
        <w:t>(No. 2 of 1992), section 3.</w:t>
      </w:r>
    </w:p>
    <w:p>
      <w:pPr>
        <w:pStyle w:val="nSubsection"/>
        <w:rPr>
          <w:snapToGrid w:val="0"/>
        </w:rPr>
      </w:pPr>
      <w:r>
        <w:rPr>
          <w:snapToGrid w:val="0"/>
        </w:rPr>
        <w:tab/>
        <w:t xml:space="preserve">The </w:t>
      </w:r>
      <w:r>
        <w:rPr>
          <w:i/>
          <w:snapToGrid w:val="0"/>
        </w:rPr>
        <w:t>Aboriginal Heritage Act 1972</w:t>
      </w:r>
      <w:r>
        <w:rPr>
          <w:snapToGrid w:val="0"/>
        </w:rPr>
        <w:t xml:space="preserve"> is affected by the </w:t>
      </w:r>
      <w:r>
        <w:rPr>
          <w:i/>
          <w:snapToGrid w:val="0"/>
        </w:rPr>
        <w:t>Dampier to Bunbury Pipeline Act 1997</w:t>
      </w:r>
      <w:r>
        <w:rPr>
          <w:snapToGrid w:val="0"/>
        </w:rPr>
        <w:t xml:space="preserve"> (No. 53 of 1997), Division 2 of Schedule 4 which reads as follows —</w:t>
      </w:r>
    </w:p>
    <w:p>
      <w:pPr>
        <w:pStyle w:val="MiscOpen"/>
        <w:rPr>
          <w:snapToGrid w:val="0"/>
        </w:rPr>
      </w:pPr>
      <w:r>
        <w:rPr>
          <w:snapToGrid w:val="0"/>
        </w:rPr>
        <w:t>“</w:t>
      </w:r>
    </w:p>
    <w:p>
      <w:pPr>
        <w:pStyle w:val="nzHeading5"/>
      </w:pPr>
      <w:r>
        <w:t>8.</w:t>
      </w:r>
      <w:r>
        <w:tab/>
        <w:t>Persons who are to be included as owners</w:t>
      </w:r>
    </w:p>
    <w:p>
      <w:pPr>
        <w:pStyle w:val="nzSubsection"/>
        <w:rPr>
          <w:snapToGrid w:val="0"/>
        </w:rPr>
      </w:pPr>
      <w:r>
        <w:rPr>
          <w:snapToGrid w:val="0"/>
        </w:rPr>
        <w:tab/>
      </w:r>
      <w:r>
        <w:rPr>
          <w:snapToGrid w:val="0"/>
        </w:rPr>
        <w:tab/>
        <w:t xml:space="preserve">A person who — </w:t>
      </w:r>
    </w:p>
    <w:p>
      <w:pPr>
        <w:pStyle w:val="nzIndenta"/>
      </w:pPr>
      <w:r>
        <w:tab/>
        <w:t>(a)</w:t>
      </w:r>
      <w:r>
        <w:tab/>
        <w:t>is the holder of rights conferred under section 34 of this Act in respect of land or is the holder’s nominee approved under section 34(3) of this Act; or</w:t>
      </w:r>
    </w:p>
    <w:p>
      <w:pPr>
        <w:pStyle w:val="nzIndenta"/>
        <w:rPr>
          <w:snapToGrid w:val="0"/>
        </w:rPr>
      </w:pPr>
      <w:r>
        <w:rPr>
          <w:snapToGrid w:val="0"/>
        </w:rPr>
        <w:tab/>
        <w:t>(b)</w:t>
      </w:r>
      <w:r>
        <w:rPr>
          <w:snapToGrid w:val="0"/>
        </w:rPr>
        <w:tab/>
        <w:t xml:space="preserve">has authority under section 7 of the </w:t>
      </w:r>
      <w:r>
        <w:rPr>
          <w:i/>
          <w:snapToGrid w:val="0"/>
        </w:rPr>
        <w:t>Petroleum Pipelines Act 1969</w:t>
      </w:r>
      <w:r>
        <w:rPr>
          <w:snapToGrid w:val="0"/>
        </w:rPr>
        <w:t xml:space="preserve"> to enter upon land,</w:t>
      </w:r>
    </w:p>
    <w:p>
      <w:pPr>
        <w:pStyle w:val="nzSubsection"/>
        <w:rPr>
          <w:snapToGrid w:val="0"/>
        </w:rPr>
      </w:pPr>
      <w:r>
        <w:rPr>
          <w:snapToGrid w:val="0"/>
        </w:rPr>
        <w:tab/>
      </w:r>
      <w:r>
        <w:rPr>
          <w:snapToGrid w:val="0"/>
        </w:rPr>
        <w:tab/>
        <w:t xml:space="preserve">is included as a person who is an owner of the land for the purposes of section 18 of the </w:t>
      </w:r>
      <w:r>
        <w:rPr>
          <w:i/>
          <w:snapToGrid w:val="0"/>
        </w:rPr>
        <w:t>Aboriginal Heritage Act 1972</w:t>
      </w:r>
      <w:r>
        <w:rPr>
          <w:snapToGrid w:val="0"/>
        </w:rPr>
        <w:t>.</w:t>
      </w:r>
    </w:p>
    <w:p>
      <w:pPr>
        <w:pStyle w:val="MiscClose"/>
        <w:rPr>
          <w:snapToGrid w:val="0"/>
        </w:rPr>
      </w:pPr>
      <w:r>
        <w:rPr>
          <w:snapToGrid w:val="0"/>
        </w:rPr>
        <w:t>”.</w:t>
      </w:r>
    </w:p>
    <w:p>
      <w:pPr>
        <w:pStyle w:val="nSubsection"/>
        <w:rPr>
          <w:snapToGrid w:val="0"/>
        </w:rPr>
      </w:pPr>
      <w:r>
        <w:rPr>
          <w:snapToGrid w:val="0"/>
          <w:vertAlign w:val="superscript"/>
        </w:rPr>
        <w:t>2</w:t>
      </w:r>
      <w:r>
        <w:rPr>
          <w:snapToGrid w:val="0"/>
        </w:rPr>
        <w:tab/>
        <w:t xml:space="preserve">Section 19(2), (3) and (4) of the </w:t>
      </w:r>
      <w:r>
        <w:rPr>
          <w:i/>
          <w:snapToGrid w:val="0"/>
        </w:rPr>
        <w:t>Aboriginal Heritage Amendment Act 1995</w:t>
      </w:r>
      <w:r>
        <w:rPr>
          <w:snapToGrid w:val="0"/>
        </w:rPr>
        <w:t xml:space="preserve"> (No. 24 of 1995) reads as follows — </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w:t>
      </w:r>
      <w:bookmarkStart w:id="419" w:name="endcomma"/>
      <w:bookmarkEnd w:id="419"/>
      <w:r>
        <w:rPr>
          <w:b/>
          <w:snapToGrid w:val="0"/>
        </w:rPr>
        <w:t>Trustees”</w:t>
      </w:r>
      <w:r>
        <w:rPr>
          <w:snapToGrid w:val="0"/>
        </w:rPr>
        <w:t xml:space="preserve"> </w:t>
      </w:r>
      <w:bookmarkStart w:id="420" w:name="comma"/>
      <w:bookmarkEnd w:id="420"/>
      <w:r>
        <w:rPr>
          <w:snapToGrid w:val="0"/>
        </w:rPr>
        <w:t>has the meaning given to it by the principal Act before its amendment by this Act.</w:t>
      </w:r>
    </w:p>
    <w:p>
      <w:pPr>
        <w:pStyle w:val="MiscClose"/>
        <w:rPr>
          <w:snapToGrid w:val="0"/>
        </w:rPr>
      </w:pPr>
      <w:bookmarkStart w:id="421" w:name="_Toc410806084"/>
      <w:r>
        <w:rPr>
          <w:snapToGrid w:val="0"/>
        </w:rPr>
        <w:t>”.</w:t>
      </w:r>
      <w:bookmarkEnd w:id="421"/>
    </w:p>
    <w:p>
      <w:pPr>
        <w:pStyle w:val="nSubsection"/>
        <w:rPr>
          <w:snapToGrid w:val="0"/>
        </w:rPr>
      </w:pPr>
      <w:r>
        <w:rPr>
          <w:snapToGrid w:val="0"/>
          <w:vertAlign w:val="superscript"/>
        </w:rPr>
        <w:t>3</w:t>
      </w:r>
      <w:r>
        <w:rPr>
          <w:snapToGrid w:val="0"/>
        </w:rPr>
        <w:tab/>
        <w:t xml:space="preserve">Section 51(2) and (3) of the </w:t>
      </w:r>
      <w:r>
        <w:rPr>
          <w:i/>
          <w:snapToGrid w:val="0"/>
        </w:rPr>
        <w:t>Aboriginal Heritage Amendment Act 1995</w:t>
      </w:r>
      <w:r>
        <w:rPr>
          <w:snapToGrid w:val="0"/>
        </w:rPr>
        <w:t xml:space="preserve"> (No. 24 of 1995)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bookmarkStart w:id="422" w:name="_Toc410806085"/>
      <w:r>
        <w:rPr>
          <w:snapToGrid w:val="0"/>
        </w:rPr>
        <w:t>”</w:t>
      </w:r>
      <w:bookmarkEnd w:id="422"/>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snapToGrid w:val="0"/>
          <w:lang w:val="en-US"/>
        </w:rPr>
        <w:t>Courts Legislation Amendment and Re</w:t>
      </w:r>
      <w:bookmarkStart w:id="423" w:name="UpToHere"/>
      <w:bookmarkEnd w:id="423"/>
      <w:r>
        <w:rPr>
          <w:i/>
          <w:snapToGrid w:val="0"/>
          <w:lang w:val="en-US"/>
        </w:rPr>
        <w:t>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24" w:name="_Toc88630545"/>
      <w:r>
        <w:rPr>
          <w:rStyle w:val="CharSectno"/>
        </w:rPr>
        <w:t>142</w:t>
      </w:r>
      <w:r>
        <w:t>.</w:t>
      </w:r>
      <w:r>
        <w:tab/>
        <w:t>Other amendments to various Acts</w:t>
      </w:r>
      <w:bookmarkEnd w:id="424"/>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 reads as follows:</w:t>
      </w:r>
    </w:p>
    <w:p>
      <w:pPr>
        <w:pStyle w:val="MiscOpen"/>
        <w:rPr>
          <w:snapToGrid w:val="0"/>
        </w:rPr>
      </w:pPr>
      <w:r>
        <w:rPr>
          <w:snapToGrid w:val="0"/>
        </w:rPr>
        <w:t>“</w:t>
      </w:r>
    </w:p>
    <w:p>
      <w:pPr>
        <w:pStyle w:val="nzHeading2"/>
        <w:spacing w:before="0" w:after="120"/>
      </w:pPr>
      <w:bookmarkStart w:id="425" w:name="AutoSch"/>
      <w:bookmarkStart w:id="426" w:name="_Toc491766625"/>
      <w:bookmarkStart w:id="427" w:name="_Toc88630552"/>
      <w:bookmarkEnd w:id="425"/>
      <w:r>
        <w:rPr>
          <w:rStyle w:val="CharSchNo"/>
        </w:rPr>
        <w:t>Schedule 2</w:t>
      </w:r>
      <w:r>
        <w:t xml:space="preserve"> — </w:t>
      </w:r>
      <w:r>
        <w:rPr>
          <w:rStyle w:val="CharSchText"/>
        </w:rPr>
        <w:t>Other amendments to Acts</w:t>
      </w:r>
    </w:p>
    <w:p>
      <w:pPr>
        <w:pStyle w:val="nzHeading5"/>
        <w:spacing w:before="0" w:after="120"/>
      </w:pPr>
      <w:bookmarkStart w:id="428" w:name="_Toc88630723"/>
      <w:r>
        <w:t>1.</w:t>
      </w:r>
      <w:r>
        <w:tab/>
      </w:r>
      <w:r>
        <w:rPr>
          <w:i/>
        </w:rPr>
        <w:t>Aboriginal Heritage Act 1972</w:t>
      </w:r>
      <w:bookmarkEnd w:id="428"/>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4"/>
      </w:tblGrid>
      <w:tr>
        <w:trPr>
          <w:cantSplit/>
        </w:trPr>
        <w:tc>
          <w:tcPr>
            <w:tcW w:w="1134" w:type="dxa"/>
          </w:tcPr>
          <w:p>
            <w:pPr>
              <w:pStyle w:val="nzTable"/>
            </w:pPr>
            <w:r>
              <w:t>s. 43(3)</w:t>
            </w:r>
          </w:p>
        </w:tc>
        <w:tc>
          <w:tcPr>
            <w:tcW w:w="4394" w:type="dxa"/>
          </w:tcPr>
          <w:p>
            <w:pPr>
              <w:pStyle w:val="nzTable"/>
            </w:pPr>
            <w:r>
              <w:t xml:space="preserve">Delete “Local Court at Perth” and insert instead — </w:t>
            </w:r>
          </w:p>
          <w:p>
            <w:pPr>
              <w:pStyle w:val="nzTable"/>
            </w:pPr>
            <w:r>
              <w:t>“    Magistrates Court    ”.</w:t>
            </w:r>
          </w:p>
        </w:tc>
      </w:tr>
      <w:tr>
        <w:trPr>
          <w:cantSplit/>
        </w:trPr>
        <w:tc>
          <w:tcPr>
            <w:tcW w:w="1134" w:type="dxa"/>
          </w:tcPr>
          <w:p>
            <w:pPr>
              <w:pStyle w:val="nzTable"/>
            </w:pPr>
            <w:r>
              <w:t>s. 43(4)</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43(5)</w:t>
            </w:r>
          </w:p>
        </w:tc>
        <w:tc>
          <w:tcPr>
            <w:tcW w:w="4394" w:type="dxa"/>
          </w:tcPr>
          <w:p>
            <w:pPr>
              <w:pStyle w:val="nzTable"/>
            </w:pPr>
            <w:r>
              <w:t xml:space="preserve">Delete “Local Court” in the 2 places where it occurs and in each place insert instead — </w:t>
            </w:r>
          </w:p>
          <w:p>
            <w:pPr>
              <w:pStyle w:val="nzTable"/>
            </w:pPr>
            <w:r>
              <w:t>“    Magistrates Court    ”.</w:t>
            </w:r>
          </w:p>
        </w:tc>
      </w:tr>
      <w:tr>
        <w:trPr>
          <w:cantSplit/>
        </w:trPr>
        <w:tc>
          <w:tcPr>
            <w:tcW w:w="1134" w:type="dxa"/>
          </w:tcPr>
          <w:p>
            <w:pPr>
              <w:pStyle w:val="nzTable"/>
            </w:pPr>
            <w:r>
              <w:t>s. 43(6)</w:t>
            </w:r>
          </w:p>
        </w:tc>
        <w:tc>
          <w:tcPr>
            <w:tcW w:w="4394" w:type="dxa"/>
          </w:tcPr>
          <w:p>
            <w:pPr>
              <w:pStyle w:val="nzTable"/>
            </w:pPr>
            <w:r>
              <w:t xml:space="preserve">Delete “Local Court” in the 3 places where it occurs and in each place insert instead — </w:t>
            </w:r>
          </w:p>
          <w:p>
            <w:pPr>
              <w:pStyle w:val="nzTable"/>
            </w:pPr>
            <w:r>
              <w:t>“    Magistrates Court    ”.</w:t>
            </w:r>
          </w:p>
        </w:tc>
      </w:tr>
      <w:tr>
        <w:trPr>
          <w:cantSplit/>
        </w:trPr>
        <w:tc>
          <w:tcPr>
            <w:tcW w:w="1134" w:type="dxa"/>
          </w:tcPr>
          <w:p>
            <w:pPr>
              <w:pStyle w:val="nzTable"/>
            </w:pPr>
            <w:r>
              <w:t>s. 44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46(3)</w:t>
            </w:r>
          </w:p>
        </w:tc>
        <w:tc>
          <w:tcPr>
            <w:tcW w:w="4394" w:type="dxa"/>
          </w:tcPr>
          <w:p>
            <w:pPr>
              <w:pStyle w:val="nzTable"/>
            </w:pPr>
            <w:r>
              <w:t xml:space="preserve">Delete “Local Court held nearest to the place where the object is then located, or, at his option, to the Local Court at Perth,” and insert instead — </w:t>
            </w:r>
          </w:p>
          <w:p>
            <w:pPr>
              <w:pStyle w:val="nzTable"/>
            </w:pPr>
            <w:r>
              <w:t>“    Magistrates Court    ”.</w:t>
            </w:r>
          </w:p>
        </w:tc>
      </w:tr>
      <w:tr>
        <w:trPr>
          <w:cantSplit/>
        </w:trPr>
        <w:tc>
          <w:tcPr>
            <w:tcW w:w="1134" w:type="dxa"/>
          </w:tcPr>
          <w:p>
            <w:pPr>
              <w:pStyle w:val="nzTable"/>
            </w:pPr>
            <w:r>
              <w:t>s. 46(4)</w:t>
            </w:r>
          </w:p>
        </w:tc>
        <w:tc>
          <w:tcPr>
            <w:tcW w:w="4394" w:type="dxa"/>
          </w:tcPr>
          <w:p>
            <w:pPr>
              <w:pStyle w:val="nzTable"/>
            </w:pPr>
            <w:r>
              <w:t xml:space="preserve">Delete “Local Court” and insert instead — </w:t>
            </w:r>
          </w:p>
          <w:p>
            <w:pPr>
              <w:pStyle w:val="nzTable"/>
            </w:pPr>
            <w:r>
              <w:t>“    Magistrates Court    ”.</w:t>
            </w:r>
          </w:p>
        </w:tc>
      </w:tr>
      <w:tr>
        <w:trPr>
          <w:cantSplit/>
        </w:trPr>
        <w:tc>
          <w:tcPr>
            <w:tcW w:w="1134" w:type="dxa"/>
          </w:tcPr>
          <w:p>
            <w:pPr>
              <w:pStyle w:val="nzTable"/>
            </w:pPr>
            <w:r>
              <w:t>s. 47(2)</w:t>
            </w:r>
          </w:p>
        </w:tc>
        <w:tc>
          <w:tcPr>
            <w:tcW w:w="4394" w:type="dxa"/>
          </w:tcPr>
          <w:p>
            <w:pPr>
              <w:pStyle w:val="nzTable"/>
            </w:pPr>
            <w:r>
              <w:t xml:space="preserve">Delete “Local Court” and insert instead — </w:t>
            </w:r>
          </w:p>
          <w:p>
            <w:pPr>
              <w:pStyle w:val="nzTable"/>
            </w:pPr>
            <w:r>
              <w:t>“    Magistrates Court    ”.</w:t>
            </w:r>
          </w:p>
        </w:tc>
      </w:tr>
    </w:tbl>
    <w:bookmarkEnd w:id="426"/>
    <w:bookmarkEnd w:id="427"/>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Aboriginal Heritage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Heritage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Heritage Act 1972</w:t>
    </w:r>
    <w:r>
      <w:rPr>
        <w:i/>
      </w:rPr>
      <w:fldChar w:fldCharType="end"/>
    </w:r>
  </w:p>
  <w:p>
    <w:pPr>
      <w:pStyle w:val="headerpartodd"/>
      <w:ind w:left="0" w:firstLine="0"/>
      <w:rPr>
        <w:b w:val="0"/>
        <w:i/>
      </w:rPr>
    </w:pPr>
    <w:fldSimple w:instr=" STYLEREF CharPartNo ">
      <w:r>
        <w:rPr>
          <w:noProof/>
        </w:rPr>
        <w:t>Part VIII</w:t>
      </w:r>
    </w:fldSimple>
    <w:r>
      <w:rPr>
        <w:b w:val="0"/>
      </w:rPr>
      <w:fldChar w:fldCharType="begin"/>
    </w:r>
    <w:r>
      <w:rPr>
        <w:b w:val="0"/>
      </w:rPr>
      <w:instrText xml:space="preserve"> STYLEREF CharPartText </w:instrText>
    </w:r>
    <w:r>
      <w:rPr>
        <w:b w:val="0"/>
      </w:rPr>
      <w:fldChar w:fldCharType="separate"/>
    </w:r>
    <w:r>
      <w:rPr>
        <w:b w:val="0"/>
        <w:noProof/>
      </w:rPr>
      <w:t>General</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Heritage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340E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71A59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D30E0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CC9D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72EE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4F8C1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A3E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780F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946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35A8D6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1F06C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B64AE9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145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9E6DFE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653"/>
    <w:docVar w:name="WAFER_20151204111653" w:val="RemoveTrackChanges"/>
    <w:docVar w:name="WAFER_20151204111653_GUID" w:val="ca703ff2-747e-4545-a37b-5fdfecde8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character" w:customStyle="1" w:styleId="CharSubdNo">
    <w:name w:val="CharSubdNo"/>
  </w:style>
  <w:style w:type="character" w:customStyle="1" w:styleId="CharSubdText">
    <w:name w:val="CharSubdText"/>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Repealed">
    <w:name w:val="Repealed"/>
    <w:basedOn w:val="Heading5"/>
    <w:rPr>
      <w:b w:val="0"/>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PageNo">
    <w:name w:val="CharPageNo"/>
    <w:rPr>
      <w:noProof w:val="0"/>
      <w:sz w:val="2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MadeBy">
    <w:name w:val="MadeBy"/>
    <w:pPr>
      <w:spacing w:before="600"/>
    </w:pPr>
    <w:rPr>
      <w:sz w:val="24"/>
      <w:lang w:eastAsia="en-US"/>
    </w:r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section"/>
  </w:style>
  <w:style w:type="paragraph" w:customStyle="1" w:styleId="EdnotePart">
    <w:name w:val="Ednote(Part)"/>
    <w:basedOn w:val="Ednotesection"/>
  </w:style>
  <w:style w:type="paragraph" w:customStyle="1" w:styleId="EdnoteSubdivision">
    <w:name w:val="Ednote(Subdivision)"/>
    <w:basedOn w:val="Ed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0">
    <w:name w:val="Ednote(part)"/>
    <w:basedOn w:val="Ednotesection"/>
    <w:pPr>
      <w:tabs>
        <w:tab w:val="clear" w:pos="893"/>
      </w:tabs>
      <w:ind w:left="0" w:firstLine="0"/>
    </w:pPr>
  </w:style>
  <w:style w:type="paragraph" w:customStyle="1" w:styleId="Ednotedivision0">
    <w:name w:val="Ednote(division)"/>
    <w:basedOn w:val="Ednotepart0"/>
  </w:style>
  <w:style w:type="paragraph" w:customStyle="1" w:styleId="Ednotesubdivision0">
    <w:name w:val="Ednote(subdivision)"/>
    <w:basedOn w:val="Ednotepart0"/>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12779</Words>
  <Characters>59811</Characters>
  <Application>Microsoft Office Word</Application>
  <DocSecurity>0</DocSecurity>
  <Lines>1573</Lines>
  <Paragraphs>780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1972 - 03-f0-02</dc:title>
  <dc:subject/>
  <dc:creator/>
  <cp:keywords/>
  <dc:description/>
  <cp:lastModifiedBy>svcMRProcess</cp:lastModifiedBy>
  <cp:revision>4</cp:revision>
  <cp:lastPrinted>2001-02-26T06:42:00Z</cp:lastPrinted>
  <dcterms:created xsi:type="dcterms:W3CDTF">2015-12-04T09:01:00Z</dcterms:created>
  <dcterms:modified xsi:type="dcterms:W3CDTF">2015-12-04T09:01:00Z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vt:i4>
  </property>
  <property fmtid="{D5CDD505-2E9C-101B-9397-08002B2CF9AE}" pid="6" name="AsAtDate">
    <vt:lpwstr>19 Jan 2008</vt:lpwstr>
  </property>
  <property fmtid="{D5CDD505-2E9C-101B-9397-08002B2CF9AE}" pid="7" name="Suffix">
    <vt:lpwstr>03-f0-02</vt:lpwstr>
  </property>
</Properties>
</file>