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30 Nov 2003, see the </w:t>
      </w:r>
      <w:r>
        <w:rPr>
          <w:b/>
          <w:bCs/>
          <w:i/>
          <w:iCs/>
          <w:color w:val="FF0000"/>
        </w:rPr>
        <w:t>Barrow Island Amendment Act 2015</w:t>
      </w:r>
      <w:r>
        <w:rPr>
          <w:b/>
          <w:bCs/>
          <w:iCs/>
          <w:color w:val="FF0000"/>
        </w:rPr>
        <w:t xml:space="preserve"> s. 5</w:t>
      </w:r>
      <w:r>
        <w:rPr>
          <w:b/>
          <w:bCs/>
          <w:color w:val="FF0000"/>
        </w:rPr>
        <w:t>.  The effect of this retrospective amendment has not been included in this document.  To see the provision as amended by the retrospective amendment see the document as at 9 May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Barrow Island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Barrow Island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_Toc32510149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_Toc32510150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Definitions</w:t>
      </w:r>
      <w:r>
        <w:tab/>
      </w:r>
      <w:r>
        <w:fldChar w:fldCharType="begin"/>
      </w:r>
      <w:r>
        <w:instrText xml:space="preserve"> PAGEREF _Toc32510151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Notes not part of the law</w:t>
      </w:r>
      <w:r>
        <w:tab/>
      </w:r>
      <w:r>
        <w:fldChar w:fldCharType="begin"/>
      </w:r>
      <w:r>
        <w:instrText xml:space="preserve"> PAGEREF _Toc32510152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Ratification of Agreement</w:t>
      </w:r>
    </w:p>
    <w:p>
      <w:pPr>
        <w:pStyle w:val="TOC8"/>
        <w:rPr>
          <w:rFonts w:asciiTheme="minorHAnsi" w:eastAsiaTheme="minorEastAsia" w:hAnsiTheme="minorHAnsi" w:cstheme="minorBidi"/>
          <w:szCs w:val="22"/>
          <w:lang w:eastAsia="en-AU"/>
        </w:rPr>
      </w:pPr>
      <w:r>
        <w:t>5.</w:t>
      </w:r>
      <w:r>
        <w:tab/>
        <w:t>Agreement ratified and implementation authorised</w:t>
      </w:r>
      <w:r>
        <w:tab/>
      </w:r>
      <w:r>
        <w:fldChar w:fldCharType="begin"/>
      </w:r>
      <w:r>
        <w:instrText xml:space="preserve"> PAGEREF _Toc32510154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 xml:space="preserve">Part 3 — Use of reserve under the </w:t>
      </w:r>
      <w:r>
        <w:rPr>
          <w:i/>
        </w:rPr>
        <w:t>Land Administration Act 1997</w:t>
      </w:r>
    </w:p>
    <w:p>
      <w:pPr>
        <w:pStyle w:val="TOC8"/>
        <w:rPr>
          <w:rFonts w:asciiTheme="minorHAnsi" w:eastAsiaTheme="minorEastAsia" w:hAnsiTheme="minorHAnsi" w:cstheme="minorBidi"/>
          <w:szCs w:val="22"/>
          <w:lang w:eastAsia="en-AU"/>
        </w:rPr>
      </w:pPr>
      <w:r>
        <w:t>6.</w:t>
      </w:r>
      <w:r>
        <w:tab/>
        <w:t>Leasing parts of the reserve</w:t>
      </w:r>
      <w:r>
        <w:tab/>
      </w:r>
      <w:r>
        <w:fldChar w:fldCharType="begin"/>
      </w:r>
      <w:r>
        <w:instrText xml:space="preserve"> PAGEREF _Toc32510156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Licences affecting the reserve</w:t>
      </w:r>
      <w:r>
        <w:tab/>
      </w:r>
      <w:r>
        <w:fldChar w:fldCharType="begin"/>
      </w:r>
      <w:r>
        <w:instrText xml:space="preserve"> PAGEREF _Toc32510157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Easements affecting the reserve</w:t>
      </w:r>
      <w:r>
        <w:tab/>
      </w:r>
      <w:r>
        <w:fldChar w:fldCharType="begin"/>
      </w:r>
      <w:r>
        <w:instrText xml:space="preserve"> PAGEREF _Toc32510158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No more than 300 ha in total of uncleared land to be leased, or the subject of licences or easements</w:t>
      </w:r>
      <w:r>
        <w:tab/>
      </w:r>
      <w:r>
        <w:fldChar w:fldCharType="begin"/>
      </w:r>
      <w:r>
        <w:instrText xml:space="preserve"> PAGEREF _Toc32510159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tab/>
        <w:t>Status and purposes of reserve not affected</w:t>
      </w:r>
      <w:r>
        <w:tab/>
      </w:r>
      <w:r>
        <w:fldChar w:fldCharType="begin"/>
      </w:r>
      <w:r>
        <w:instrText xml:space="preserve"> PAGEREF _Toc32510160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Conveyance and underground disposal of carbon dioxide</w:t>
      </w:r>
    </w:p>
    <w:p>
      <w:pPr>
        <w:pStyle w:val="TOC8"/>
        <w:rPr>
          <w:rFonts w:asciiTheme="minorHAnsi" w:eastAsiaTheme="minorEastAsia" w:hAnsiTheme="minorHAnsi" w:cstheme="minorBidi"/>
          <w:szCs w:val="22"/>
          <w:lang w:eastAsia="en-AU"/>
        </w:rPr>
      </w:pPr>
      <w:r>
        <w:t>11.</w:t>
      </w:r>
      <w:r>
        <w:tab/>
      </w:r>
      <w:r>
        <w:rPr>
          <w:i/>
        </w:rPr>
        <w:t>Petroleum Pipelines Act 1969</w:t>
      </w:r>
      <w:r>
        <w:t xml:space="preserve"> applies to pipelines on Barrow Island for conveyance of carbon dioxide</w:t>
      </w:r>
      <w:r>
        <w:tab/>
      </w:r>
      <w:r>
        <w:fldChar w:fldCharType="begin"/>
      </w:r>
      <w:r>
        <w:instrText xml:space="preserve"> PAGEREF _Toc32510162 \h </w:instrText>
      </w:r>
      <w:r>
        <w:fldChar w:fldCharType="separate"/>
      </w:r>
      <w:r>
        <w:t>11</w:t>
      </w:r>
      <w:r>
        <w:fldChar w:fldCharType="end"/>
      </w:r>
    </w:p>
    <w:p>
      <w:pPr>
        <w:pStyle w:val="TOC8"/>
        <w:rPr>
          <w:rFonts w:asciiTheme="minorHAnsi" w:eastAsiaTheme="minorEastAsia" w:hAnsiTheme="minorHAnsi" w:cstheme="minorBidi"/>
          <w:szCs w:val="22"/>
          <w:lang w:eastAsia="en-AU"/>
        </w:rPr>
      </w:pPr>
      <w:r>
        <w:t>13.</w:t>
      </w:r>
      <w:r>
        <w:tab/>
        <w:t>Disposal of carbon dioxide underground</w:t>
      </w:r>
      <w:r>
        <w:tab/>
      </w:r>
      <w:r>
        <w:fldChar w:fldCharType="begin"/>
      </w:r>
      <w:r>
        <w:instrText xml:space="preserve"> PAGEREF _Toc32510163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Miscellaneous</w:t>
      </w:r>
    </w:p>
    <w:p>
      <w:pPr>
        <w:pStyle w:val="TOC8"/>
        <w:rPr>
          <w:rFonts w:asciiTheme="minorHAnsi" w:eastAsiaTheme="minorEastAsia" w:hAnsiTheme="minorHAnsi" w:cstheme="minorBidi"/>
          <w:szCs w:val="22"/>
          <w:lang w:eastAsia="en-AU"/>
        </w:rPr>
      </w:pPr>
      <w:r>
        <w:t>14.</w:t>
      </w:r>
      <w:r>
        <w:tab/>
        <w:t>Requirement to obtain authorisations under other laws not affected</w:t>
      </w:r>
      <w:r>
        <w:tab/>
      </w:r>
      <w:r>
        <w:fldChar w:fldCharType="begin"/>
      </w:r>
      <w:r>
        <w:instrText xml:space="preserve"> PAGEREF _Toc32510165 \h </w:instrText>
      </w:r>
      <w:r>
        <w:fldChar w:fldCharType="separate"/>
      </w:r>
      <w:r>
        <w:t>14</w:t>
      </w:r>
      <w:r>
        <w:fldChar w:fldCharType="end"/>
      </w:r>
    </w:p>
    <w:p>
      <w:pPr>
        <w:pStyle w:val="TOC8"/>
        <w:rPr>
          <w:rFonts w:asciiTheme="minorHAnsi" w:eastAsiaTheme="minorEastAsia" w:hAnsiTheme="minorHAnsi" w:cstheme="minorBidi"/>
          <w:szCs w:val="22"/>
          <w:lang w:eastAsia="en-AU"/>
        </w:rPr>
      </w:pPr>
      <w:r>
        <w:t>15.</w:t>
      </w:r>
      <w:r>
        <w:tab/>
        <w:t>Limitations on gas processing projects on Barrow Island</w:t>
      </w:r>
      <w:r>
        <w:tab/>
      </w:r>
      <w:r>
        <w:fldChar w:fldCharType="begin"/>
      </w:r>
      <w:r>
        <w:instrText xml:space="preserve"> PAGEREF _Toc32510166 \h </w:instrText>
      </w:r>
      <w:r>
        <w:fldChar w:fldCharType="separate"/>
      </w:r>
      <w:r>
        <w:t>14</w:t>
      </w:r>
      <w:r>
        <w:fldChar w:fldCharType="end"/>
      </w:r>
    </w:p>
    <w:p>
      <w:pPr>
        <w:pStyle w:val="TOC8"/>
        <w:rPr>
          <w:rFonts w:asciiTheme="minorHAnsi" w:eastAsiaTheme="minorEastAsia" w:hAnsiTheme="minorHAnsi" w:cstheme="minorBidi"/>
          <w:szCs w:val="22"/>
          <w:lang w:eastAsia="en-AU"/>
        </w:rPr>
      </w:pPr>
      <w:r>
        <w:t>16.</w:t>
      </w:r>
      <w:r>
        <w:tab/>
        <w:t>Land used for gas processing project purpose is rateable land</w:t>
      </w:r>
      <w:r>
        <w:tab/>
      </w:r>
      <w:r>
        <w:fldChar w:fldCharType="begin"/>
      </w:r>
      <w:r>
        <w:instrText xml:space="preserve"> PAGEREF _Toc32510167 \h </w:instrText>
      </w:r>
      <w:r>
        <w:fldChar w:fldCharType="separate"/>
      </w:r>
      <w:r>
        <w:t>15</w:t>
      </w:r>
      <w:r>
        <w:fldChar w:fldCharType="end"/>
      </w:r>
    </w:p>
    <w:p>
      <w:pPr>
        <w:pStyle w:val="TOC8"/>
        <w:rPr>
          <w:rFonts w:asciiTheme="minorHAnsi" w:eastAsiaTheme="minorEastAsia" w:hAnsiTheme="minorHAnsi" w:cstheme="minorBidi"/>
          <w:szCs w:val="22"/>
          <w:lang w:eastAsia="en-AU"/>
        </w:rPr>
      </w:pPr>
      <w:r>
        <w:t>17.</w:t>
      </w:r>
      <w:r>
        <w:tab/>
        <w:t>Regulations</w:t>
      </w:r>
      <w:r>
        <w:tab/>
      </w:r>
      <w:r>
        <w:fldChar w:fldCharType="begin"/>
      </w:r>
      <w:r>
        <w:instrText xml:space="preserve"> PAGEREF _Toc32510168 \h </w:instrText>
      </w:r>
      <w:r>
        <w:fldChar w:fldCharType="separate"/>
      </w:r>
      <w:r>
        <w:t>15</w:t>
      </w:r>
      <w:r>
        <w:fldChar w:fldCharType="end"/>
      </w:r>
    </w:p>
    <w:p>
      <w:pPr>
        <w:pStyle w:val="TOC8"/>
        <w:rPr>
          <w:rFonts w:asciiTheme="minorHAnsi" w:eastAsiaTheme="minorEastAsia" w:hAnsiTheme="minorHAnsi" w:cstheme="minorBidi"/>
          <w:szCs w:val="22"/>
          <w:lang w:eastAsia="en-AU"/>
        </w:rPr>
      </w:pPr>
      <w:r>
        <w:t>18.</w:t>
      </w:r>
      <w:r>
        <w:tab/>
        <w:t>Review of Act on cessation of Agreement</w:t>
      </w:r>
      <w:r>
        <w:tab/>
      </w:r>
      <w:r>
        <w:fldChar w:fldCharType="begin"/>
      </w:r>
      <w:r>
        <w:instrText xml:space="preserve"> PAGEREF _Toc32510169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Gorgon Gas Processing and Infrastructure Project Agreement</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_Toc32510172 \h </w:instrText>
      </w:r>
      <w:r>
        <w:fldChar w:fldCharType="separate"/>
      </w:r>
      <w:r>
        <w:t>60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0" w:after="480"/>
      </w:pPr>
      <w:r>
        <w:t>Barrow Island Act 2003</w:t>
      </w:r>
    </w:p>
    <w:p>
      <w:pPr>
        <w:pStyle w:val="LongTitle"/>
        <w:suppressLineNumbers/>
        <w:rPr>
          <w:snapToGrid w:val="0"/>
        </w:rPr>
      </w:pPr>
      <w:bookmarkStart w:id="2" w:name="BillCited"/>
      <w:bookmarkEnd w:id="2"/>
      <w:r>
        <w:rPr>
          <w:snapToGrid w:val="0"/>
        </w:rPr>
        <w:t xml:space="preserve">An Act — </w:t>
      </w:r>
    </w:p>
    <w:p>
      <w:pPr>
        <w:pStyle w:val="LongTitle"/>
        <w:numPr>
          <w:ilvl w:val="0"/>
          <w:numId w:val="1"/>
        </w:numPr>
        <w:suppressLineNumbers/>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rPr>
          <w:snapToGrid w:val="0"/>
        </w:rPr>
      </w:pPr>
      <w:r>
        <w:rPr>
          <w:snapToGrid w:val="0"/>
        </w:rPr>
        <w:t xml:space="preserve">to make provisions to enable land on Barrow Island (but no more than 300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vanish/>
          <w:highlight w:val="yellow"/>
        </w:rPr>
      </w:pPr>
      <w:r>
        <w:rPr>
          <w:snapToGrid w:val="0"/>
        </w:rPr>
        <w:t xml:space="preserve">and for incidental purposes. </w:t>
      </w:r>
    </w:p>
    <w:p>
      <w:pPr>
        <w:rPr>
          <w:snapToGrid w:val="0"/>
        </w:rPr>
      </w:pPr>
    </w:p>
    <w:p>
      <w:pPr>
        <w:pStyle w:val="Heading2"/>
      </w:pPr>
      <w:bookmarkStart w:id="3" w:name="_Toc113772676"/>
      <w:bookmarkStart w:id="4" w:name="_Toc162761603"/>
      <w:bookmarkStart w:id="5" w:name="_Toc162764240"/>
      <w:bookmarkStart w:id="6" w:name="_Toc186622076"/>
      <w:bookmarkStart w:id="7" w:name="_Toc187048450"/>
      <w:bookmarkStart w:id="8" w:name="_Toc3251014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71793481"/>
      <w:bookmarkStart w:id="10" w:name="_Toc512746194"/>
      <w:bookmarkStart w:id="11" w:name="_Toc515958175"/>
      <w:bookmarkStart w:id="12" w:name="_Toc56585641"/>
      <w:bookmarkStart w:id="13" w:name="_Toc113772677"/>
      <w:bookmarkStart w:id="14" w:name="_Toc32510149"/>
      <w:r>
        <w:rPr>
          <w:rStyle w:val="CharSectno"/>
        </w:rPr>
        <w:t>1</w:t>
      </w:r>
      <w:r>
        <w:rPr>
          <w:snapToGrid w:val="0"/>
        </w:rPr>
        <w:t>.</w:t>
      </w:r>
      <w:r>
        <w:rPr>
          <w:snapToGrid w:val="0"/>
        </w:rPr>
        <w:tab/>
        <w:t>Short title</w:t>
      </w:r>
      <w:bookmarkEnd w:id="9"/>
      <w:bookmarkEnd w:id="10"/>
      <w:bookmarkEnd w:id="11"/>
      <w:bookmarkEnd w:id="12"/>
      <w:bookmarkEnd w:id="13"/>
      <w:bookmarkEnd w:id="14"/>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15" w:name="_Toc471793482"/>
      <w:bookmarkStart w:id="16" w:name="_Toc512746195"/>
      <w:bookmarkStart w:id="17" w:name="_Toc515958176"/>
      <w:bookmarkStart w:id="18" w:name="_Toc531771973"/>
      <w:bookmarkStart w:id="19" w:name="_Toc532891953"/>
      <w:bookmarkStart w:id="20" w:name="_Toc56585642"/>
      <w:bookmarkStart w:id="21" w:name="_Toc113772678"/>
      <w:bookmarkStart w:id="22" w:name="_Toc32510150"/>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p>
    <w:p>
      <w:pPr>
        <w:pStyle w:val="Subsection"/>
      </w:pPr>
      <w:r>
        <w:tab/>
        <w:t>(1)</w:t>
      </w:r>
      <w:r>
        <w:tab/>
        <w:t>Subject to subsection (2), this Act comes into operation on the day on which it receives the Royal Assent.</w:t>
      </w:r>
    </w:p>
    <w:p>
      <w:pPr>
        <w:pStyle w:val="Ednotesubsection"/>
      </w:pPr>
      <w:r>
        <w:tab/>
        <w:t>[(2)</w:t>
      </w:r>
      <w:r>
        <w:tab/>
        <w:t>deleted]</w:t>
      </w:r>
    </w:p>
    <w:p>
      <w:pPr>
        <w:pStyle w:val="Footnotesection"/>
      </w:pPr>
      <w:r>
        <w:tab/>
        <w:t>[Section 2 amended by No. 13 of 2005 s. 48(2).]</w:t>
      </w:r>
    </w:p>
    <w:p>
      <w:pPr>
        <w:pStyle w:val="Heading5"/>
        <w:rPr>
          <w:snapToGrid w:val="0"/>
        </w:rPr>
      </w:pPr>
      <w:bookmarkStart w:id="23" w:name="_Hlt48701409"/>
      <w:bookmarkStart w:id="24" w:name="_Toc531771974"/>
      <w:bookmarkStart w:id="25" w:name="_Toc532891954"/>
      <w:bookmarkStart w:id="26" w:name="_Toc56585643"/>
      <w:bookmarkStart w:id="27" w:name="_Toc113772679"/>
      <w:bookmarkStart w:id="28" w:name="_Toc32510151"/>
      <w:bookmarkEnd w:id="23"/>
      <w:r>
        <w:rPr>
          <w:rStyle w:val="CharSectno"/>
        </w:rPr>
        <w:t>3</w:t>
      </w:r>
      <w:r>
        <w:rPr>
          <w:snapToGrid w:val="0"/>
        </w:rPr>
        <w:t>.</w:t>
      </w:r>
      <w:r>
        <w:rPr>
          <w:snapToGrid w:val="0"/>
        </w:rPr>
        <w:tab/>
      </w:r>
      <w:bookmarkEnd w:id="24"/>
      <w:bookmarkEnd w:id="25"/>
      <w:r>
        <w:rPr>
          <w:snapToGrid w:val="0"/>
        </w:rPr>
        <w:t>Definitions</w:t>
      </w:r>
      <w:bookmarkEnd w:id="26"/>
      <w:bookmarkEnd w:id="27"/>
      <w:bookmarkEnd w:id="28"/>
    </w:p>
    <w:p>
      <w:pPr>
        <w:pStyle w:val="Subsection"/>
      </w:pPr>
      <w:r>
        <w:tab/>
      </w:r>
      <w:r>
        <w:tab/>
        <w:t xml:space="preserve">In this Act — </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w:t>
      </w:r>
      <w:bookmarkStart w:id="29" w:name="_Hlt48554859"/>
      <w:bookmarkEnd w:id="29"/>
      <w:r>
        <w:t xml:space="preserve">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tab/>
      </w:r>
      <w:r>
        <w:rPr>
          <w:rStyle w:val="CharDefText"/>
        </w:rPr>
        <w:t>gas</w:t>
      </w:r>
      <w:r>
        <w:t xml:space="preserve"> means natural gas and other petroleum;</w:t>
      </w:r>
    </w:p>
    <w:p>
      <w:pPr>
        <w:pStyle w:val="Defstart"/>
      </w:pPr>
      <w:r>
        <w:rPr>
          <w:b/>
        </w:rPr>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rStyle w:val="CharDefText"/>
        </w:rPr>
        <w:t>the Agreement</w:t>
      </w:r>
      <w:r>
        <w:t xml:space="preserve"> means the Gorgon Gas Processing and Infrastructure Project Agreement, a copy of which is set out in Schedule 1, and includes the Agreement as varied from time to time in accordance with its provisions;</w:t>
      </w:r>
    </w:p>
    <w:p>
      <w:pPr>
        <w:pStyle w:val="Defstart"/>
      </w:pPr>
      <w:r>
        <w:rPr>
          <w:b/>
        </w:rPr>
        <w:tab/>
      </w:r>
      <w:r>
        <w:rPr>
          <w:rStyle w:val="CharDefText"/>
        </w:rPr>
        <w:t>the reserve</w:t>
      </w:r>
      <w:r>
        <w:t xml:space="preserve"> means class A reserve no. 11648 comprising the whole of Barrow Island that is reserved under the LA Act section 41 for the purpose of conservation of flora and fauna.</w:t>
      </w:r>
    </w:p>
    <w:p>
      <w:pPr>
        <w:pStyle w:val="Heading5"/>
      </w:pPr>
      <w:bookmarkStart w:id="30" w:name="_Toc56585644"/>
      <w:bookmarkStart w:id="31" w:name="_Toc113772680"/>
      <w:bookmarkStart w:id="32" w:name="_Toc32510152"/>
      <w:r>
        <w:rPr>
          <w:rStyle w:val="CharSectno"/>
        </w:rPr>
        <w:t>4</w:t>
      </w:r>
      <w:r>
        <w:t>.</w:t>
      </w:r>
      <w:r>
        <w:tab/>
        <w:t>Notes not part of the law</w:t>
      </w:r>
      <w:bookmarkEnd w:id="30"/>
      <w:bookmarkEnd w:id="31"/>
      <w:bookmarkEnd w:id="32"/>
    </w:p>
    <w:p>
      <w:pPr>
        <w:pStyle w:val="Subsection"/>
      </w:pPr>
      <w:r>
        <w:tab/>
      </w:r>
      <w:r>
        <w:tab/>
        <w:t>Notes in this Act are provided to assist understanding and do not form part of the Act.</w:t>
      </w:r>
    </w:p>
    <w:p>
      <w:pPr>
        <w:pStyle w:val="Heading2"/>
      </w:pPr>
      <w:bookmarkStart w:id="33" w:name="_Toc113772681"/>
      <w:bookmarkStart w:id="34" w:name="_Toc162761608"/>
      <w:bookmarkStart w:id="35" w:name="_Toc162764245"/>
      <w:bookmarkStart w:id="36" w:name="_Toc186622081"/>
      <w:bookmarkStart w:id="37" w:name="_Toc187048455"/>
      <w:bookmarkStart w:id="38" w:name="_Toc32510153"/>
      <w:r>
        <w:rPr>
          <w:rStyle w:val="CharPartNo"/>
        </w:rPr>
        <w:t>Part 2</w:t>
      </w:r>
      <w:r>
        <w:rPr>
          <w:rStyle w:val="CharDivNo"/>
        </w:rPr>
        <w:t> </w:t>
      </w:r>
      <w:r>
        <w:t>—</w:t>
      </w:r>
      <w:r>
        <w:rPr>
          <w:rStyle w:val="CharDivText"/>
        </w:rPr>
        <w:t> </w:t>
      </w:r>
      <w:r>
        <w:rPr>
          <w:rStyle w:val="CharPartText"/>
        </w:rPr>
        <w:t>Ratification of Agreement</w:t>
      </w:r>
      <w:bookmarkEnd w:id="33"/>
      <w:bookmarkEnd w:id="34"/>
      <w:bookmarkEnd w:id="35"/>
      <w:bookmarkEnd w:id="36"/>
      <w:bookmarkEnd w:id="37"/>
      <w:bookmarkEnd w:id="38"/>
    </w:p>
    <w:p>
      <w:pPr>
        <w:pStyle w:val="Heading5"/>
      </w:pPr>
      <w:bookmarkStart w:id="39" w:name="_Toc531771975"/>
      <w:bookmarkStart w:id="40" w:name="_Toc532891955"/>
      <w:bookmarkStart w:id="41" w:name="_Toc56585645"/>
      <w:bookmarkStart w:id="42" w:name="_Toc113772682"/>
      <w:bookmarkStart w:id="43" w:name="_Toc32510154"/>
      <w:r>
        <w:rPr>
          <w:rStyle w:val="CharSectno"/>
        </w:rPr>
        <w:t>5</w:t>
      </w:r>
      <w:r>
        <w:t>.</w:t>
      </w:r>
      <w:r>
        <w:tab/>
        <w:t>Agreement ratified and implementation authorised</w:t>
      </w:r>
      <w:bookmarkEnd w:id="39"/>
      <w:bookmarkEnd w:id="40"/>
      <w:bookmarkEnd w:id="41"/>
      <w:bookmarkEnd w:id="42"/>
      <w:bookmarkEnd w:id="43"/>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Heading2"/>
      </w:pPr>
      <w:bookmarkStart w:id="44" w:name="_Toc113772683"/>
      <w:bookmarkStart w:id="45" w:name="_Toc162761610"/>
      <w:bookmarkStart w:id="46" w:name="_Toc162764247"/>
      <w:bookmarkStart w:id="47" w:name="_Toc186622083"/>
      <w:bookmarkStart w:id="48" w:name="_Toc187048457"/>
      <w:bookmarkStart w:id="49" w:name="_Toc32510155"/>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44"/>
      <w:bookmarkEnd w:id="45"/>
      <w:bookmarkEnd w:id="46"/>
      <w:bookmarkEnd w:id="47"/>
      <w:bookmarkEnd w:id="48"/>
      <w:bookmarkEnd w:id="49"/>
    </w:p>
    <w:p>
      <w:pPr>
        <w:pStyle w:val="Heading5"/>
      </w:pPr>
      <w:bookmarkStart w:id="50" w:name="_Toc56585646"/>
      <w:bookmarkStart w:id="51" w:name="_Toc113772684"/>
      <w:bookmarkStart w:id="52" w:name="_Toc32510156"/>
      <w:r>
        <w:rPr>
          <w:rStyle w:val="CharSectno"/>
        </w:rPr>
        <w:t>6</w:t>
      </w:r>
      <w:r>
        <w:t>.</w:t>
      </w:r>
      <w:r>
        <w:tab/>
        <w:t>Leasing parts of the reserve</w:t>
      </w:r>
      <w:bookmarkEnd w:id="50"/>
      <w:bookmarkEnd w:id="51"/>
      <w:bookmarkEnd w:id="52"/>
    </w:p>
    <w:p>
      <w:pPr>
        <w:pStyle w:val="Subsection"/>
      </w:pPr>
      <w:r>
        <w:tab/>
      </w:r>
      <w:bookmarkStart w:id="53" w:name="_Hlt48703364"/>
      <w:bookmarkEnd w:id="53"/>
      <w:r>
        <w:t>(1)</w:t>
      </w:r>
      <w:r>
        <w:tab/>
        <w:t>The LA Act Minister may, under the LA Act section 79, grant a lease of land that is part of the reserve</w:t>
      </w:r>
      <w:bookmarkStart w:id="54" w:name="_Hlt48703341"/>
      <w:bookmarkEnd w:id="54"/>
      <w:r>
        <w:t xml:space="p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w:t>
      </w:r>
      <w:r>
        <w:rPr>
          <w:i/>
        </w:rPr>
        <w:t xml:space="preserve"> </w:t>
      </w:r>
      <w:r>
        <w:t>for the LA Act Minister to determine or vary, under the LA Act section 79(1)(c), a condition</w:t>
      </w:r>
      <w:bookmarkStart w:id="55" w:name="_Hlt48554924"/>
      <w:bookmarkEnd w:id="55"/>
      <w:r>
        <w:t xml:space="preserve">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NotesPerm"/>
        <w:tabs>
          <w:tab w:val="clear" w:pos="879"/>
          <w:tab w:val="left" w:pos="851"/>
        </w:tabs>
        <w:ind w:left="1418" w:hanging="1418"/>
      </w:pPr>
      <w:r>
        <w:tab/>
        <w:t>Note:</w:t>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w:t>
      </w:r>
      <w:r>
        <w:rPr>
          <w:i/>
        </w:rPr>
        <w:t xml:space="preserve"> </w:t>
      </w:r>
      <w:r>
        <w:t>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Pr>
      <w:bookmarkStart w:id="56" w:name="_Toc56585647"/>
      <w:bookmarkStart w:id="57" w:name="_Toc113772685"/>
      <w:bookmarkStart w:id="58" w:name="_Toc32510157"/>
      <w:r>
        <w:rPr>
          <w:rStyle w:val="CharSectno"/>
        </w:rPr>
        <w:t>7</w:t>
      </w:r>
      <w:r>
        <w:t>.</w:t>
      </w:r>
      <w:r>
        <w:tab/>
        <w:t>Licences affecting the reserve</w:t>
      </w:r>
      <w:bookmarkEnd w:id="56"/>
      <w:bookmarkEnd w:id="57"/>
      <w:bookmarkEnd w:id="58"/>
    </w:p>
    <w:p>
      <w:pPr>
        <w:pStyle w:val="Subsection"/>
      </w:pPr>
      <w:r>
        <w:tab/>
      </w:r>
      <w:bookmarkStart w:id="59" w:name="_Hlt48703370"/>
      <w:bookmarkEnd w:id="59"/>
      <w:r>
        <w:t>(1)</w:t>
      </w:r>
      <w:r>
        <w:tab/>
        <w:t>The LA Act Minister may, under the LA Act section 91, grant a licence in respect of land that is part of the reserve for a gas processing project purpose, even though that land is part of the reserve, but subject to section </w:t>
      </w:r>
      <w:bookmarkStart w:id="60" w:name="_Hlt50534145"/>
      <w:r>
        <w:t>9</w:t>
      </w:r>
      <w:bookmarkEnd w:id="60"/>
      <w:r>
        <w:t>.</w:t>
      </w:r>
    </w:p>
    <w:p>
      <w:pPr>
        <w:pStyle w:val="Subsection"/>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24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pPr>
      <w:r>
        <w:tab/>
        <w:t>(a)</w:t>
      </w:r>
      <w:r>
        <w:tab/>
        <w:t>give an approval under the LA Act section 18(7) in relation to the licence where the licence is granted to a person who is not a party to the Agreement;</w:t>
      </w:r>
    </w:p>
    <w:p>
      <w:pPr>
        <w:pStyle w:val="Indenta"/>
      </w:pPr>
      <w:r>
        <w:tab/>
        <w:t>(b)</w:t>
      </w:r>
      <w:r>
        <w:tab/>
        <w:t>terminate the licence under the LA Act section 91(3).</w:t>
      </w:r>
    </w:p>
    <w:p>
      <w:pPr>
        <w:pStyle w:val="Subsection"/>
      </w:pPr>
      <w:r>
        <w:tab/>
        <w:t>(5)</w:t>
      </w:r>
      <w:r>
        <w:tab/>
        <w:t xml:space="preserve">For the purposes of subsection (1), the LA Act section 91(5) is to be read as providing that nothing in that Act prevents the simultaneous existence on the same area of the reserve of — </w:t>
      </w:r>
    </w:p>
    <w:p>
      <w:pPr>
        <w:pStyle w:val="Indenta"/>
      </w:pPr>
      <w:r>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by No. 35 of 2007 s. 90.]</w:t>
      </w:r>
    </w:p>
    <w:p>
      <w:pPr>
        <w:pStyle w:val="Heading5"/>
      </w:pPr>
      <w:bookmarkStart w:id="61" w:name="_Toc56585648"/>
      <w:bookmarkStart w:id="62" w:name="_Toc113772686"/>
      <w:bookmarkStart w:id="63" w:name="_Toc32510158"/>
      <w:r>
        <w:rPr>
          <w:rStyle w:val="CharSectno"/>
        </w:rPr>
        <w:t>8</w:t>
      </w:r>
      <w:r>
        <w:t>.</w:t>
      </w:r>
      <w:r>
        <w:tab/>
        <w:t>Easements affecting the reserve</w:t>
      </w:r>
      <w:bookmarkEnd w:id="61"/>
      <w:bookmarkEnd w:id="62"/>
      <w:bookmarkEnd w:id="63"/>
    </w:p>
    <w:p>
      <w:pPr>
        <w:pStyle w:val="Subsection"/>
      </w:pPr>
      <w:r>
        <w:tab/>
      </w:r>
      <w:bookmarkStart w:id="64" w:name="_Hlt48703378"/>
      <w:bookmarkEnd w:id="64"/>
      <w:r>
        <w:t>(1)</w:t>
      </w:r>
      <w:r>
        <w:tab/>
        <w:t>The LA Act Minister may, under the LA Act section 144, grant an easement in respect of land that is part of the reserve</w:t>
      </w:r>
      <w:bookmarkStart w:id="65" w:name="_Hlt48703349"/>
      <w:bookmarkEnd w:id="65"/>
      <w:r>
        <w:t xml:space="p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66" w:name="_Toc56585649"/>
      <w:bookmarkStart w:id="67" w:name="_Toc113772687"/>
      <w:bookmarkStart w:id="68" w:name="_Toc32510159"/>
      <w:r>
        <w:rPr>
          <w:rStyle w:val="CharSectno"/>
        </w:rPr>
        <w:t>9</w:t>
      </w:r>
      <w:r>
        <w:t>.</w:t>
      </w:r>
      <w:r>
        <w:tab/>
        <w:t>No more than 300 ha in total of uncleared land to be leased, or the subject of licences or easements</w:t>
      </w:r>
      <w:bookmarkEnd w:id="66"/>
      <w:bookmarkEnd w:id="67"/>
      <w:bookmarkEnd w:id="68"/>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300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Heading5"/>
      </w:pPr>
      <w:bookmarkStart w:id="69" w:name="_Toc56585650"/>
      <w:bookmarkStart w:id="70" w:name="_Toc113772688"/>
      <w:bookmarkStart w:id="71" w:name="_Toc32510160"/>
      <w:r>
        <w:rPr>
          <w:rStyle w:val="CharSectno"/>
        </w:rPr>
        <w:t>10</w:t>
      </w:r>
      <w:r>
        <w:t>.</w:t>
      </w:r>
      <w:r>
        <w:tab/>
        <w:t>Status and purposes of reserve not affected</w:t>
      </w:r>
      <w:bookmarkEnd w:id="69"/>
      <w:bookmarkEnd w:id="70"/>
      <w:bookmarkEnd w:id="71"/>
    </w:p>
    <w:p>
      <w:pPr>
        <w:pStyle w:val="Subsection"/>
        <w:rPr>
          <w:i/>
        </w:rPr>
      </w:pPr>
      <w:r>
        <w:tab/>
        <w:t>(1)</w:t>
      </w:r>
      <w:r>
        <w:tab/>
        <w:t>Despite the grant of a lease referred to in section 6(1), a licence referred to in section </w:t>
      </w:r>
      <w:bookmarkStart w:id="72" w:name="_Hlt48703367"/>
      <w:r>
        <w:t>7(1)</w:t>
      </w:r>
      <w:bookmarkEnd w:id="72"/>
      <w:r>
        <w:t xml:space="preserve">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73" w:name="_Toc113772689"/>
      <w:bookmarkStart w:id="74" w:name="_Toc162761616"/>
      <w:bookmarkStart w:id="75" w:name="_Toc162764253"/>
      <w:bookmarkStart w:id="76" w:name="_Toc186622089"/>
      <w:bookmarkStart w:id="77" w:name="_Toc187048463"/>
      <w:bookmarkStart w:id="78" w:name="_Toc32510161"/>
      <w:r>
        <w:rPr>
          <w:rStyle w:val="CharPartNo"/>
        </w:rPr>
        <w:t>Part 4</w:t>
      </w:r>
      <w:r>
        <w:rPr>
          <w:rStyle w:val="CharDivNo"/>
        </w:rPr>
        <w:t> </w:t>
      </w:r>
      <w:r>
        <w:t>—</w:t>
      </w:r>
      <w:r>
        <w:rPr>
          <w:rStyle w:val="CharDivText"/>
        </w:rPr>
        <w:t> </w:t>
      </w:r>
      <w:r>
        <w:rPr>
          <w:rStyle w:val="CharPartText"/>
        </w:rPr>
        <w:t>Conveyance and underground disposal of carbon dioxide</w:t>
      </w:r>
      <w:bookmarkEnd w:id="73"/>
      <w:bookmarkEnd w:id="74"/>
      <w:bookmarkEnd w:id="75"/>
      <w:bookmarkEnd w:id="76"/>
      <w:bookmarkEnd w:id="77"/>
      <w:bookmarkEnd w:id="78"/>
    </w:p>
    <w:p>
      <w:pPr>
        <w:pStyle w:val="Heading5"/>
      </w:pPr>
      <w:bookmarkStart w:id="79" w:name="_Hlt50785656"/>
      <w:bookmarkStart w:id="80" w:name="_Toc56585651"/>
      <w:bookmarkStart w:id="81" w:name="_Toc113772690"/>
      <w:bookmarkStart w:id="82" w:name="_Toc32510162"/>
      <w:bookmarkEnd w:id="79"/>
      <w:r>
        <w:rPr>
          <w:rStyle w:val="CharSectno"/>
        </w:rPr>
        <w:t>11</w:t>
      </w:r>
      <w:r>
        <w:t>.</w:t>
      </w:r>
      <w:r>
        <w:tab/>
      </w:r>
      <w:r>
        <w:rPr>
          <w:i/>
        </w:rPr>
        <w:t>Petroleum Pipelines Act 1969</w:t>
      </w:r>
      <w:r>
        <w:t xml:space="preserve"> applies to pipelines on Barrow Island for conveyance of carbon dioxide</w:t>
      </w:r>
      <w:bookmarkEnd w:id="80"/>
      <w:bookmarkEnd w:id="81"/>
      <w:bookmarkEnd w:id="82"/>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rPr>
          <w:b/>
        </w:rPr>
      </w:pPr>
      <w:bookmarkStart w:id="83" w:name="_Hlt48642601"/>
      <w:bookmarkStart w:id="84" w:name="_Toc56585652"/>
      <w:bookmarkEnd w:id="83"/>
      <w:r>
        <w:rPr>
          <w:rStyle w:val="CharSectno"/>
        </w:rPr>
        <w:t>[</w:t>
      </w:r>
      <w:r>
        <w:rPr>
          <w:rStyle w:val="CharSectno"/>
          <w:b/>
        </w:rPr>
        <w:t>12</w:t>
      </w:r>
      <w:r>
        <w:rPr>
          <w:b/>
        </w:rPr>
        <w:t>.</w:t>
      </w:r>
      <w:r>
        <w:tab/>
      </w:r>
      <w:bookmarkEnd w:id="84"/>
      <w:r>
        <w:t>Deleted by No. 13 of 2005 s. 48(3)</w:t>
      </w:r>
      <w:r>
        <w:rPr>
          <w:vertAlign w:val="superscript"/>
        </w:rPr>
        <w:t> 2</w:t>
      </w:r>
      <w:r>
        <w:t>.]</w:t>
      </w:r>
    </w:p>
    <w:p>
      <w:pPr>
        <w:pStyle w:val="Heading5"/>
      </w:pPr>
      <w:bookmarkStart w:id="85" w:name="_Toc56585653"/>
      <w:bookmarkStart w:id="86" w:name="_Toc113772691"/>
      <w:bookmarkStart w:id="87" w:name="_Toc32510163"/>
      <w:r>
        <w:rPr>
          <w:rStyle w:val="CharSectno"/>
        </w:rPr>
        <w:t>13</w:t>
      </w:r>
      <w:r>
        <w:t>.</w:t>
      </w:r>
      <w:r>
        <w:tab/>
        <w:t>Disposal of carbon dioxide underground</w:t>
      </w:r>
      <w:bookmarkEnd w:id="85"/>
      <w:bookmarkEnd w:id="86"/>
      <w:bookmarkEnd w:id="87"/>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w:t>
      </w:r>
    </w:p>
    <w:p>
      <w:pPr>
        <w:pStyle w:val="Indenti"/>
      </w:pPr>
      <w:r>
        <w:tab/>
        <w:t>(ii)</w:t>
      </w:r>
      <w:r>
        <w:tab/>
        <w:t>the rate of the proposed disposal of the carbon dioxide, the volume and composition of the carbon dioxide proposed to be disposed of and the expected duration of the proposed disposal;</w:t>
      </w:r>
    </w:p>
    <w:p>
      <w:pPr>
        <w:pStyle w:val="Indenti"/>
      </w:pPr>
      <w:r>
        <w:tab/>
        <w:t>(iii)</w:t>
      </w:r>
      <w:r>
        <w:tab/>
        <w:t xml:space="preserve">the methods proposed to be used for the injection and disposal of the carbon dioxide; </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r>
      <w:bookmarkStart w:id="88" w:name="_Hlt50786379"/>
      <w:bookmarkEnd w:id="88"/>
      <w:r>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 xml:space="preserve">the LA Act Minister; </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 xml:space="preserve">the payment of money to the State; </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89" w:name="_Toc113772692"/>
      <w:bookmarkStart w:id="90" w:name="_Toc162761619"/>
      <w:bookmarkStart w:id="91" w:name="_Toc162764256"/>
      <w:bookmarkStart w:id="92" w:name="_Toc186622092"/>
      <w:bookmarkStart w:id="93" w:name="_Toc187048466"/>
      <w:bookmarkStart w:id="94" w:name="_Toc32510164"/>
      <w:r>
        <w:rPr>
          <w:rStyle w:val="CharPartNo"/>
        </w:rPr>
        <w:t>Part 5</w:t>
      </w:r>
      <w:r>
        <w:rPr>
          <w:rStyle w:val="CharDivNo"/>
        </w:rPr>
        <w:t> </w:t>
      </w:r>
      <w:r>
        <w:t>—</w:t>
      </w:r>
      <w:r>
        <w:rPr>
          <w:rStyle w:val="CharDivText"/>
        </w:rPr>
        <w:t> </w:t>
      </w:r>
      <w:r>
        <w:rPr>
          <w:rStyle w:val="CharPartText"/>
        </w:rPr>
        <w:t>Miscellaneous</w:t>
      </w:r>
      <w:bookmarkEnd w:id="89"/>
      <w:bookmarkEnd w:id="90"/>
      <w:bookmarkEnd w:id="91"/>
      <w:bookmarkEnd w:id="92"/>
      <w:bookmarkEnd w:id="93"/>
      <w:bookmarkEnd w:id="94"/>
    </w:p>
    <w:p>
      <w:pPr>
        <w:pStyle w:val="Heading5"/>
      </w:pPr>
      <w:bookmarkStart w:id="95" w:name="_Toc56585654"/>
      <w:bookmarkStart w:id="96" w:name="_Toc113772693"/>
      <w:bookmarkStart w:id="97" w:name="_Toc32510165"/>
      <w:r>
        <w:rPr>
          <w:rStyle w:val="CharSectno"/>
        </w:rPr>
        <w:t>14</w:t>
      </w:r>
      <w:r>
        <w:t>.</w:t>
      </w:r>
      <w:r>
        <w:tab/>
        <w:t>Requirement to obtain authorisations under other laws not affected</w:t>
      </w:r>
      <w:bookmarkEnd w:id="95"/>
      <w:bookmarkEnd w:id="96"/>
      <w:bookmarkEnd w:id="97"/>
    </w:p>
    <w:p>
      <w:pPr>
        <w:pStyle w:val="Subsection"/>
      </w:pPr>
      <w:r>
        <w:tab/>
        <w:t>(1)</w:t>
      </w:r>
      <w:r>
        <w:tab/>
        <w:t xml:space="preserve">The grant of — </w:t>
      </w:r>
    </w:p>
    <w:p>
      <w:pPr>
        <w:pStyle w:val="Indenta"/>
      </w:pPr>
      <w:r>
        <w:tab/>
        <w:t>(a)</w:t>
      </w:r>
      <w:r>
        <w:tab/>
        <w:t xml:space="preserve">a lease referred to in section 6(1); </w:t>
      </w:r>
    </w:p>
    <w:p>
      <w:pPr>
        <w:pStyle w:val="Indenta"/>
      </w:pPr>
      <w:r>
        <w:tab/>
        <w:t>(b)</w:t>
      </w:r>
      <w:r>
        <w:tab/>
        <w:t xml:space="preserve">a licence referred to in section 7(1); </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w:t>
      </w:r>
      <w:bookmarkStart w:id="98" w:name="_Hlt50785681"/>
      <w:r>
        <w:t>11</w:t>
      </w:r>
      <w:bookmarkEnd w:id="98"/>
      <w:r>
        <w:t>)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99" w:name="_Toc56585655"/>
      <w:bookmarkStart w:id="100" w:name="_Toc113772694"/>
      <w:bookmarkStart w:id="101" w:name="_Toc32510166"/>
      <w:r>
        <w:rPr>
          <w:rStyle w:val="CharSectno"/>
        </w:rPr>
        <w:t>15</w:t>
      </w:r>
      <w:r>
        <w:t>.</w:t>
      </w:r>
      <w:r>
        <w:tab/>
        <w:t>Limitations on gas processing projects on Barrow Island</w:t>
      </w:r>
      <w:bookmarkEnd w:id="99"/>
      <w:bookmarkEnd w:id="100"/>
      <w:bookmarkEnd w:id="101"/>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rPr>
          <w:b/>
          <w:i/>
        </w:rPr>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102" w:name="_Toc56585656"/>
      <w:bookmarkStart w:id="103" w:name="_Toc113772695"/>
      <w:bookmarkStart w:id="104" w:name="_Toc32510167"/>
      <w:r>
        <w:rPr>
          <w:rStyle w:val="CharSectno"/>
        </w:rPr>
        <w:t>16</w:t>
      </w:r>
      <w:r>
        <w:t>.</w:t>
      </w:r>
      <w:r>
        <w:tab/>
        <w:t>Land used for gas processing project purpose is rateable land</w:t>
      </w:r>
      <w:bookmarkEnd w:id="102"/>
      <w:bookmarkEnd w:id="103"/>
      <w:bookmarkEnd w:id="104"/>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105" w:name="_Toc56585657"/>
      <w:bookmarkStart w:id="106" w:name="_Toc113772696"/>
      <w:bookmarkStart w:id="107" w:name="_Toc32510168"/>
      <w:r>
        <w:rPr>
          <w:rStyle w:val="CharSectno"/>
        </w:rPr>
        <w:t>17</w:t>
      </w:r>
      <w:r>
        <w:t>.</w:t>
      </w:r>
      <w:r>
        <w:tab/>
        <w:t>Regulations</w:t>
      </w:r>
      <w:bookmarkEnd w:id="105"/>
      <w:bookmarkEnd w:id="106"/>
      <w:bookmarkEnd w:id="10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8" w:name="_Toc56585658"/>
      <w:bookmarkStart w:id="109" w:name="_Toc113772697"/>
      <w:bookmarkStart w:id="110" w:name="_Toc32510169"/>
      <w:r>
        <w:rPr>
          <w:rStyle w:val="CharSectno"/>
        </w:rPr>
        <w:t>18</w:t>
      </w:r>
      <w:r>
        <w:t>.</w:t>
      </w:r>
      <w:r>
        <w:tab/>
        <w:t>Review of Act on cessation of Agreement</w:t>
      </w:r>
      <w:bookmarkEnd w:id="108"/>
      <w:bookmarkEnd w:id="109"/>
      <w:bookmarkEnd w:id="110"/>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1" w:name="_Toc56585659"/>
    </w:p>
    <w:p>
      <w:pPr>
        <w:pStyle w:val="yScheduleHeading"/>
      </w:pPr>
      <w:bookmarkStart w:id="112" w:name="_Toc113772698"/>
      <w:bookmarkStart w:id="113" w:name="_Toc162761625"/>
      <w:bookmarkStart w:id="114" w:name="_Toc162764262"/>
      <w:bookmarkStart w:id="115" w:name="_Toc186622098"/>
      <w:bookmarkStart w:id="116" w:name="_Toc187048472"/>
      <w:bookmarkStart w:id="117" w:name="_Toc32510170"/>
      <w:r>
        <w:rPr>
          <w:rStyle w:val="CharSchNo"/>
        </w:rPr>
        <w:t>Schedule 1</w:t>
      </w:r>
      <w:r>
        <w:t xml:space="preserve"> — </w:t>
      </w:r>
      <w:bookmarkStart w:id="118" w:name="AutoSch"/>
      <w:bookmarkEnd w:id="118"/>
      <w:r>
        <w:rPr>
          <w:rStyle w:val="CharSchText"/>
        </w:rPr>
        <w:t>Gorgon Gas Processing and Infrastructure Project Agreement</w:t>
      </w:r>
      <w:bookmarkEnd w:id="111"/>
      <w:bookmarkEnd w:id="112"/>
      <w:bookmarkEnd w:id="113"/>
      <w:bookmarkEnd w:id="114"/>
      <w:bookmarkEnd w:id="115"/>
      <w:bookmarkEnd w:id="116"/>
      <w:bookmarkEnd w:id="117"/>
    </w:p>
    <w:p>
      <w:pPr>
        <w:pStyle w:val="yShoulderClause"/>
      </w:pPr>
      <w:r>
        <w:t>[s.</w:t>
      </w:r>
      <w:bookmarkStart w:id="119" w:name="_Hlt48701372"/>
      <w:r>
        <w:t> </w:t>
      </w:r>
      <w:bookmarkStart w:id="120" w:name="_Hlt50869536"/>
      <w:r>
        <w:t>3</w:t>
      </w:r>
      <w:bookmarkEnd w:id="119"/>
      <w:bookmarkEnd w:id="120"/>
      <w:r>
        <w:t>]</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The Joint Venturers are the holders of the Title Areas (as hereinafter defined) granted under the Petroleum (Submerged Lands) Act 1967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means the Conservation and Land Management Act 1984;</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means the Environmental Protection Act 1986;</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P, or of titles derived from those titles, which are held during the term of this Agreement by any person under such titles granted pursuant to the Petroleum (Submerged Lands) Act 1967 of the Commonwealth;</w:t>
      </w:r>
    </w:p>
    <w:p>
      <w:pPr>
        <w:pStyle w:val="yMiscellaneousBody"/>
        <w:tabs>
          <w:tab w:val="left" w:pos="709"/>
        </w:tabs>
        <w:ind w:left="709" w:hanging="709"/>
      </w:pPr>
      <w:r>
        <w:tab/>
        <w:t>"</w:t>
      </w:r>
      <w:r>
        <w:rPr>
          <w:b/>
        </w:rPr>
        <w:t>LA Act</w:t>
      </w:r>
      <w:r>
        <w:t>" means the Land Administration Act 1997, as amended by the Ratifying Act;</w:t>
      </w:r>
    </w:p>
    <w:p>
      <w:pPr>
        <w:pStyle w:val="yMiscellaneousBody"/>
        <w:tabs>
          <w:tab w:val="left" w:pos="709"/>
        </w:tabs>
        <w:ind w:left="709" w:hanging="709"/>
      </w:pPr>
      <w:r>
        <w:tab/>
        <w:t>"</w:t>
      </w:r>
      <w:r>
        <w:rPr>
          <w:b/>
        </w:rPr>
        <w:t>laws relating to native title</w:t>
      </w:r>
      <w:r>
        <w:t>" means laws applicable from time to time in Western Australia in respect of native title and includes the Native Title Act 1993 (Commonwealth);</w:t>
      </w:r>
    </w:p>
    <w:p>
      <w:pPr>
        <w:pStyle w:val="yMiscellaneousBody"/>
        <w:tabs>
          <w:tab w:val="left" w:pos="709"/>
        </w:tabs>
        <w:ind w:left="709" w:hanging="709"/>
      </w:pPr>
      <w:r>
        <w:tab/>
        <w:t>"</w:t>
      </w:r>
      <w:r>
        <w:rPr>
          <w:b/>
        </w:rPr>
        <w:t>local government</w:t>
      </w:r>
      <w:r>
        <w:t>" means a local government established under the Local Government Act 1995;</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has the meaning given to it in the Petroleum (Submerged Lands) Act 1967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Petroleum (Submerged Lands) Act 1967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lang w:eastAsia="en-AU"/>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121" w:name="Temp"/>
      <w:bookmarkEnd w:id="121"/>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rPr>
          <w:lang w:val="en-GB"/>
        </w:rPr>
      </w:pPr>
      <w:r>
        <w:rPr>
          <w:lang w:val="en-GB"/>
        </w:rPr>
        <w:tab/>
      </w:r>
      <w:r>
        <w:rPr>
          <w:lang w:val="en-GB"/>
        </w:rPr>
        <w:tab/>
        <w:t>(a)</w:t>
      </w:r>
      <w:r>
        <w:rPr>
          <w:lang w:val="en-GB"/>
        </w:rPr>
        <w:tab/>
        <w:t xml:space="preserve">The </w:t>
      </w:r>
      <w:r>
        <w:t>formation</w:t>
      </w:r>
      <w:r>
        <w:rPr>
          <w:lang w:val="en-GB"/>
        </w:rPr>
        <w:t xml:space="preserve">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rPr>
          <w:lang w:val="en-GB"/>
        </w:rPr>
      </w:pPr>
      <w:r>
        <w:rPr>
          <w:lang w:val="en-GB"/>
        </w:rPr>
        <w:tab/>
      </w:r>
      <w:r>
        <w:rPr>
          <w:lang w:val="en-GB"/>
        </w:rPr>
        <w:tab/>
        <w:t>(b)</w:t>
      </w:r>
      <w:r>
        <w:rPr>
          <w:lang w:val="en-GB"/>
        </w:rP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rPr>
          <w:lang w:val="en-GB"/>
        </w:rPr>
      </w:pPr>
      <w:r>
        <w:rPr>
          <w:lang w:val="en-GB"/>
        </w:rPr>
        <w:tab/>
      </w:r>
      <w:r>
        <w:rPr>
          <w:lang w:val="en-GB"/>
        </w:rPr>
        <w:tab/>
        <w:t>(c)</w:t>
      </w:r>
      <w:r>
        <w:rPr>
          <w:lang w:val="en-GB"/>
        </w:rP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rPr>
          <w:lang w:val="en-GB"/>
        </w:rPr>
      </w:pPr>
      <w:r>
        <w:rPr>
          <w:lang w:val="en-GB"/>
        </w:rPr>
        <w:tab/>
      </w:r>
      <w:r>
        <w:rPr>
          <w:lang w:val="en-GB"/>
        </w:rPr>
        <w:tab/>
        <w:t>(d)</w:t>
      </w:r>
      <w:r>
        <w:rPr>
          <w:lang w:val="en-GB"/>
        </w:rP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rPr>
          <w:lang w:val="en-GB"/>
        </w:rPr>
      </w:pPr>
      <w:r>
        <w:rPr>
          <w:lang w:val="en-GB"/>
        </w:rPr>
        <w:tab/>
      </w:r>
      <w:r>
        <w:rPr>
          <w:lang w:val="en-GB"/>
        </w:rPr>
        <w:tab/>
        <w:t>(e)</w:t>
      </w:r>
      <w:r>
        <w:rPr>
          <w:lang w:val="en-GB"/>
        </w:rPr>
        <w:tab/>
        <w:t>The matters to be coordinated by the BICC are:</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w:t>
      </w:r>
      <w:r>
        <w:rPr>
          <w:lang w:val="en-GB"/>
        </w:rPr>
        <w:tab/>
        <w:t xml:space="preserve">providing a single </w:t>
      </w:r>
      <w:r>
        <w:t>point</w:t>
      </w:r>
      <w:r>
        <w:rPr>
          <w:lang w:val="en-GB"/>
        </w:rPr>
        <w:t xml:space="preserve">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w:t>
      </w:r>
      <w:r>
        <w:rPr>
          <w:lang w:val="en-GB"/>
        </w:rP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(iii)</w:t>
      </w:r>
      <w:r>
        <w:rPr>
          <w:lang w:val="en-GB"/>
        </w:rP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(iv)</w:t>
      </w:r>
      <w:r>
        <w:rPr>
          <w:lang w:val="en-GB"/>
        </w:rP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rPr>
          <w:lang w:val="en-GB"/>
        </w:rPr>
        <w:tab/>
      </w:r>
      <w:r>
        <w:rPr>
          <w:lang w:val="en-GB"/>
        </w:rPr>
        <w:tab/>
      </w:r>
      <w:r>
        <w:rPr>
          <w:lang w:val="en-GB"/>
        </w:rPr>
        <w:tab/>
        <w:t>(v)</w:t>
      </w:r>
      <w:r>
        <w:rPr>
          <w:lang w:val="en-GB"/>
        </w:rPr>
        <w:tab/>
      </w:r>
      <w:r>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 xml:space="preserve">The BICC </w:t>
      </w:r>
      <w:r>
        <w:rPr>
          <w:lang w:val="en-GB"/>
        </w:rPr>
        <w:t>Participants</w:t>
      </w:r>
      <w:r>
        <w:t xml:space="preserve">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Government Agreements Act 1979).</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i/>
        </w:rPr>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Commercial Arbitration Act 1985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Any lease or agreement for lease from the Minister for Lands under the LA Act shall be subject to item 6(1) of the Third Schedule to the Stamp Act 1921.</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gridSpan w:val="3"/>
          </w:tcPr>
          <w:p>
            <w:pPr>
              <w:pStyle w:val="yTable"/>
              <w:rPr>
                <w:i/>
              </w:rPr>
            </w:pPr>
            <w:r>
              <w:br/>
            </w:r>
            <w:r>
              <w:br/>
            </w:r>
            <w:r>
              <w:br/>
            </w:r>
            <w:r>
              <w:br/>
            </w:r>
            <w:r>
              <w:rPr>
                <w:i/>
              </w:rPr>
              <w:t>N D Theobald</w:t>
            </w:r>
          </w:p>
        </w:tc>
      </w:tr>
      <w:tr>
        <w:tc>
          <w:tcPr>
            <w:tcW w:w="4395" w:type="dxa"/>
            <w:gridSpan w:val="2"/>
          </w:tcPr>
          <w:p>
            <w:pPr>
              <w:pStyle w:val="yTable"/>
            </w:pPr>
          </w:p>
        </w:tc>
        <w:tc>
          <w:tcPr>
            <w:tcW w:w="2693" w:type="dxa"/>
            <w:gridSpan w:val="3"/>
            <w:tcBorders>
              <w:top w:val="single" w:sz="4" w:space="0" w:color="auto"/>
            </w:tcBorders>
          </w:tcPr>
          <w:p>
            <w:pPr>
              <w:pStyle w:val="yTable"/>
            </w:pPr>
            <w:r>
              <w:t>Signature</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Borders>
              <w:bottom w:val="single" w:sz="4" w:space="0" w:color="auto"/>
            </w:tcBorders>
          </w:tcPr>
          <w:p>
            <w:pPr>
              <w:pStyle w:val="yTable"/>
            </w:pPr>
            <w:r>
              <w:rPr>
                <w:i/>
              </w:rPr>
              <w:t>A L Groves</w:t>
            </w:r>
          </w:p>
        </w:tc>
      </w:tr>
      <w:tr>
        <w:tc>
          <w:tcPr>
            <w:tcW w:w="4395" w:type="dxa"/>
            <w:gridSpan w:val="2"/>
          </w:tcPr>
          <w:p>
            <w:pPr>
              <w:pStyle w:val="yTable"/>
            </w:pPr>
          </w:p>
        </w:tc>
        <w:tc>
          <w:tcPr>
            <w:tcW w:w="2693" w:type="dxa"/>
            <w:gridSpan w:val="3"/>
            <w:tcBorders>
              <w:top w:val="single" w:sz="4" w:space="0" w:color="auto"/>
            </w:tcBorders>
          </w:tcPr>
          <w:p>
            <w:pPr>
              <w:pStyle w:val="yTable"/>
            </w:pPr>
            <w:r>
              <w:t>Witness</w:t>
            </w:r>
          </w:p>
        </w:tc>
      </w:tr>
      <w:tr>
        <w:tc>
          <w:tcPr>
            <w:tcW w:w="4395" w:type="dxa"/>
            <w:gridSpan w:val="2"/>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gridSpan w:val="3"/>
          </w:tcPr>
          <w:p>
            <w:pPr>
              <w:pStyle w:val="yTable"/>
              <w:keepNext/>
              <w:keepLines/>
              <w:rPr>
                <w:i/>
              </w:rPr>
            </w:pPr>
            <w:r>
              <w:br/>
            </w:r>
            <w:r>
              <w:br/>
            </w:r>
            <w:r>
              <w:br/>
            </w:r>
            <w:r>
              <w:br/>
            </w:r>
            <w:r>
              <w:rPr>
                <w:i/>
              </w:rPr>
              <w:t>Gavin Ryan</w:t>
            </w:r>
          </w:p>
        </w:tc>
      </w:tr>
      <w:tr>
        <w:tc>
          <w:tcPr>
            <w:tcW w:w="4395" w:type="dxa"/>
            <w:gridSpan w:val="2"/>
          </w:tcPr>
          <w:p>
            <w:pPr>
              <w:pStyle w:val="yTable"/>
              <w:keepNext/>
              <w:keepLines/>
            </w:pPr>
          </w:p>
        </w:tc>
        <w:tc>
          <w:tcPr>
            <w:tcW w:w="2693" w:type="dxa"/>
            <w:gridSpan w:val="3"/>
            <w:tcBorders>
              <w:top w:val="single" w:sz="4" w:space="0" w:color="auto"/>
            </w:tcBorders>
          </w:tcPr>
          <w:p>
            <w:pPr>
              <w:pStyle w:val="yTable"/>
              <w:keepNext/>
              <w:keepLines/>
            </w:pPr>
            <w:r>
              <w:rPr>
                <w:strike/>
              </w:rPr>
              <w:t>Director</w:t>
            </w:r>
            <w:r>
              <w:t>/Secretary</w:t>
            </w:r>
          </w:p>
        </w:tc>
      </w:tr>
      <w:tr>
        <w:tc>
          <w:tcPr>
            <w:tcW w:w="4395" w:type="dxa"/>
            <w:gridSpan w:val="2"/>
          </w:tcPr>
          <w:p>
            <w:pPr>
              <w:pStyle w:val="yTable"/>
              <w:keepNext/>
              <w:keepLines/>
            </w:pPr>
          </w:p>
        </w:tc>
        <w:tc>
          <w:tcPr>
            <w:tcW w:w="2693" w:type="dxa"/>
            <w:gridSpan w:val="3"/>
          </w:tcPr>
          <w:p>
            <w:pPr>
              <w:pStyle w:val="yTable"/>
              <w:keepNext/>
              <w:keepLines/>
            </w:pPr>
          </w:p>
        </w:tc>
      </w:tr>
      <w:tr>
        <w:tc>
          <w:tcPr>
            <w:tcW w:w="4395" w:type="dxa"/>
            <w:gridSpan w:val="2"/>
          </w:tcPr>
          <w:p>
            <w:pPr>
              <w:pStyle w:val="yTable"/>
            </w:pPr>
          </w:p>
        </w:tc>
        <w:tc>
          <w:tcPr>
            <w:tcW w:w="2693" w:type="dxa"/>
            <w:gridSpan w:val="3"/>
            <w:tcBorders>
              <w:bottom w:val="single" w:sz="4" w:space="0" w:color="auto"/>
            </w:tcBorders>
          </w:tcPr>
          <w:p>
            <w:pPr>
              <w:pStyle w:val="yTable"/>
              <w:rPr>
                <w:i/>
              </w:rPr>
            </w:pPr>
            <w:r>
              <w:rPr>
                <w:i/>
              </w:rPr>
              <w:t>Christopher Gunner</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22" w:name="_Toc113772699"/>
      <w:bookmarkStart w:id="123" w:name="_Toc162761626"/>
      <w:bookmarkStart w:id="124" w:name="_Toc162764263"/>
      <w:bookmarkStart w:id="125" w:name="_Toc186622099"/>
      <w:bookmarkStart w:id="126" w:name="_Toc187048473"/>
      <w:bookmarkStart w:id="127" w:name="_Toc32510171"/>
      <w:r>
        <w:t>Notes</w:t>
      </w:r>
      <w:bookmarkEnd w:id="122"/>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Act 2003</w:t>
      </w:r>
      <w:r>
        <w:rPr>
          <w:snapToGrid w:val="0"/>
        </w:rPr>
        <w:t xml:space="preserve"> and includes the amendments made by the other written laws referred to in the following table.</w:t>
      </w:r>
    </w:p>
    <w:p>
      <w:pPr>
        <w:pStyle w:val="nHeading3"/>
        <w:rPr>
          <w:snapToGrid w:val="0"/>
        </w:rPr>
      </w:pPr>
      <w:bookmarkStart w:id="128" w:name="_Toc113772700"/>
      <w:bookmarkStart w:id="129" w:name="_Toc32510172"/>
      <w:r>
        <w:rPr>
          <w:snapToGrid w:val="0"/>
        </w:rPr>
        <w:t>Compilation table</w:t>
      </w:r>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100"/>
              <w:rPr>
                <w:sz w:val="19"/>
              </w:rPr>
            </w:pPr>
            <w:r>
              <w:rPr>
                <w:i/>
                <w:noProof/>
                <w:snapToGrid w:val="0"/>
                <w:sz w:val="19"/>
              </w:rPr>
              <w:t>Barrow Island Act 2003</w:t>
            </w:r>
            <w:r>
              <w:rPr>
                <w:i/>
                <w:noProof/>
                <w:snapToGrid w:val="0"/>
                <w:sz w:val="19"/>
                <w:vertAlign w:val="superscript"/>
              </w:rPr>
              <w:t> 2</w:t>
            </w:r>
          </w:p>
        </w:tc>
        <w:tc>
          <w:tcPr>
            <w:tcW w:w="1134" w:type="dxa"/>
          </w:tcPr>
          <w:p>
            <w:pPr>
              <w:pStyle w:val="nTable"/>
              <w:spacing w:before="100"/>
              <w:rPr>
                <w:sz w:val="19"/>
              </w:rPr>
            </w:pPr>
            <w:r>
              <w:rPr>
                <w:sz w:val="19"/>
              </w:rPr>
              <w:t>61 of 2003</w:t>
            </w:r>
          </w:p>
        </w:tc>
        <w:tc>
          <w:tcPr>
            <w:tcW w:w="1134" w:type="dxa"/>
          </w:tcPr>
          <w:p>
            <w:pPr>
              <w:pStyle w:val="nTable"/>
              <w:spacing w:before="100"/>
              <w:rPr>
                <w:sz w:val="19"/>
              </w:rPr>
            </w:pPr>
            <w:r>
              <w:rPr>
                <w:sz w:val="19"/>
              </w:rPr>
              <w:t>20 Nov 2003</w:t>
            </w:r>
          </w:p>
        </w:tc>
        <w:tc>
          <w:tcPr>
            <w:tcW w:w="2551" w:type="dxa"/>
          </w:tcPr>
          <w:p>
            <w:pPr>
              <w:pStyle w:val="nTable"/>
              <w:spacing w:before="100"/>
              <w:rPr>
                <w:sz w:val="19"/>
              </w:rPr>
            </w:pPr>
            <w:r>
              <w:rPr>
                <w:sz w:val="19"/>
              </w:rPr>
              <w:t>Act other than s. 12: 20 Nov 2003 (see s. 2);</w:t>
            </w:r>
          </w:p>
          <w:p>
            <w:pPr>
              <w:pStyle w:val="nTable"/>
              <w:spacing w:before="0"/>
              <w:rPr>
                <w:sz w:val="19"/>
              </w:rPr>
            </w:pPr>
            <w:r>
              <w:rPr>
                <w:sz w:val="19"/>
              </w:rPr>
              <w:t>s. 12 repealed by No. 13 of 2005 s. 48(3)</w:t>
            </w:r>
          </w:p>
        </w:tc>
      </w:tr>
      <w:tr>
        <w:tc>
          <w:tcPr>
            <w:tcW w:w="2268" w:type="dxa"/>
          </w:tcPr>
          <w:p>
            <w:pPr>
              <w:pStyle w:val="nTable"/>
              <w:spacing w:before="100"/>
              <w:rPr>
                <w:i/>
                <w:noProof/>
                <w:snapToGrid w:val="0"/>
                <w:sz w:val="19"/>
              </w:rPr>
            </w:pPr>
            <w:r>
              <w:rPr>
                <w:i/>
                <w:noProof/>
                <w:snapToGrid w:val="0"/>
                <w:sz w:val="19"/>
              </w:rPr>
              <w:t>Petroleum Legislation Amendment and Repeal Act 2005</w:t>
            </w:r>
            <w:r>
              <w:rPr>
                <w:iCs/>
                <w:noProof/>
                <w:snapToGrid w:val="0"/>
                <w:sz w:val="19"/>
              </w:rPr>
              <w:t xml:space="preserve"> s. 48</w:t>
            </w:r>
            <w:r>
              <w:rPr>
                <w:iCs/>
                <w:noProof/>
                <w:snapToGrid w:val="0"/>
                <w:sz w:val="19"/>
                <w:vertAlign w:val="superscript"/>
              </w:rPr>
              <w:t> </w:t>
            </w:r>
          </w:p>
        </w:tc>
        <w:tc>
          <w:tcPr>
            <w:tcW w:w="1134" w:type="dxa"/>
          </w:tcPr>
          <w:p>
            <w:pPr>
              <w:pStyle w:val="nTable"/>
              <w:spacing w:before="100"/>
              <w:rPr>
                <w:sz w:val="19"/>
              </w:rPr>
            </w:pPr>
            <w:r>
              <w:rPr>
                <w:sz w:val="19"/>
              </w:rPr>
              <w:t>13 of 2005</w:t>
            </w:r>
          </w:p>
        </w:tc>
        <w:tc>
          <w:tcPr>
            <w:tcW w:w="1134" w:type="dxa"/>
          </w:tcPr>
          <w:p>
            <w:pPr>
              <w:pStyle w:val="nTable"/>
              <w:spacing w:before="100"/>
              <w:rPr>
                <w:sz w:val="19"/>
              </w:rPr>
            </w:pPr>
            <w:r>
              <w:rPr>
                <w:sz w:val="19"/>
              </w:rPr>
              <w:t>1 Sep 2005</w:t>
            </w:r>
          </w:p>
        </w:tc>
        <w:tc>
          <w:tcPr>
            <w:tcW w:w="2551" w:type="dxa"/>
          </w:tcPr>
          <w:p>
            <w:pPr>
              <w:pStyle w:val="nTable"/>
              <w:spacing w:before="100"/>
              <w:rPr>
                <w:i/>
                <w:iCs/>
                <w:sz w:val="19"/>
              </w:rPr>
            </w:pPr>
            <w:r>
              <w:rPr>
                <w:sz w:val="19"/>
              </w:rPr>
              <w:t xml:space="preserve">28 Mar 2007 (see s. 2 and </w:t>
            </w:r>
            <w:r>
              <w:rPr>
                <w:i/>
                <w:iCs/>
                <w:sz w:val="19"/>
              </w:rPr>
              <w:t xml:space="preserve">Gazette </w:t>
            </w:r>
            <w:r>
              <w:rPr>
                <w:sz w:val="19"/>
              </w:rPr>
              <w:t>27 Mar 2007 p. 1405)</w:t>
            </w:r>
          </w:p>
        </w:tc>
      </w:tr>
      <w:tr>
        <w:tc>
          <w:tcPr>
            <w:tcW w:w="2268" w:type="dxa"/>
            <w:tcBorders>
              <w:bottom w:val="single" w:sz="4" w:space="0" w:color="auto"/>
            </w:tcBorders>
          </w:tcPr>
          <w:p>
            <w:pPr>
              <w:pStyle w:val="nTable"/>
              <w:spacing w:before="100"/>
              <w:rPr>
                <w:i/>
                <w:noProof/>
                <w:snapToGrid w:val="0"/>
                <w:sz w:val="19"/>
              </w:rPr>
            </w:pPr>
            <w:r>
              <w:rPr>
                <w:i/>
                <w:snapToGrid w:val="0"/>
                <w:sz w:val="19"/>
              </w:rPr>
              <w:t>Petroleum Amendment Act 2007</w:t>
            </w:r>
            <w:r>
              <w:rPr>
                <w:iCs/>
                <w:snapToGrid w:val="0"/>
                <w:sz w:val="19"/>
              </w:rPr>
              <w:t xml:space="preserve"> s. 90</w:t>
            </w:r>
            <w:r>
              <w:t> </w:t>
            </w:r>
          </w:p>
        </w:tc>
        <w:tc>
          <w:tcPr>
            <w:tcW w:w="1134" w:type="dxa"/>
            <w:tcBorders>
              <w:bottom w:val="single" w:sz="4" w:space="0" w:color="auto"/>
            </w:tcBorders>
          </w:tcPr>
          <w:p>
            <w:pPr>
              <w:pStyle w:val="nTable"/>
              <w:spacing w:before="100"/>
              <w:rPr>
                <w:sz w:val="19"/>
              </w:rPr>
            </w:pPr>
            <w:r>
              <w:rPr>
                <w:sz w:val="19"/>
              </w:rPr>
              <w:t>35 of 2007</w:t>
            </w:r>
          </w:p>
        </w:tc>
        <w:tc>
          <w:tcPr>
            <w:tcW w:w="1134" w:type="dxa"/>
            <w:tcBorders>
              <w:bottom w:val="single" w:sz="4" w:space="0" w:color="auto"/>
            </w:tcBorders>
          </w:tcPr>
          <w:p>
            <w:pPr>
              <w:pStyle w:val="nTable"/>
              <w:spacing w:before="100"/>
              <w:rPr>
                <w:sz w:val="19"/>
              </w:rPr>
            </w:pPr>
            <w:r>
              <w:rPr>
                <w:sz w:val="19"/>
              </w:rPr>
              <w:t>21 Dec 2007</w:t>
            </w:r>
          </w:p>
        </w:tc>
        <w:tc>
          <w:tcPr>
            <w:tcW w:w="2551" w:type="dxa"/>
            <w:tcBorders>
              <w:bottom w:val="single" w:sz="4" w:space="0" w:color="auto"/>
            </w:tcBorders>
          </w:tcPr>
          <w:p>
            <w:pPr>
              <w:pStyle w:val="nTable"/>
              <w:spacing w:before="100"/>
              <w:rPr>
                <w:sz w:val="19"/>
              </w:rPr>
            </w:pPr>
            <w:r>
              <w:rPr>
                <w:sz w:val="19"/>
              </w:rPr>
              <w:t xml:space="preserve">19 Jan 2008 (see s. 2(b) and </w:t>
            </w:r>
            <w:r>
              <w:rPr>
                <w:i/>
                <w:iCs/>
                <w:sz w:val="19"/>
              </w:rPr>
              <w:t>Gazette</w:t>
            </w:r>
            <w:r>
              <w:rPr>
                <w:sz w:val="19"/>
              </w:rPr>
              <w:t xml:space="preserve"> 18 Jan 2008 p. 147)</w:t>
            </w:r>
          </w:p>
        </w:tc>
      </w:tr>
    </w:tbl>
    <w:p>
      <w:pPr>
        <w:pStyle w:val="nSubsection"/>
      </w:pPr>
      <w:r>
        <w:rPr>
          <w:vertAlign w:val="superscript"/>
        </w:rPr>
        <w:t>2</w:t>
      </w:r>
      <w:r>
        <w:tab/>
        <w:t xml:space="preserve">Section 12 of this Act had not come into operation when it was repealed by the </w:t>
      </w:r>
      <w:r>
        <w:rPr>
          <w:i/>
          <w:iCs/>
        </w:rPr>
        <w:t>Petroleum Legislation Amendment and Repeal Act 2005</w:t>
      </w:r>
      <w:r>
        <w:t xml:space="preserve"> s. 48(3).</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Barrow Island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Barrow Island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Barrow Island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b w:val="0"/>
                <w:noProof/>
              </w:rPr>
              <w:t>Barrow Island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rPr>
              <w:noProof/>
            </w:rPr>
            <w:fldChar w:fldCharType="end"/>
          </w:r>
          <w:r>
            <w:t xml:space="preserve"> </w:t>
          </w:r>
        </w:p>
      </w:tc>
      <w:tc>
        <w:tcPr>
          <w:tcW w:w="5715" w:type="dxa"/>
        </w:tcPr>
        <w:p>
          <w:pPr>
            <w:pStyle w:val="HeaderTextLeft"/>
          </w:pPr>
          <w:r>
            <w:fldChar w:fldCharType="begin"/>
          </w:r>
          <w:r>
            <w:instrText xml:space="preserve"> styleref CharSchText </w:instrText>
          </w:r>
          <w:r>
            <w:rPr>
              <w:noProof/>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Barrow Island Act 2003</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r>
            <w:t xml:space="preserve"> </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Barrow Island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AA1B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26CF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32B7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D279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pStyle w:val="ListNumber"/>
      <w:lvlText w:val="%1."/>
      <w:lvlJc w:val="left"/>
      <w:pPr>
        <w:tabs>
          <w:tab w:val="num" w:pos="360"/>
        </w:tabs>
        <w:ind w:left="360" w:hanging="360"/>
      </w:pPr>
    </w:lvl>
  </w:abstractNum>
  <w:abstractNum w:abstractNumId="9">
    <w:nsid w:val="FFFFFF89"/>
    <w:multiLevelType w:val="singleLevel"/>
    <w:tmpl w:val="756E84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FD2A5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5DAC9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907"/>
    <w:docVar w:name="WAFER_20151207085907" w:val="RemoveTrackChanges"/>
    <w:docVar w:name="WAFER_20151207085907_GUID" w:val="73cadd24-c83a-46d8-b215-084ff929cf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16733</Words>
  <Characters>83498</Characters>
  <Application>Microsoft Office Word</Application>
  <DocSecurity>0</DocSecurity>
  <Lines>2087</Lines>
  <Paragraphs>696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Barrow Island Act 2003</vt:lpstr>
      <vt:lpstr/>
      <vt:lpstr>    Part 1 — Preliminary</vt:lpstr>
      <vt:lpstr>    Part 2 — Ratification of Agreement</vt:lpstr>
      <vt:lpstr>    Part 3 — Use of reserve under the Land Administration Act 1997</vt:lpstr>
      <vt:lpstr>    Part 4 — Conveyance and underground disposal of carbon dioxide</vt:lpstr>
      <vt:lpstr>    Part 5 — Miscellaneous</vt:lpstr>
      <vt:lpstr>    Schedule 1 — Gorgon Gas Processing and Infrastructure Project Agreement</vt:lpstr>
      <vt:lpstr>    Notes</vt:lpstr>
    </vt:vector>
  </TitlesOfParts>
  <Manager/>
  <Company/>
  <LinksUpToDate>false</LinksUpToDate>
  <CharactersWithSpaces>99535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2003 - 00-d0-07</dc:title>
  <dc:subject/>
  <dc:creator/>
  <cp:keywords/>
  <dc:description/>
  <cp:lastModifiedBy>svcMRProcess</cp:lastModifiedBy>
  <cp:revision>4</cp:revision>
  <cp:lastPrinted>2007-03-27T04:35:00Z</cp:lastPrinted>
  <dcterms:created xsi:type="dcterms:W3CDTF">2020-02-13T10:15:00Z</dcterms:created>
  <dcterms:modified xsi:type="dcterms:W3CDTF">2020-02-13T10:15:00Z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6988</vt:i4>
  </property>
  <property fmtid="{D5CDD505-2E9C-101B-9397-08002B2CF9AE}" pid="6" name="AsAtDate">
    <vt:lpwstr>19 Jan 2008</vt:lpwstr>
  </property>
  <property fmtid="{D5CDD505-2E9C-101B-9397-08002B2CF9AE}" pid="7" name="Suffix">
    <vt:lpwstr>00-d0-07</vt:lpwstr>
  </property>
</Properties>
</file>