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720" w:right="736"/>
      </w:pPr>
      <w:r>
        <w:fldChar w:fldCharType="begin"/>
      </w:r>
      <w:r>
        <w:instrText xml:space="preserve"> STYLEREF "Name Of Act/Reg"</w:instrText>
      </w:r>
      <w:r>
        <w:fldChar w:fldCharType="separate"/>
      </w:r>
      <w:r>
        <w:rPr>
          <w:noProof/>
        </w:rPr>
        <w:t>Road Traffic (Drug Driving)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(Drug Driving) Regulations 2007</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_Toc188957378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_Toc188957379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Prescribed illicit drugs (s. 65)</w:t>
      </w:r>
      <w:r>
        <w:tab/>
      </w:r>
      <w:r>
        <w:fldChar w:fldCharType="begin"/>
      </w:r>
      <w:r>
        <w:instrText xml:space="preserve"> PAGEREF _Toc188957380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Conducting a driver assessment (s. 66A(7))</w:t>
      </w:r>
      <w:r>
        <w:tab/>
      </w:r>
      <w:r>
        <w:fldChar w:fldCharType="begin"/>
      </w:r>
      <w:r>
        <w:instrText xml:space="preserve"> PAGEREF _Toc188957381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Conducting a preliminary oral fluid test (s. 66C(7))</w:t>
      </w:r>
      <w:r>
        <w:tab/>
      </w:r>
      <w:r>
        <w:fldChar w:fldCharType="begin"/>
      </w:r>
      <w:r>
        <w:instrText xml:space="preserve"> PAGEREF _Toc188957382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Collecting oral fluid (s. 66D(4))</w:t>
      </w:r>
      <w:r>
        <w:tab/>
      </w:r>
      <w:r>
        <w:fldChar w:fldCharType="begin"/>
      </w:r>
      <w:r>
        <w:instrText xml:space="preserve"> PAGEREF _Toc188957383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Conducting an oral fluid test (s. 66D(4))</w:t>
      </w:r>
      <w:r>
        <w:tab/>
      </w:r>
      <w:r>
        <w:fldChar w:fldCharType="begin"/>
      </w:r>
      <w:r>
        <w:instrText xml:space="preserve"> PAGEREF _Toc188957384 \h </w:instrText>
      </w:r>
      <w:r>
        <w:fldChar w:fldCharType="separate"/>
      </w:r>
      <w:r>
        <w:t>4</w:t>
      </w:r>
      <w:r>
        <w:fldChar w:fldCharType="end"/>
      </w:r>
    </w:p>
    <w:p>
      <w:pPr>
        <w:pStyle w:val="TOC8"/>
        <w:rPr>
          <w:sz w:val="24"/>
          <w:szCs w:val="24"/>
        </w:rPr>
      </w:pPr>
      <w:r>
        <w:rPr>
          <w:szCs w:val="24"/>
        </w:rPr>
        <w:t>8.</w:t>
      </w:r>
      <w:r>
        <w:rPr>
          <w:szCs w:val="24"/>
        </w:rPr>
        <w:tab/>
        <w:t>Manufacturer’s instructions (s. 72(1a))</w:t>
      </w:r>
      <w:r>
        <w:tab/>
      </w:r>
      <w:r>
        <w:fldChar w:fldCharType="begin"/>
      </w:r>
      <w:r>
        <w:instrText xml:space="preserve"> PAGEREF _Toc188957385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Blood sampling from incapable person (s. 66B(1))</w:t>
      </w:r>
      <w:r>
        <w:tab/>
      </w:r>
      <w:r>
        <w:fldChar w:fldCharType="begin"/>
      </w:r>
      <w:r>
        <w:instrText xml:space="preserve"> PAGEREF _Toc188957386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Other prescribed certificates and forms (s. 70)</w:t>
      </w:r>
      <w:r>
        <w:tab/>
      </w:r>
      <w:r>
        <w:fldChar w:fldCharType="begin"/>
      </w:r>
      <w:r>
        <w:instrText xml:space="preserve"> PAGEREF _Toc188957387 \h </w:instrText>
      </w:r>
      <w:r>
        <w:fldChar w:fldCharType="separate"/>
      </w:r>
      <w:r>
        <w:t>5</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_Toc188957390 \h </w:instrText>
      </w:r>
      <w:r>
        <w:fldChar w:fldCharType="separate"/>
      </w:r>
      <w:r>
        <w:t>16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pPr>
      <w:r>
        <w:t>Road Traffic (Drug Driving) Regulations 2007</w:t>
      </w:r>
    </w:p>
    <w:p>
      <w:pPr>
        <w:pStyle w:val="Heading5"/>
      </w:pPr>
      <w:bookmarkStart w:id="1" w:name="_Toc188957378"/>
      <w:r>
        <w:rPr>
          <w:rStyle w:val="CharSectno"/>
        </w:rPr>
        <w:t>1</w:t>
      </w:r>
      <w:r>
        <w:t>.</w:t>
      </w:r>
      <w:r>
        <w:tab/>
        <w:t>Citation</w:t>
      </w:r>
      <w:bookmarkEnd w:id="1"/>
    </w:p>
    <w:p>
      <w:pPr>
        <w:pStyle w:val="Subsection"/>
        <w:rPr>
          <w:i/>
        </w:rPr>
      </w:pPr>
      <w:r>
        <w:tab/>
      </w:r>
      <w:r>
        <w:tab/>
      </w:r>
      <w:bookmarkStart w:id="2" w:name="Start_Cursor"/>
      <w:bookmarkEnd w:id="2"/>
      <w:r>
        <w:rPr>
          <w:spacing w:val="-2"/>
        </w:rPr>
        <w:t>These</w:t>
      </w:r>
      <w:r>
        <w:t xml:space="preserve"> </w:t>
      </w:r>
      <w:r>
        <w:rPr>
          <w:spacing w:val="-2"/>
        </w:rPr>
        <w:t>regulations</w:t>
      </w:r>
      <w:r>
        <w:t xml:space="preserve"> are the </w:t>
      </w:r>
      <w:r>
        <w:rPr>
          <w:i/>
        </w:rPr>
        <w:t>Road Traffic (Drug Driving) Regulations 2007</w:t>
      </w:r>
      <w:r>
        <w:t>.</w:t>
      </w:r>
    </w:p>
    <w:p>
      <w:pPr>
        <w:pStyle w:val="Heading5"/>
        <w:rPr>
          <w:spacing w:val="-2"/>
        </w:rPr>
      </w:pPr>
      <w:bookmarkStart w:id="3" w:name="_Toc188957379"/>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that the </w:t>
      </w:r>
      <w:r>
        <w:rPr>
          <w:i/>
          <w:iCs/>
        </w:rPr>
        <w:t>Road Traffic Amendment (Drugs) Act 2007</w:t>
      </w:r>
      <w:r>
        <w:t xml:space="preserve"> Part 2 comes into operation.</w:t>
      </w:r>
    </w:p>
    <w:p>
      <w:pPr>
        <w:pStyle w:val="Heading5"/>
        <w:rPr>
          <w:snapToGrid w:val="0"/>
        </w:rPr>
      </w:pPr>
      <w:bookmarkStart w:id="4" w:name="_Toc188957380"/>
      <w:r>
        <w:rPr>
          <w:rStyle w:val="CharSectno"/>
        </w:rPr>
        <w:t>3</w:t>
      </w:r>
      <w:r>
        <w:rPr>
          <w:snapToGrid w:val="0"/>
        </w:rPr>
        <w:t>.</w:t>
      </w:r>
      <w:r>
        <w:rPr>
          <w:snapToGrid w:val="0"/>
        </w:rPr>
        <w:tab/>
        <w:t>Prescribed illicit drugs (s. 65)</w:t>
      </w:r>
      <w:bookmarkEnd w:id="4"/>
    </w:p>
    <w:p>
      <w:pPr>
        <w:pStyle w:val="Subsection"/>
      </w:pPr>
      <w:r>
        <w:tab/>
      </w:r>
      <w:r>
        <w:tab/>
        <w:t xml:space="preserve">For the purposes of section 65 of the Act, each of the following drugs is declared to be a “prescribed illicit drug”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Footnotesection"/>
      </w:pPr>
      <w:r>
        <w:tab/>
        <w:t>[Regulation 3 amended in Gazette 25 Jan 2008 p. 217.]</w:t>
      </w:r>
    </w:p>
    <w:p>
      <w:pPr>
        <w:pStyle w:val="Heading5"/>
        <w:rPr>
          <w:snapToGrid w:val="0"/>
        </w:rPr>
      </w:pPr>
      <w:bookmarkStart w:id="5" w:name="_Toc188957381"/>
      <w:r>
        <w:rPr>
          <w:rStyle w:val="CharSectno"/>
        </w:rPr>
        <w:t>4</w:t>
      </w:r>
      <w:r>
        <w:rPr>
          <w:snapToGrid w:val="0"/>
        </w:rPr>
        <w:t>.</w:t>
      </w:r>
      <w:r>
        <w:rPr>
          <w:snapToGrid w:val="0"/>
        </w:rPr>
        <w:tab/>
        <w:t>Conducting a driver assessment (s. 66A(7))</w:t>
      </w:r>
      <w:bookmarkEnd w:id="5"/>
    </w:p>
    <w:p>
      <w:pPr>
        <w:pStyle w:val="Subsection"/>
      </w:pPr>
      <w:r>
        <w:tab/>
      </w:r>
      <w:r>
        <w:tab/>
        <w:t xml:space="preserve">For the purposes of section 66A(7), the procedure that a member of the Police Force is to follow when assessing drug impairment as a part of a driver assessment is to be based on observations of aspects of the driver’s behaviour, demeanour and condition, which can include whether — </w:t>
      </w:r>
    </w:p>
    <w:p>
      <w:pPr>
        <w:pStyle w:val="Indenta"/>
      </w:pPr>
      <w:r>
        <w:tab/>
        <w:t>(a)</w:t>
      </w:r>
      <w:r>
        <w:tab/>
        <w:t>there is any apparent injury to the driver;</w:t>
      </w:r>
    </w:p>
    <w:p>
      <w:pPr>
        <w:pStyle w:val="Indenta"/>
      </w:pPr>
      <w:r>
        <w:tab/>
        <w:t>(b)</w:t>
      </w:r>
      <w:r>
        <w:tab/>
        <w:t>there are any unusual or indicative skin responses;</w:t>
      </w:r>
    </w:p>
    <w:p>
      <w:pPr>
        <w:pStyle w:val="Indenta"/>
      </w:pPr>
      <w:r>
        <w:tab/>
        <w:t>(c)</w:t>
      </w:r>
      <w:r>
        <w:tab/>
        <w:t>there is a smell of alcohol;</w:t>
      </w:r>
    </w:p>
    <w:p>
      <w:pPr>
        <w:pStyle w:val="Indenta"/>
      </w:pPr>
      <w:r>
        <w:tab/>
        <w:t>(d)</w:t>
      </w:r>
      <w:r>
        <w:tab/>
        <w:t xml:space="preserve">the driver’s — </w:t>
      </w:r>
    </w:p>
    <w:p>
      <w:pPr>
        <w:pStyle w:val="Indenti"/>
      </w:pPr>
      <w:r>
        <w:tab/>
        <w:t>(i)</w:t>
      </w:r>
      <w:r>
        <w:tab/>
        <w:t>speech; or</w:t>
      </w:r>
    </w:p>
    <w:p>
      <w:pPr>
        <w:pStyle w:val="Indenti"/>
      </w:pPr>
      <w:r>
        <w:tab/>
        <w:t>(ii)</w:t>
      </w:r>
      <w:r>
        <w:tab/>
        <w:t>action; or</w:t>
      </w:r>
    </w:p>
    <w:p>
      <w:pPr>
        <w:pStyle w:val="Indenti"/>
      </w:pPr>
      <w:r>
        <w:tab/>
        <w:t>(iii)</w:t>
      </w:r>
      <w:r>
        <w:tab/>
        <w:t>movement; or</w:t>
      </w:r>
    </w:p>
    <w:p>
      <w:pPr>
        <w:pStyle w:val="Indenti"/>
      </w:pPr>
      <w:r>
        <w:tab/>
        <w:t>(iv)</w:t>
      </w:r>
      <w:r>
        <w:tab/>
        <w:t>balance,</w:t>
      </w:r>
    </w:p>
    <w:p>
      <w:pPr>
        <w:pStyle w:val="Indenta"/>
      </w:pPr>
      <w:r>
        <w:tab/>
      </w:r>
      <w:r>
        <w:tab/>
        <w:t>appears affected;</w:t>
      </w:r>
    </w:p>
    <w:p>
      <w:pPr>
        <w:pStyle w:val="Indenta"/>
      </w:pPr>
      <w:r>
        <w:tab/>
        <w:t>(e)</w:t>
      </w:r>
      <w:r>
        <w:tab/>
        <w:t>the appearance of the driver’s eyes indicates drug ingestion (</w:t>
      </w:r>
      <w:r>
        <w:rPr>
          <w:i/>
          <w:iCs/>
        </w:rPr>
        <w:t>dilated, constricted, bloodshot, etc.</w:t>
      </w:r>
      <w:r>
        <w:t>);</w:t>
      </w:r>
    </w:p>
    <w:p>
      <w:pPr>
        <w:pStyle w:val="Indenta"/>
      </w:pPr>
      <w:r>
        <w:tab/>
        <w:t>(f)</w:t>
      </w:r>
      <w:r>
        <w:tab/>
        <w:t>the driver’s rate or manner of breathing appears affected by drugs;</w:t>
      </w:r>
    </w:p>
    <w:p>
      <w:pPr>
        <w:pStyle w:val="Indenta"/>
      </w:pPr>
      <w:r>
        <w:tab/>
        <w:t>(g)</w:t>
      </w:r>
      <w:r>
        <w:tab/>
        <w:t>the driver’s attitude or the appearance of the driver’s clothing appears to indicate drug ingestion;</w:t>
      </w:r>
    </w:p>
    <w:p>
      <w:pPr>
        <w:pStyle w:val="Indenta"/>
      </w:pPr>
      <w:r>
        <w:tab/>
        <w:t>(h)</w:t>
      </w:r>
      <w:r>
        <w:tab/>
        <w:t>the driver’s general comprehension appears affected by drugs.</w:t>
      </w:r>
    </w:p>
    <w:p>
      <w:pPr>
        <w:pStyle w:val="Heading5"/>
        <w:rPr>
          <w:snapToGrid w:val="0"/>
        </w:rPr>
      </w:pPr>
      <w:bookmarkStart w:id="6" w:name="_Toc188957382"/>
      <w:r>
        <w:rPr>
          <w:rStyle w:val="CharSectno"/>
        </w:rPr>
        <w:t>5</w:t>
      </w:r>
      <w:r>
        <w:rPr>
          <w:snapToGrid w:val="0"/>
        </w:rPr>
        <w:t>.</w:t>
      </w:r>
      <w:r>
        <w:rPr>
          <w:snapToGrid w:val="0"/>
        </w:rPr>
        <w:tab/>
        <w:t>Conducting a preliminary oral fluid test (s. 66C(7))</w:t>
      </w:r>
      <w:bookmarkEnd w:id="6"/>
    </w:p>
    <w:p>
      <w:pPr>
        <w:pStyle w:val="Subsection"/>
      </w:pPr>
      <w:r>
        <w:tab/>
      </w:r>
      <w:r>
        <w:tab/>
        <w:t xml:space="preserve">The following steps are to be followed by a member of the Police Force when conducting a preliminary oral fluid test — </w:t>
      </w:r>
    </w:p>
    <w:p>
      <w:pPr>
        <w:pStyle w:val="Indenta"/>
      </w:pPr>
      <w:r>
        <w:tab/>
        <w:t>(a)</w:t>
      </w:r>
      <w:r>
        <w:tab/>
        <w:t>check the packaging of the testing device is not damaged and that any expiry date has not passed;</w:t>
      </w:r>
    </w:p>
    <w:p>
      <w:pPr>
        <w:pStyle w:val="Indenta"/>
      </w:pPr>
      <w:r>
        <w:tab/>
        <w:t>(b)</w:t>
      </w:r>
      <w:r>
        <w:tab/>
        <w:t>check the device for damage and discard it if any damage is apparent;</w:t>
      </w:r>
    </w:p>
    <w:p>
      <w:pPr>
        <w:pStyle w:val="Indenta"/>
      </w:pPr>
      <w:r>
        <w:tab/>
        <w:t>(c)</w:t>
      </w:r>
      <w:r>
        <w:tab/>
        <w:t>ensure the device is ready for collecting oral fluid;</w:t>
      </w:r>
    </w:p>
    <w:p>
      <w:pPr>
        <w:pStyle w:val="Indenta"/>
      </w:pPr>
      <w:r>
        <w:tab/>
        <w:t>(d)</w:t>
      </w:r>
      <w:r>
        <w:tab/>
        <w:t>ensure that the device is wiped on the person’s tongue;</w:t>
      </w:r>
    </w:p>
    <w:p>
      <w:pPr>
        <w:pStyle w:val="Indenta"/>
      </w:pPr>
      <w:r>
        <w:tab/>
        <w:t>(e)</w:t>
      </w:r>
      <w:r>
        <w:tab/>
        <w:t>check that sufficient oral fluid has been collected;</w:t>
      </w:r>
    </w:p>
    <w:p>
      <w:pPr>
        <w:pStyle w:val="Indenta"/>
      </w:pPr>
      <w:r>
        <w:tab/>
        <w:t>(f)</w:t>
      </w:r>
      <w:r>
        <w:tab/>
        <w:t>check if the device indicates the presence of a prescribed illicit drug.</w:t>
      </w:r>
    </w:p>
    <w:p>
      <w:pPr>
        <w:pStyle w:val="Heading5"/>
        <w:rPr>
          <w:snapToGrid w:val="0"/>
        </w:rPr>
      </w:pPr>
      <w:bookmarkStart w:id="7" w:name="_Toc188957383"/>
      <w:r>
        <w:rPr>
          <w:rStyle w:val="CharSectno"/>
        </w:rPr>
        <w:t>6</w:t>
      </w:r>
      <w:r>
        <w:rPr>
          <w:snapToGrid w:val="0"/>
        </w:rPr>
        <w:t>.</w:t>
      </w:r>
      <w:r>
        <w:rPr>
          <w:snapToGrid w:val="0"/>
        </w:rPr>
        <w:tab/>
        <w:t>Collecting oral fluid (s. 66D(4))</w:t>
      </w:r>
      <w:bookmarkEnd w:id="7"/>
    </w:p>
    <w:p>
      <w:pPr>
        <w:pStyle w:val="Subsection"/>
      </w:pPr>
      <w:r>
        <w:tab/>
        <w:t>(1)</w:t>
      </w:r>
      <w:r>
        <w:tab/>
        <w:t xml:space="preserve">The following steps are to be followed by an authorised drug tester when preparing to collect oral fluid for testing under section 66D — </w:t>
      </w:r>
    </w:p>
    <w:p>
      <w:pPr>
        <w:pStyle w:val="Indenta"/>
      </w:pPr>
      <w:r>
        <w:tab/>
        <w:t>(a)</w:t>
      </w:r>
      <w:r>
        <w:tab/>
        <w:t>check the packaging of the equipment is not damaged and that any expiry date has not passed;</w:t>
      </w:r>
    </w:p>
    <w:p>
      <w:pPr>
        <w:pStyle w:val="Indenta"/>
      </w:pPr>
      <w:r>
        <w:tab/>
        <w:t>(b)</w:t>
      </w:r>
      <w:r>
        <w:tab/>
        <w:t>open the packaged equipment;</w:t>
      </w:r>
    </w:p>
    <w:p>
      <w:pPr>
        <w:pStyle w:val="Indenta"/>
      </w:pPr>
      <w:r>
        <w:tab/>
        <w:t>(c)</w:t>
      </w:r>
      <w:r>
        <w:tab/>
        <w:t>check that each item of the device is present and that none of the items shows any apparent damage;</w:t>
      </w:r>
    </w:p>
    <w:p>
      <w:pPr>
        <w:pStyle w:val="Indenta"/>
      </w:pPr>
      <w:r>
        <w:tab/>
        <w:t>(d)</w:t>
      </w:r>
      <w:r>
        <w:tab/>
        <w:t>require the suspect to submit a sample of oral fluid for testing.</w:t>
      </w:r>
    </w:p>
    <w:p>
      <w:pPr>
        <w:pStyle w:val="Subsection"/>
      </w:pPr>
      <w:r>
        <w:tab/>
        <w:t>(2)</w:t>
      </w:r>
      <w:r>
        <w:tab/>
        <w:t>The following steps are to be followed by an authorised drug tester when collecting oral fluid for testing under section 66D —</w:t>
      </w:r>
    </w:p>
    <w:p>
      <w:pPr>
        <w:pStyle w:val="Indenta"/>
      </w:pPr>
      <w:r>
        <w:tab/>
        <w:t>(a)</w:t>
      </w:r>
      <w:r>
        <w:tab/>
        <w:t xml:space="preserve">the authorised drug tester is to require the suspect — </w:t>
      </w:r>
    </w:p>
    <w:p>
      <w:pPr>
        <w:pStyle w:val="Indenti"/>
      </w:pPr>
      <w:r>
        <w:tab/>
        <w:t>(i)</w:t>
      </w:r>
      <w:r>
        <w:tab/>
        <w:t>to swab around the suspect’s gums, tongue and inside cheek; and</w:t>
      </w:r>
    </w:p>
    <w:p>
      <w:pPr>
        <w:pStyle w:val="Indenti"/>
      </w:pPr>
      <w:r>
        <w:tab/>
        <w:t>(ii)</w:t>
      </w:r>
      <w:r>
        <w:tab/>
        <w:t>to retain the swab in the suspect’s mouth until any indicator of sample adequacy shows that a sufficient sample has been collected;</w:t>
      </w:r>
    </w:p>
    <w:p>
      <w:pPr>
        <w:pStyle w:val="Indenta"/>
      </w:pPr>
      <w:r>
        <w:tab/>
        <w:t>(b)</w:t>
      </w:r>
      <w:r>
        <w:tab/>
        <w:t>the authorised drug tester is to remove the cap of the collection tube provided as a part of the testing device and place the collector swab in that tube, swab end first, then replace the cap;</w:t>
      </w:r>
    </w:p>
    <w:p>
      <w:pPr>
        <w:pStyle w:val="Indenta"/>
      </w:pPr>
      <w:r>
        <w:tab/>
        <w:t>(c)</w:t>
      </w:r>
      <w:r>
        <w:tab/>
        <w:t>the authorised drug tester is to mix the sampled oral fluid with the solution in the collector tube by moving the collector in a figure 8 motion on a flat horizontal surface for at least 30 seconds.</w:t>
      </w:r>
    </w:p>
    <w:p>
      <w:pPr>
        <w:pStyle w:val="Heading5"/>
        <w:rPr>
          <w:snapToGrid w:val="0"/>
        </w:rPr>
      </w:pPr>
      <w:bookmarkStart w:id="8" w:name="_Toc188957384"/>
      <w:r>
        <w:rPr>
          <w:rStyle w:val="CharSectno"/>
        </w:rPr>
        <w:t>7</w:t>
      </w:r>
      <w:r>
        <w:rPr>
          <w:snapToGrid w:val="0"/>
        </w:rPr>
        <w:t>.</w:t>
      </w:r>
      <w:r>
        <w:rPr>
          <w:snapToGrid w:val="0"/>
        </w:rPr>
        <w:tab/>
        <w:t>Conducting an oral fluid test (s. 66D(4))</w:t>
      </w:r>
      <w:bookmarkEnd w:id="8"/>
    </w:p>
    <w:p>
      <w:pPr>
        <w:pStyle w:val="Subsection"/>
      </w:pPr>
      <w:r>
        <w:tab/>
        <w:t>(1)</w:t>
      </w:r>
      <w:r>
        <w:tab/>
        <w:t xml:space="preserve">The following steps are to be followed by an authorised drug tester when setting up for testing oral fluid collected under section 66D — </w:t>
      </w:r>
    </w:p>
    <w:p>
      <w:pPr>
        <w:pStyle w:val="Indenta"/>
      </w:pPr>
      <w:r>
        <w:tab/>
        <w:t>(a)</w:t>
      </w:r>
      <w:r>
        <w:tab/>
        <w:t>ensure the device is switched on;</w:t>
      </w:r>
    </w:p>
    <w:p>
      <w:pPr>
        <w:pStyle w:val="Indenta"/>
      </w:pPr>
      <w:r>
        <w:tab/>
        <w:t>(b)</w:t>
      </w:r>
      <w:r>
        <w:tab/>
        <w:t>check the date and time and conduct a system test;</w:t>
      </w:r>
    </w:p>
    <w:p>
      <w:pPr>
        <w:pStyle w:val="Indenta"/>
      </w:pPr>
      <w:r>
        <w:tab/>
        <w:t>(c)</w:t>
      </w:r>
      <w:r>
        <w:tab/>
        <w:t>carry out a quality control test;</w:t>
      </w:r>
    </w:p>
    <w:p>
      <w:pPr>
        <w:pStyle w:val="Indenta"/>
      </w:pPr>
      <w:r>
        <w:tab/>
        <w:t>(d)</w:t>
      </w:r>
      <w:r>
        <w:tab/>
        <w:t>confirm/select the drug cartridge type;</w:t>
      </w:r>
    </w:p>
    <w:p>
      <w:pPr>
        <w:pStyle w:val="Indenta"/>
      </w:pPr>
      <w:r>
        <w:tab/>
        <w:t>(e)</w:t>
      </w:r>
      <w:r>
        <w:tab/>
        <w:t>select the applied setting;</w:t>
      </w:r>
    </w:p>
    <w:p>
      <w:pPr>
        <w:pStyle w:val="Indenta"/>
      </w:pPr>
      <w:r>
        <w:tab/>
        <w:t>(f)</w:t>
      </w:r>
      <w:r>
        <w:tab/>
        <w:t>confirm the drug selection.</w:t>
      </w:r>
    </w:p>
    <w:p>
      <w:pPr>
        <w:pStyle w:val="Subsection"/>
      </w:pPr>
      <w:r>
        <w:tab/>
        <w:t>(2)</w:t>
      </w:r>
      <w:r>
        <w:tab/>
        <w:t xml:space="preserve">The following steps are to be followed by an authorised drug tester when testing oral fluid collected under section 66D — </w:t>
      </w:r>
    </w:p>
    <w:p>
      <w:pPr>
        <w:pStyle w:val="Indenta"/>
      </w:pPr>
      <w:r>
        <w:tab/>
        <w:t>(a)</w:t>
      </w:r>
      <w:r>
        <w:tab/>
        <w:t>remove the test cartridge from the package and place it on a flat horizontal surface;</w:t>
      </w:r>
    </w:p>
    <w:p>
      <w:pPr>
        <w:pStyle w:val="Indenta"/>
      </w:pPr>
      <w:r>
        <w:tab/>
        <w:t>(b)</w:t>
      </w:r>
      <w:r>
        <w:tab/>
        <w:t>remove the cap from the collector tube and, using a pipette, remove a sample of the fluid from the collection tube;</w:t>
      </w:r>
    </w:p>
    <w:p>
      <w:pPr>
        <w:pStyle w:val="Indenta"/>
      </w:pPr>
      <w:r>
        <w:tab/>
        <w:t>(c)</w:t>
      </w:r>
      <w:r>
        <w:tab/>
        <w:t>apply at least 6 drops of fluid into the sample well of the test cartridge and wait for the coloured fluid to appear on the test cartridge;</w:t>
      </w:r>
    </w:p>
    <w:p>
      <w:pPr>
        <w:pStyle w:val="Indenta"/>
      </w:pPr>
      <w:r>
        <w:tab/>
        <w:t>(d)</w:t>
      </w:r>
      <w:r>
        <w:tab/>
        <w:t>when prompted by the device, insert the test cartridge and wait for the progress indicator to show that the test cycle is complete;</w:t>
      </w:r>
    </w:p>
    <w:p>
      <w:pPr>
        <w:pStyle w:val="Indenta"/>
      </w:pPr>
      <w:r>
        <w:tab/>
        <w:t>(e)</w:t>
      </w:r>
      <w:r>
        <w:tab/>
        <w:t>observe the result of the test.</w:t>
      </w:r>
    </w:p>
    <w:p>
      <w:pPr>
        <w:pStyle w:val="Heading5"/>
      </w:pPr>
      <w:bookmarkStart w:id="9" w:name="_Toc188957385"/>
      <w:r>
        <w:rPr>
          <w:rStyle w:val="CharSectno"/>
        </w:rPr>
        <w:t>8</w:t>
      </w:r>
      <w:r>
        <w:t>.</w:t>
      </w:r>
      <w:r>
        <w:tab/>
        <w:t>Manufacturer’s instructions (s. 72(1a))</w:t>
      </w:r>
      <w:bookmarkEnd w:id="9"/>
    </w:p>
    <w:p>
      <w:pPr>
        <w:pStyle w:val="Subsection"/>
      </w:pPr>
      <w:r>
        <w:tab/>
        <w:t>(1)</w:t>
      </w:r>
      <w:r>
        <w:tab/>
        <w:t>A member of the Police Force may have regard to any manufacturers instructions in an approved device’s packaging if the prescribed steps in regulation 5 do not appear to fully describe the steps required for that particular testing device.</w:t>
      </w:r>
    </w:p>
    <w:p>
      <w:pPr>
        <w:pStyle w:val="Subsection"/>
      </w:pPr>
      <w:r>
        <w:tab/>
        <w:t>(2)</w:t>
      </w:r>
      <w:r>
        <w:tab/>
        <w:t>An authorised drug tester may have regard to any manufacturers instructions in an approved device’s packaging if the prescribed steps in regulations 6 and 7 do not appear to fully describe the steps required for that particular collection, testing or analysis device.</w:t>
      </w:r>
    </w:p>
    <w:p>
      <w:pPr>
        <w:pStyle w:val="Heading5"/>
        <w:rPr>
          <w:snapToGrid w:val="0"/>
        </w:rPr>
      </w:pPr>
      <w:bookmarkStart w:id="10" w:name="_Toc188957386"/>
      <w:r>
        <w:rPr>
          <w:rStyle w:val="CharSectno"/>
        </w:rPr>
        <w:t>9</w:t>
      </w:r>
      <w:r>
        <w:rPr>
          <w:snapToGrid w:val="0"/>
        </w:rPr>
        <w:t>.</w:t>
      </w:r>
      <w:r>
        <w:rPr>
          <w:snapToGrid w:val="0"/>
        </w:rPr>
        <w:tab/>
        <w:t>Blood sampling from incapable person (s. 66B(1))</w:t>
      </w:r>
      <w:bookmarkEnd w:id="10"/>
    </w:p>
    <w:p>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pPr>
        <w:pStyle w:val="Heading5"/>
        <w:rPr>
          <w:snapToGrid w:val="0"/>
        </w:rPr>
      </w:pPr>
      <w:bookmarkStart w:id="11" w:name="_Toc188957387"/>
      <w:r>
        <w:rPr>
          <w:rStyle w:val="CharSectno"/>
        </w:rPr>
        <w:t>10</w:t>
      </w:r>
      <w:r>
        <w:rPr>
          <w:snapToGrid w:val="0"/>
        </w:rPr>
        <w:t>.</w:t>
      </w:r>
      <w:r>
        <w:rPr>
          <w:snapToGrid w:val="0"/>
        </w:rPr>
        <w:tab/>
        <w:t>Other prescribed certificates and forms (s. 70)</w:t>
      </w:r>
      <w:bookmarkEnd w:id="11"/>
    </w:p>
    <w:p>
      <w:pPr>
        <w:pStyle w:val="Subsection"/>
      </w:pPr>
      <w:r>
        <w:tab/>
        <w:t>(1)</w:t>
      </w:r>
      <w:r>
        <w:tab/>
        <w:t xml:space="preserve">Schedule 1 Form 1 is prescribed for the purposes of section 70(3b)(f) of the Act as the form to be used by a drugs analyst certifying either or both of the following — </w:t>
      </w:r>
    </w:p>
    <w:p>
      <w:pPr>
        <w:pStyle w:val="Indenta"/>
      </w:pPr>
      <w:r>
        <w:tab/>
        <w:t>(a)</w:t>
      </w:r>
      <w:r>
        <w:tab/>
        <w:t>that an identified sample of blood, urine or oral fluid taken from or provided by a named person was analysed for drugs;</w:t>
      </w:r>
    </w:p>
    <w:p>
      <w:pPr>
        <w:pStyle w:val="Indenta"/>
      </w:pPr>
      <w:r>
        <w:tab/>
        <w:t>(b)</w:t>
      </w:r>
      <w:r>
        <w:tab/>
        <w:t>the analysis result obtained from the analysis.</w:t>
      </w:r>
    </w:p>
    <w:p>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pPr>
        <w:pStyle w:val="Subsection"/>
      </w:pPr>
      <w:r>
        <w:tab/>
        <w:t>(3)</w:t>
      </w:r>
      <w:r>
        <w:tab/>
        <w:t>Schedule 1 Form 3 is prescribed for the purposes of section 70(3b)(h) of the Act as the form to be used by an approved expert setting out the usual effect that conduct or a condition associated with a person who has consumed or used a particular drug or particular drugs has on a person’s capacity to have proper control of a motor vehicle.</w:t>
      </w:r>
    </w:p>
    <w:p>
      <w:pPr>
        <w:pStyle w:val="Subsection"/>
      </w:pPr>
      <w:r>
        <w:tab/>
        <w:t>(4)</w:t>
      </w:r>
      <w:r>
        <w:tab/>
        <w:t xml:space="preserve">Schedule 1 Form 4 is prescribed for the purposes of section 70(3b)(i) and (j) of the Act as the form to be used by a member of the Police Force — </w:t>
      </w:r>
    </w:p>
    <w:p>
      <w:pPr>
        <w:pStyle w:val="Indenta"/>
      </w:pPr>
      <w:r>
        <w:tab/>
        <w:t>(a)</w:t>
      </w:r>
      <w:r>
        <w:tab/>
        <w:t>describing the conduct, condition or appearance of a person at or after the time the person drove or attempted to drive a motor vehicle; and</w:t>
      </w:r>
    </w:p>
    <w:p>
      <w:pPr>
        <w:pStyle w:val="Indenta"/>
      </w:pPr>
      <w:r>
        <w:tab/>
        <w:t>(b)</w:t>
      </w:r>
      <w:r>
        <w:tab/>
        <w:t>certifying that a driver assessment was conducted on a person and was conducted in accordance with the regulations.</w:t>
      </w:r>
    </w:p>
    <w:p>
      <w:pPr>
        <w:pStyle w:val="Subsection"/>
      </w:pPr>
      <w:r>
        <w:tab/>
        <w:t>(5)</w:t>
      </w:r>
      <w:r>
        <w:tab/>
        <w:t>Schedule 1 Form 5 is prescribed for the purposes of section 70(3b)(k) of the Act as the form to be used by an authorised drug tester to certify that, under section 66D,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 w:name="_Toc188957388"/>
      <w:r>
        <w:rPr>
          <w:rStyle w:val="CharSchNo"/>
        </w:rPr>
        <w:t>Schedule 1</w:t>
      </w:r>
      <w:r>
        <w:rPr>
          <w:rStyle w:val="CharSDivNo"/>
        </w:rPr>
        <w:t> </w:t>
      </w:r>
      <w:r>
        <w:t>—</w:t>
      </w:r>
      <w:bookmarkStart w:id="13" w:name="AutoSch"/>
      <w:bookmarkEnd w:id="13"/>
      <w:r>
        <w:rPr>
          <w:rStyle w:val="CharSDivText"/>
        </w:rPr>
        <w:t> </w:t>
      </w:r>
      <w:r>
        <w:rPr>
          <w:rStyle w:val="CharSchText"/>
        </w:rPr>
        <w:t>Forms</w:t>
      </w:r>
      <w:bookmarkEnd w:id="12"/>
    </w:p>
    <w:p>
      <w:pPr>
        <w:pStyle w:val="yMiscellaneousHeading"/>
        <w:rPr>
          <w:b/>
          <w:bCs/>
        </w:rPr>
      </w:pPr>
      <w:r>
        <w:rPr>
          <w:b/>
          <w:bCs/>
        </w:rPr>
        <w:t>Form 1</w:t>
      </w:r>
    </w:p>
    <w:p>
      <w:pPr>
        <w:pStyle w:val="yShoulderClause"/>
        <w:rPr>
          <w:snapToGrid w:val="0"/>
        </w:rPr>
      </w:pPr>
      <w:r>
        <w:rPr>
          <w:snapToGrid w:val="0"/>
        </w:rPr>
        <w:t>(r. 10(1))</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snapToGrid w:val="0"/>
        </w:rPr>
      </w:pPr>
      <w:r>
        <w:rPr>
          <w:i/>
          <w:snapToGrid w:val="0"/>
        </w:rPr>
        <w:t>Road Traffic (Drug Driving) Regulations 2007</w:t>
      </w:r>
    </w:p>
    <w:p>
      <w:pPr>
        <w:pStyle w:val="yMiscellaneousBody"/>
        <w:spacing w:before="60"/>
        <w:jc w:val="center"/>
        <w:rPr>
          <w:i/>
          <w:snapToGrid w:val="0"/>
        </w:rPr>
      </w:pPr>
      <w:r>
        <w:rPr>
          <w:i/>
          <w:snapToGrid w:val="0"/>
        </w:rPr>
        <w:t>Road Traffic (Blood Sampling and Analysis) Regulations 1975</w:t>
      </w:r>
    </w:p>
    <w:p>
      <w:pPr>
        <w:pStyle w:val="yMiscellaneousBody"/>
        <w:spacing w:before="60"/>
        <w:jc w:val="center"/>
        <w:rPr>
          <w:i/>
          <w:snapToGrid w:val="0"/>
        </w:rPr>
      </w:pPr>
      <w:r>
        <w:rPr>
          <w:i/>
          <w:snapToGrid w:val="0"/>
        </w:rPr>
        <w:t>Road Traffic (Urine Sampling and Analysis) Regulations 1983</w:t>
      </w:r>
    </w:p>
    <w:p>
      <w:pPr>
        <w:pStyle w:val="yMiscellaneousBody"/>
        <w:spacing w:before="60"/>
        <w:jc w:val="center"/>
        <w:rPr>
          <w:snapToGrid w:val="0"/>
        </w:rPr>
      </w:pPr>
      <w:r>
        <w:rPr>
          <w:snapToGrid w:val="0"/>
        </w:rPr>
        <w:t>CERTIFICATE OF DRUGS ANALYST</w:t>
      </w:r>
    </w:p>
    <w:p>
      <w:pPr>
        <w:pStyle w:val="yMiscellaneousBody"/>
        <w:spacing w:before="60"/>
        <w:jc w:val="center"/>
        <w:rPr>
          <w:snapToGrid w:val="0"/>
        </w:rPr>
      </w:pPr>
    </w:p>
    <w:p>
      <w:pPr>
        <w:pStyle w:val="yMiscellaneousBody"/>
        <w:rPr>
          <w:snapToGrid w:val="0"/>
        </w:rPr>
      </w:pPr>
      <w:r>
        <w:rPr>
          <w:snapToGrid w:val="0"/>
        </w:rPr>
        <w:t>Laboratory reference no. ............................</w:t>
      </w:r>
    </w:p>
    <w:p>
      <w:pPr>
        <w:pStyle w:val="yMiscellaneousBody"/>
        <w:spacing w:before="60"/>
        <w:rPr>
          <w:snapToGrid w:val="0"/>
        </w:rPr>
      </w:pPr>
      <w:r>
        <w:rPr>
          <w:snapToGrid w:val="0"/>
        </w:rPr>
        <w:t>Police reference no. ....................................</w:t>
      </w:r>
    </w:p>
    <w:p>
      <w:pPr>
        <w:pStyle w:val="yMiscellaneousBody"/>
        <w:spacing w:before="60"/>
        <w:rPr>
          <w:snapToGrid w:val="0"/>
        </w:rPr>
      </w:pPr>
    </w:p>
    <w:p>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pPr>
        <w:pStyle w:val="yMiscellaneousBody"/>
        <w:tabs>
          <w:tab w:val="left" w:pos="1134"/>
        </w:tabs>
        <w:ind w:left="1134" w:hanging="567"/>
        <w:rPr>
          <w:snapToGrid w:val="0"/>
        </w:rPr>
      </w:pPr>
      <w:r>
        <w:rPr>
          <w:snapToGrid w:val="0"/>
        </w:rPr>
        <w:t>(a)</w:t>
      </w:r>
      <w:r>
        <w:rPr>
          <w:snapToGrid w:val="0"/>
        </w:rPr>
        <w:tab/>
        <w:t>I obtained*/received* for analysis the following quantity*/mass* of ..................................................................................................</w:t>
      </w:r>
    </w:p>
    <w:p>
      <w:pPr>
        <w:pStyle w:val="yMiscellaneousBody"/>
        <w:tabs>
          <w:tab w:val="left" w:pos="1134"/>
        </w:tabs>
        <w:spacing w:before="60"/>
        <w:ind w:left="1134" w:hanging="567"/>
        <w:rPr>
          <w:snapToGrid w:val="0"/>
        </w:rPr>
      </w:pPr>
      <w:r>
        <w:rPr>
          <w:snapToGrid w:val="0"/>
        </w:rPr>
        <w:tab/>
        <w:t>marked .........................................................................................</w:t>
      </w:r>
    </w:p>
    <w:p>
      <w:pPr>
        <w:pStyle w:val="yMiscellaneousBody"/>
        <w:tabs>
          <w:tab w:val="left" w:pos="1134"/>
        </w:tabs>
        <w:spacing w:before="60"/>
        <w:ind w:left="1134" w:hanging="567"/>
        <w:rPr>
          <w:snapToGrid w:val="0"/>
        </w:rPr>
      </w:pPr>
      <w:r>
        <w:rPr>
          <w:snapToGrid w:val="0"/>
        </w:rPr>
        <w:tab/>
        <w:t>from*/by* ....................................................................................</w:t>
      </w:r>
    </w:p>
    <w:p>
      <w:pPr>
        <w:pStyle w:val="yMiscellaneousBody"/>
        <w:tabs>
          <w:tab w:val="left" w:pos="1134"/>
        </w:tabs>
        <w:spacing w:before="60"/>
        <w:ind w:left="1134" w:hanging="567"/>
        <w:rPr>
          <w:snapToGrid w:val="0"/>
        </w:rPr>
      </w:pPr>
      <w:r>
        <w:rPr>
          <w:snapToGrid w:val="0"/>
        </w:rPr>
        <w:tab/>
        <w:t>on ................................................................................................; and</w:t>
      </w:r>
    </w:p>
    <w:p>
      <w:pPr>
        <w:pStyle w:val="yMiscellaneousBody"/>
        <w:tabs>
          <w:tab w:val="left" w:pos="1134"/>
        </w:tabs>
        <w:spacing w:before="60"/>
        <w:ind w:left="1134" w:hanging="567"/>
        <w:rPr>
          <w:snapToGrid w:val="0"/>
        </w:rPr>
      </w:pPr>
      <w:r>
        <w:rPr>
          <w:snapToGrid w:val="0"/>
        </w:rPr>
        <w:t>(b)</w:t>
      </w:r>
      <w:r>
        <w:rPr>
          <w:snapToGrid w:val="0"/>
        </w:rPr>
        <w:tab/>
        <w:t>I analysed the thing referred to in paragraph (a) of this certificate by [</w:t>
      </w:r>
      <w:r>
        <w:rPr>
          <w:i/>
          <w:iCs/>
          <w:snapToGrid w:val="0"/>
          <w:sz w:val="20"/>
        </w:rPr>
        <w:t>insert details of method of analysis</w:t>
      </w:r>
      <w:r>
        <w:rPr>
          <w:snapToGrid w:val="0"/>
        </w:rPr>
        <w:t xml:space="preserve">] with the following result </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 and</w:t>
      </w:r>
    </w:p>
    <w:p>
      <w:pPr>
        <w:pStyle w:val="yMiscellaneousBody"/>
        <w:tabs>
          <w:tab w:val="left" w:pos="1134"/>
        </w:tabs>
        <w:spacing w:before="60"/>
        <w:ind w:left="1134" w:hanging="567"/>
        <w:rPr>
          <w:snapToGrid w:val="0"/>
        </w:rPr>
      </w:pPr>
      <w:r>
        <w:rPr>
          <w:snapToGrid w:val="0"/>
        </w:rPr>
        <w:t>(c)</w:t>
      </w:r>
      <w:r>
        <w:rPr>
          <w:snapToGrid w:val="0"/>
        </w:rPr>
        <w:tab/>
        <w:t>the following other matters relating to my analysis should be noted ..........................................................................................……</w:t>
      </w:r>
    </w:p>
    <w:p>
      <w:pPr>
        <w:pStyle w:val="yMiscellaneousBody"/>
        <w:tabs>
          <w:tab w:val="left" w:pos="1134"/>
        </w:tabs>
        <w:spacing w:before="60"/>
        <w:ind w:left="1134" w:hanging="567"/>
        <w:rPr>
          <w:snapToGrid w:val="0"/>
        </w:rPr>
      </w:pPr>
      <w:r>
        <w:rPr>
          <w:snapToGrid w:val="0"/>
        </w:rPr>
        <w:tab/>
        <w:t>......................................................................................................</w:t>
      </w:r>
    </w:p>
    <w:p>
      <w:pPr>
        <w:pStyle w:val="yMiscellaneousBody"/>
        <w:rPr>
          <w:snapToGrid w:val="0"/>
        </w:rPr>
      </w:pPr>
      <w:r>
        <w:rPr>
          <w:snapToGrid w:val="0"/>
        </w:rPr>
        <w:t>Certified on ............................................... at ........................................................</w:t>
      </w:r>
    </w:p>
    <w:p>
      <w:pPr>
        <w:pStyle w:val="yMiscellaneousBody"/>
        <w:keepNext/>
        <w:keepLines/>
        <w:tabs>
          <w:tab w:val="left" w:pos="4536"/>
        </w:tabs>
        <w:spacing w:before="360"/>
        <w:rPr>
          <w:snapToGrid w:val="0"/>
        </w:rPr>
      </w:pPr>
      <w:r>
        <w:rPr>
          <w:snapToGrid w:val="0"/>
        </w:rPr>
        <w:t>......................................................</w:t>
      </w:r>
      <w:r>
        <w:rPr>
          <w:snapToGrid w:val="0"/>
        </w:rPr>
        <w:tab/>
        <w:t>.............................................</w:t>
      </w:r>
    </w:p>
    <w:p>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pPr>
        <w:pStyle w:val="yMiscellaneousBody"/>
        <w:keepNext/>
        <w:keepLines/>
        <w:jc w:val="center"/>
        <w:rPr>
          <w:snapToGrid w:val="0"/>
          <w:sz w:val="18"/>
        </w:rPr>
      </w:pPr>
      <w:r>
        <w:rPr>
          <w:snapToGrid w:val="0"/>
          <w:sz w:val="18"/>
        </w:rPr>
        <w:t>* Please delete inapplicable alternative.</w:t>
      </w:r>
    </w:p>
    <w:p>
      <w:pPr>
        <w:pStyle w:val="yMiscellaneousHeading"/>
        <w:pageBreakBefore/>
        <w:rPr>
          <w:b/>
          <w:bCs/>
        </w:rPr>
      </w:pPr>
      <w:r>
        <w:rPr>
          <w:b/>
          <w:bCs/>
        </w:rPr>
        <w:t>Form 2</w:t>
      </w:r>
    </w:p>
    <w:p>
      <w:pPr>
        <w:pStyle w:val="yShoulderClause"/>
        <w:rPr>
          <w:snapToGrid w:val="0"/>
        </w:rPr>
      </w:pPr>
      <w:r>
        <w:rPr>
          <w:snapToGrid w:val="0"/>
        </w:rPr>
        <w:t>(r. 10(2))</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snapToGrid w:val="0"/>
        </w:rPr>
      </w:pPr>
      <w:r>
        <w:rPr>
          <w:b/>
          <w:bCs/>
          <w:snapToGrid w:val="0"/>
        </w:rPr>
        <w:t>Appearance and conduct following use of specified drugs</w:t>
      </w:r>
    </w:p>
    <w:p>
      <w:pPr>
        <w:pStyle w:val="yMiscellaneousBody"/>
        <w:spacing w:before="60"/>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spacing w:before="240"/>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3</w:t>
      </w:r>
    </w:p>
    <w:p>
      <w:pPr>
        <w:pStyle w:val="yShoulderClause"/>
        <w:rPr>
          <w:snapToGrid w:val="0"/>
        </w:rPr>
      </w:pPr>
      <w:r>
        <w:rPr>
          <w:snapToGrid w:val="0"/>
        </w:rPr>
        <w:t>(r. 10(3))</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b/>
          <w:bCs/>
          <w:snapToGrid w:val="0"/>
        </w:rPr>
      </w:pPr>
      <w:r>
        <w:rPr>
          <w:b/>
          <w:bCs/>
          <w:snapToGrid w:val="0"/>
        </w:rPr>
        <w:t>Usual effect of particular drugs on motor vehicle control</w:t>
      </w:r>
    </w:p>
    <w:p>
      <w:pPr>
        <w:pStyle w:val="yMiscellaneousBody"/>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4</w:t>
      </w:r>
    </w:p>
    <w:p>
      <w:pPr>
        <w:pStyle w:val="yShoulderClause"/>
        <w:rPr>
          <w:snapToGrid w:val="0"/>
        </w:rPr>
      </w:pPr>
      <w:r>
        <w:rPr>
          <w:snapToGrid w:val="0"/>
        </w:rPr>
        <w:t>(r. 10(4))</w:t>
      </w:r>
    </w:p>
    <w:p>
      <w:pPr>
        <w:pStyle w:val="yMiscellaneousHeading"/>
      </w:pPr>
      <w:r>
        <w:t>WESTERN AUSTRALIA</w:t>
      </w:r>
    </w:p>
    <w:p>
      <w:pPr>
        <w:pStyle w:val="yMiscellaneousHeading"/>
        <w:spacing w:before="60"/>
        <w:rPr>
          <w:i/>
          <w:iCs/>
        </w:rPr>
      </w:pPr>
      <w:r>
        <w:rPr>
          <w:i/>
          <w:iCs/>
        </w:rPr>
        <w:t>ROAD TRAFFIC ACT 1974</w:t>
      </w:r>
    </w:p>
    <w:p>
      <w:pPr>
        <w:pStyle w:val="yMiscellaneousHeading"/>
        <w:spacing w:before="60"/>
        <w:rPr>
          <w:i/>
          <w:iCs/>
        </w:rPr>
      </w:pPr>
      <w:r>
        <w:rPr>
          <w:i/>
          <w:iCs/>
        </w:rPr>
        <w:t>Road Traffic (Drug Driving) Regulations 2007</w:t>
      </w:r>
    </w:p>
    <w:p>
      <w:pPr>
        <w:pStyle w:val="yMiscellaneousHeading"/>
        <w:spacing w:before="60"/>
        <w:rPr>
          <w:b/>
          <w:bCs/>
        </w:rPr>
      </w:pPr>
      <w:r>
        <w:rPr>
          <w:b/>
          <w:bCs/>
        </w:rPr>
        <w:t>Assessment of driver’s conduct, condition and appearance</w:t>
      </w:r>
    </w:p>
    <w:p>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Driver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Family Name</w:t>
            </w:r>
          </w:p>
        </w:tc>
      </w:tr>
      <w:tr>
        <w:tc>
          <w:tcPr>
            <w:tcW w:w="3755" w:type="dxa"/>
            <w:gridSpan w:val="16"/>
            <w:tcBorders>
              <w:top w:val="single" w:sz="4" w:space="0" w:color="auto"/>
              <w:left w:val="single" w:sz="4" w:space="0" w:color="auto"/>
              <w:bottom w:val="single" w:sz="4" w:space="0" w:color="auto"/>
              <w:right w:val="single" w:sz="4" w:space="0" w:color="auto"/>
            </w:tcBorders>
          </w:tcPr>
          <w:p>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Sex</w:t>
            </w:r>
          </w:p>
        </w:tc>
      </w:tr>
      <w:tr>
        <w:tc>
          <w:tcPr>
            <w:tcW w:w="5094" w:type="dxa"/>
            <w:gridSpan w:val="23"/>
            <w:tcBorders>
              <w:top w:val="single" w:sz="4" w:space="0" w:color="auto"/>
              <w:left w:val="single" w:sz="4" w:space="0" w:color="auto"/>
              <w:bottom w:val="single" w:sz="4" w:space="0" w:color="auto"/>
              <w:right w:val="single" w:sz="4" w:space="0" w:color="auto"/>
            </w:tcBorders>
          </w:tcPr>
          <w:p>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Postcode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Licence</w:t>
            </w:r>
          </w:p>
        </w:tc>
      </w:tr>
      <w:t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Vehicle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Year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Detection</w:t>
            </w:r>
          </w:p>
        </w:tc>
      </w:tr>
      <w:tr>
        <w:tc>
          <w:tcPr>
            <w:tcW w:w="112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Street Name</w:t>
            </w:r>
          </w:p>
        </w:tc>
      </w:tr>
      <w:tr>
        <w:tc>
          <w:tcPr>
            <w:tcW w:w="3676" w:type="dxa"/>
            <w:gridSpan w:val="14"/>
            <w:tcBorders>
              <w:top w:val="single" w:sz="4" w:space="0" w:color="auto"/>
              <w:left w:val="single" w:sz="4" w:space="0" w:color="auto"/>
              <w:bottom w:val="single" w:sz="4" w:space="0" w:color="auto"/>
              <w:right w:val="single" w:sz="4" w:space="0" w:color="auto"/>
            </w:tcBorders>
          </w:tcPr>
          <w:p>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pPr>
              <w:pStyle w:val="yTable"/>
              <w:rPr>
                <w:sz w:val="18"/>
              </w:rPr>
            </w:pPr>
            <w:r>
              <w:rPr>
                <w:sz w:val="18"/>
              </w:rPr>
              <w:t>Suburb</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in Motion</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Stopping Sequence</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b/>
                <w:bCs/>
                <w:sz w:val="18"/>
              </w:rPr>
              <w:t>Preliminary Breath Test</w:t>
            </w:r>
            <w:r>
              <w:rPr>
                <w:sz w:val="18"/>
              </w:rPr>
              <w:t xml:space="preserve"> (</w:t>
            </w:r>
            <w:r>
              <w:rPr>
                <w:i/>
                <w:iCs/>
                <w:sz w:val="18"/>
              </w:rPr>
              <w:t>tick box</w:t>
            </w:r>
            <w:r>
              <w:rPr>
                <w:sz w:val="18"/>
              </w:rPr>
              <w:t>)</w:t>
            </w:r>
          </w:p>
        </w:tc>
      </w:tr>
      <w:tr>
        <w:tc>
          <w:tcPr>
            <w:tcW w:w="1127" w:type="dxa"/>
            <w:gridSpan w:val="2"/>
            <w:tcBorders>
              <w:top w:val="single" w:sz="4" w:space="0" w:color="auto"/>
              <w:left w:val="single" w:sz="4" w:space="0" w:color="auto"/>
              <w:bottom w:val="single" w:sz="4" w:space="0" w:color="auto"/>
            </w:tcBorders>
            <w:shd w:val="clear" w:color="auto" w:fill="D9D9D9"/>
          </w:tcPr>
          <w:p>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pPr>
              <w:pStyle w:val="yTable"/>
              <w:rPr>
                <w:sz w:val="18"/>
              </w:rPr>
            </w:pPr>
            <w:r>
              <w:rPr>
                <w:sz w:val="18"/>
              </w:rPr>
              <w:t>Over .05%</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keepNext/>
              <w:keepLines/>
              <w:rPr>
                <w:i/>
                <w:iCs/>
                <w:sz w:val="18"/>
              </w:rPr>
            </w:pPr>
            <w:r>
              <w:rPr>
                <w:b/>
                <w:bCs/>
                <w:sz w:val="18"/>
              </w:rPr>
              <w:t>Observations of Driver</w:t>
            </w:r>
            <w:r>
              <w:rPr>
                <w:sz w:val="18"/>
              </w:rPr>
              <w:t xml:space="preserve"> (</w:t>
            </w:r>
            <w:r>
              <w:rPr>
                <w:i/>
                <w:iCs/>
                <w:sz w:val="18"/>
              </w:rPr>
              <w:t>tick box(s) or note other – use separate sheet if required.</w:t>
            </w:r>
          </w:p>
          <w:p>
            <w:pPr>
              <w:pStyle w:val="yTable"/>
              <w:keepNext/>
              <w:keepLines/>
              <w:rPr>
                <w:sz w:val="18"/>
              </w:rPr>
            </w:pPr>
            <w:r>
              <w:rPr>
                <w:i/>
                <w:iCs/>
                <w:sz w:val="18"/>
              </w:rPr>
              <w:t>Record interview of driver on separate sheet</w:t>
            </w:r>
            <w:r>
              <w:rPr>
                <w:sz w:val="18"/>
              </w:rPr>
              <w:t>)</w:t>
            </w:r>
          </w:p>
        </w:tc>
      </w:tr>
      <w:tr>
        <w:trPr>
          <w:cantSplit/>
        </w:trPr>
        <w:tc>
          <w:tcPr>
            <w:tcW w:w="1127" w:type="dxa"/>
            <w:gridSpan w:val="2"/>
            <w:tcBorders>
              <w:top w:val="single" w:sz="4" w:space="0" w:color="auto"/>
              <w:left w:val="single" w:sz="4" w:space="0" w:color="auto"/>
              <w:bottom w:val="double" w:sz="4" w:space="0" w:color="auto"/>
            </w:tcBorders>
          </w:tcPr>
          <w:p>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No</w:t>
            </w:r>
          </w:p>
        </w:tc>
      </w:tr>
      <w:tr>
        <w:trPr>
          <w:cantSplit/>
        </w:trPr>
        <w:tc>
          <w:tcPr>
            <w:tcW w:w="1127" w:type="dxa"/>
            <w:gridSpan w:val="2"/>
            <w:vMerge w:val="restart"/>
            <w:tcBorders>
              <w:top w:val="single" w:sz="4" w:space="0" w:color="auto"/>
              <w:left w:val="single" w:sz="4" w:space="0" w:color="auto"/>
            </w:tcBorders>
          </w:tcPr>
          <w:p>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tcBorders>
              <w:top w:val="double" w:sz="4" w:space="0" w:color="auto"/>
              <w:left w:val="single" w:sz="4" w:space="0" w:color="auto"/>
            </w:tcBorders>
          </w:tcPr>
          <w:p>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pPr>
              <w:pStyle w:val="yTable"/>
              <w:rPr>
                <w:sz w:val="18"/>
              </w:rPr>
            </w:pPr>
            <w:r>
              <w:rPr>
                <w:sz w:val="18"/>
              </w:rPr>
              <w:t>Note details of any observed overactivity (</w:t>
            </w:r>
            <w:r>
              <w:rPr>
                <w:i/>
                <w:iCs/>
                <w:sz w:val="18"/>
              </w:rPr>
              <w:t>use separate sheet if required</w:t>
            </w:r>
            <w:r>
              <w:rPr>
                <w:sz w:val="18"/>
              </w:rPr>
              <w:t>)</w:t>
            </w:r>
          </w:p>
          <w:p>
            <w:pPr>
              <w:pStyle w:val="yTable"/>
              <w:rPr>
                <w:sz w:val="18"/>
              </w:rPr>
            </w:pPr>
          </w:p>
          <w:p>
            <w:pPr>
              <w:pStyle w:val="yTable"/>
              <w:rPr>
                <w:sz w:val="18"/>
              </w:rPr>
            </w:pP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bottom w:val="double" w:sz="4" w:space="0" w:color="auto"/>
            </w:tcBorders>
          </w:tcPr>
          <w:p>
            <w:pPr>
              <w:pStyle w:val="yTable"/>
              <w:keepNext/>
              <w:keepLines/>
              <w:rPr>
                <w:sz w:val="18"/>
              </w:rPr>
            </w:pPr>
            <w:r>
              <w:rPr>
                <w:sz w:val="18"/>
              </w:rPr>
              <w:t>Attitude</w:t>
            </w:r>
          </w:p>
          <w:p>
            <w:pPr>
              <w:keepNext/>
              <w:keepLines/>
            </w:pPr>
          </w:p>
        </w:tc>
        <w:tc>
          <w:tcPr>
            <w:tcW w:w="1557" w:type="dxa"/>
            <w:gridSpan w:val="8"/>
            <w:tcBorders>
              <w:top w:val="double" w:sz="4" w:space="0" w:color="auto"/>
              <w:left w:val="single" w:sz="4" w:space="0" w:color="auto"/>
              <w:bottom w:val="single" w:sz="4" w:space="0" w:color="auto"/>
            </w:tcBorders>
          </w:tcPr>
          <w:p>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Depressed</w:t>
            </w:r>
          </w:p>
        </w:tc>
        <w:tc>
          <w:tcPr>
            <w:tcW w:w="285" w:type="dxa"/>
            <w:tcBorders>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left w:val="single" w:sz="4" w:space="0" w:color="auto"/>
              <w:bottom w:val="single" w:sz="4" w:space="0" w:color="auto"/>
            </w:tcBorders>
          </w:tcPr>
          <w:p>
            <w:pPr>
              <w:pStyle w:val="yTable"/>
              <w:keepNext/>
              <w:keepLines/>
              <w:rPr>
                <w:sz w:val="18"/>
              </w:rPr>
            </w:pPr>
          </w:p>
        </w:tc>
        <w:tc>
          <w:tcPr>
            <w:tcW w:w="296" w:type="dxa"/>
            <w:tcBorders>
              <w:bottom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right w:val="single" w:sz="4" w:space="0" w:color="auto"/>
            </w:tcBorders>
          </w:tcPr>
          <w:p>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Other</w:t>
            </w:r>
          </w:p>
        </w:tc>
      </w:tr>
      <w:tr>
        <w:trPr>
          <w:cantSplit/>
        </w:trPr>
        <w:tc>
          <w:tcPr>
            <w:tcW w:w="1415" w:type="dxa"/>
            <w:gridSpan w:val="3"/>
            <w:vMerge w:val="restart"/>
            <w:tcBorders>
              <w:top w:val="double" w:sz="4" w:space="0" w:color="auto"/>
              <w:left w:val="single" w:sz="4" w:space="0" w:color="auto"/>
            </w:tcBorders>
          </w:tcPr>
          <w:p>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415" w:type="dxa"/>
            <w:gridSpan w:val="3"/>
            <w:vMerge/>
            <w:tcBorders>
              <w:left w:val="single" w:sz="4" w:space="0" w:color="auto"/>
              <w:bottom w:val="triple" w:sz="4" w:space="0" w:color="auto"/>
            </w:tcBorders>
          </w:tcPr>
          <w:p>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pPr>
              <w:pStyle w:val="yTable"/>
              <w:keepNext/>
              <w:keepLines/>
              <w:rPr>
                <w:sz w:val="18"/>
              </w:rPr>
            </w:pPr>
            <w:r>
              <w:rPr>
                <w:sz w:val="18"/>
              </w:rPr>
              <w:t>Other</w:t>
            </w:r>
          </w:p>
        </w:tc>
      </w:tr>
      <w:tr>
        <w:trPr>
          <w:cantSplit/>
        </w:trPr>
        <w:tc>
          <w:tcPr>
            <w:tcW w:w="6533" w:type="dxa"/>
            <w:gridSpan w:val="29"/>
            <w:tcBorders>
              <w:top w:val="triple" w:sz="4" w:space="0" w:color="auto"/>
              <w:left w:val="single" w:sz="4" w:space="0" w:color="auto"/>
              <w:right w:val="single" w:sz="4" w:space="0" w:color="auto"/>
            </w:tcBorders>
          </w:tcPr>
          <w:p>
            <w:pPr>
              <w:pStyle w:val="yTable"/>
              <w:keepNext/>
              <w:keepLines/>
              <w:rPr>
                <w:sz w:val="18"/>
              </w:rPr>
            </w:pPr>
            <w:r>
              <w:rPr>
                <w:b/>
                <w:bCs/>
                <w:sz w:val="18"/>
              </w:rPr>
              <w:t>Q.</w:t>
            </w:r>
            <w:r>
              <w:rPr>
                <w:sz w:val="18"/>
              </w:rPr>
              <w:t xml:space="preserve"> Is there any mechanical defect with your vehicle?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Describe</w:t>
            </w:r>
            <w:r>
              <w:rPr>
                <w:sz w:val="18"/>
              </w:rPr>
              <w:t>)</w:t>
            </w:r>
          </w:p>
          <w:p>
            <w:pPr>
              <w:pStyle w:val="yTable"/>
              <w:rPr>
                <w:sz w:val="18"/>
              </w:rPr>
            </w:pP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suffering from any illness such as Diabetes, Epilepsy?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State</w:t>
            </w:r>
            <w:r>
              <w:rPr>
                <w:sz w:val="18"/>
              </w:rPr>
              <w:t>)</w:t>
            </w: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currently taking any medication or drugs?  </w:t>
            </w:r>
            <w:r>
              <w:rPr>
                <w:b/>
                <w:bCs/>
                <w:sz w:val="18"/>
              </w:rPr>
              <w:t>Yes/No</w:t>
            </w:r>
          </w:p>
        </w:tc>
      </w:tr>
      <w:tr>
        <w:trPr>
          <w:cantSplit/>
        </w:trPr>
        <w:tc>
          <w:tcPr>
            <w:tcW w:w="6533" w:type="dxa"/>
            <w:gridSpan w:val="29"/>
            <w:tcBorders>
              <w:left w:val="single" w:sz="4" w:space="0" w:color="auto"/>
              <w:bottom w:val="double" w:sz="4" w:space="0" w:color="auto"/>
              <w:right w:val="single" w:sz="4" w:space="0" w:color="auto"/>
            </w:tcBorders>
          </w:tcPr>
          <w:p>
            <w:pPr>
              <w:pStyle w:val="yTable"/>
              <w:rPr>
                <w:sz w:val="18"/>
              </w:rPr>
            </w:pPr>
            <w:r>
              <w:rPr>
                <w:sz w:val="18"/>
              </w:rPr>
              <w:t>(</w:t>
            </w:r>
            <w:r>
              <w:rPr>
                <w:i/>
                <w:iCs/>
                <w:sz w:val="18"/>
              </w:rPr>
              <w:t>Type, quantity, time and date taken</w:t>
            </w:r>
            <w:r>
              <w:rPr>
                <w:sz w:val="18"/>
              </w:rPr>
              <w:t>)</w:t>
            </w:r>
          </w:p>
          <w:p>
            <w:pPr>
              <w:pStyle w:val="yTable"/>
              <w:rPr>
                <w:sz w:val="18"/>
              </w:rPr>
            </w:pPr>
          </w:p>
        </w:tc>
      </w:tr>
      <w:tr>
        <w:trPr>
          <w:cantSplit/>
        </w:trPr>
        <w:tc>
          <w:tcPr>
            <w:tcW w:w="6533" w:type="dxa"/>
            <w:gridSpan w:val="29"/>
            <w:tcBorders>
              <w:top w:val="double" w:sz="4" w:space="0" w:color="auto"/>
              <w:left w:val="double" w:sz="4" w:space="0" w:color="auto"/>
              <w:right w:val="double" w:sz="4" w:space="0" w:color="auto"/>
            </w:tcBorders>
            <w:shd w:val="clear" w:color="auto" w:fill="D9D9D9"/>
          </w:tcPr>
          <w:p>
            <w:pPr>
              <w:pStyle w:val="yTable"/>
              <w:rPr>
                <w:b/>
                <w:bCs/>
                <w:sz w:val="18"/>
              </w:rPr>
            </w:pPr>
            <w:r>
              <w:rPr>
                <w:b/>
                <w:bCs/>
                <w:sz w:val="18"/>
              </w:rPr>
              <w:t>Apprehending Officer</w:t>
            </w:r>
          </w:p>
        </w:tc>
      </w:tr>
      <w:tr>
        <w:trPr>
          <w:cantSplit/>
        </w:trPr>
        <w:tc>
          <w:tcPr>
            <w:tcW w:w="6533" w:type="dxa"/>
            <w:gridSpan w:val="29"/>
            <w:tcBorders>
              <w:top w:val="single" w:sz="4" w:space="0" w:color="auto"/>
              <w:left w:val="double" w:sz="4" w:space="0" w:color="auto"/>
              <w:bottom w:val="single" w:sz="4" w:space="0" w:color="auto"/>
              <w:right w:val="double" w:sz="4" w:space="0" w:color="auto"/>
            </w:tcBorders>
          </w:tcPr>
          <w:p>
            <w:pPr>
              <w:pStyle w:val="yTable"/>
              <w:rPr>
                <w:sz w:val="18"/>
              </w:rPr>
            </w:pPr>
            <w:r>
              <w:rPr>
                <w:sz w:val="18"/>
              </w:rPr>
              <w:t>I certify that this driver assessment was conducted on the driver and was conducted in accordance with the regulations</w:t>
            </w: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double" w:sz="4" w:space="0" w:color="auto"/>
            </w:tcBorders>
          </w:tcPr>
          <w:p>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pPr>
              <w:pStyle w:val="yTable"/>
              <w:rPr>
                <w:sz w:val="18"/>
              </w:rPr>
            </w:pPr>
          </w:p>
        </w:tc>
      </w:tr>
    </w:tbl>
    <w:p>
      <w:pPr>
        <w:pStyle w:val="yMiscellaneousHeading"/>
        <w:pageBreakBefore/>
        <w:rPr>
          <w:b/>
          <w:bCs/>
        </w:rPr>
      </w:pPr>
      <w:r>
        <w:rPr>
          <w:b/>
          <w:bCs/>
        </w:rPr>
        <w:t>Form 5</w:t>
      </w:r>
    </w:p>
    <w:p>
      <w:pPr>
        <w:pStyle w:val="yShoulderClause"/>
        <w:rPr>
          <w:snapToGrid w:val="0"/>
        </w:rPr>
      </w:pPr>
      <w:r>
        <w:rPr>
          <w:snapToGrid w:val="0"/>
        </w:rPr>
        <w:t>(r. 10(5))</w:t>
      </w:r>
    </w:p>
    <w:p>
      <w:pPr>
        <w:pStyle w:val="yMiscellaneousHeading"/>
        <w:spacing w:before="20"/>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Body"/>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pPr>
        <w:pStyle w:val="yMiscellaneousBody"/>
        <w:tabs>
          <w:tab w:val="left" w:pos="3119"/>
        </w:tabs>
        <w:spacing w:before="100"/>
        <w:ind w:left="709" w:hanging="425"/>
        <w:rPr>
          <w:snapToGrid w:val="0"/>
        </w:rPr>
      </w:pPr>
      <w:r>
        <w:rPr>
          <w:snapToGrid w:val="0"/>
        </w:rPr>
        <w:t>1.</w:t>
      </w:r>
      <w:r>
        <w:rPr>
          <w:snapToGrid w:val="0"/>
        </w:rPr>
        <w:tab/>
        <w:t xml:space="preserve">................................................................................................. </w:t>
      </w:r>
    </w:p>
    <w:p>
      <w:pPr>
        <w:pStyle w:val="yMiscellaneousBody"/>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pPr>
        <w:pStyle w:val="yMiscellaneousBody"/>
        <w:tabs>
          <w:tab w:val="left" w:pos="3119"/>
        </w:tabs>
        <w:spacing w:before="0"/>
        <w:ind w:left="709" w:hanging="425"/>
        <w:rPr>
          <w:snapToGrid w:val="0"/>
        </w:rPr>
      </w:pPr>
      <w:r>
        <w:rPr>
          <w:snapToGrid w:val="0"/>
        </w:rPr>
        <w:tab/>
        <w:t>provided a sample of oral fluid collected in accordance with the regulations for analysis</w:t>
      </w:r>
    </w:p>
    <w:p>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pPr>
        <w:pStyle w:val="yMiscellaneousBody"/>
        <w:spacing w:before="100"/>
        <w:ind w:left="709" w:hanging="425"/>
        <w:rPr>
          <w:snapToGrid w:val="0"/>
        </w:rPr>
      </w:pPr>
      <w:r>
        <w:rPr>
          <w:snapToGrid w:val="0"/>
        </w:rPr>
        <w:t>2.</w:t>
      </w:r>
      <w:r>
        <w:rPr>
          <w:snapToGrid w:val="0"/>
        </w:rPr>
        <w:tab/>
        <w:t>The sample provided is marked ...............................</w:t>
      </w:r>
    </w:p>
    <w:p>
      <w:pPr>
        <w:pStyle w:val="yMiscellaneousBody"/>
        <w:spacing w:before="100"/>
        <w:ind w:left="709" w:hanging="425"/>
        <w:rPr>
          <w:snapToGrid w:val="0"/>
        </w:rPr>
      </w:pPr>
      <w:r>
        <w:rPr>
          <w:snapToGrid w:val="0"/>
        </w:rPr>
        <w:t>3.</w:t>
      </w:r>
      <w:r>
        <w:rPr>
          <w:snapToGrid w:val="0"/>
        </w:rPr>
        <w:tab/>
        <w:t>I was at the material time an authorised drug tester.</w:t>
      </w:r>
    </w:p>
    <w:p>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pPr>
        <w:pStyle w:val="yMiscellaneousBody"/>
        <w:spacing w:before="0"/>
        <w:ind w:left="709"/>
        <w:rPr>
          <w:snapToGrid w:val="0"/>
        </w:rPr>
      </w:pPr>
      <w:r>
        <w:rPr>
          <w:snapToGrid w:val="0"/>
        </w:rPr>
        <w:t>operated by me in accordance with the regulations.</w:t>
      </w:r>
    </w:p>
    <w:p>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pPr>
        <w:pStyle w:val="yMiscellaneousBody"/>
        <w:tabs>
          <w:tab w:val="left" w:pos="1134"/>
          <w:tab w:val="left" w:pos="2268"/>
        </w:tabs>
        <w:spacing w:before="40"/>
        <w:ind w:left="709"/>
        <w:rPr>
          <w:snapToGrid w:val="0"/>
        </w:rPr>
      </w:pPr>
      <w:r>
        <w:rPr>
          <w:snapToGrid w:val="0"/>
        </w:rPr>
        <w:tab/>
        <w:t>yes/no</w:t>
      </w:r>
      <w:r>
        <w:rPr>
          <w:snapToGrid w:val="0"/>
        </w:rPr>
        <w:tab/>
        <w:t>methylamphetamine;</w:t>
      </w:r>
    </w:p>
    <w:p>
      <w:pPr>
        <w:pStyle w:val="yMiscellaneousBody"/>
        <w:tabs>
          <w:tab w:val="left" w:pos="1134"/>
          <w:tab w:val="left" w:pos="2268"/>
        </w:tabs>
        <w:spacing w:before="40"/>
        <w:ind w:left="2268" w:hanging="1559"/>
        <w:rPr>
          <w:snapToGrid w:val="0"/>
        </w:rPr>
      </w:pPr>
      <w:r>
        <w:rPr>
          <w:snapToGrid w:val="0"/>
        </w:rPr>
        <w:tab/>
        <w:t>yes/no</w:t>
      </w:r>
      <w:r>
        <w:rPr>
          <w:snapToGrid w:val="0"/>
        </w:rPr>
        <w:tab/>
      </w:r>
      <w:r>
        <w:t>3, 4-methylenedioxy-n, alpha-dimethylphenylethylamine (MDMA).</w:t>
      </w:r>
    </w:p>
    <w:p>
      <w:pPr>
        <w:pStyle w:val="yMiscellaneousBody"/>
        <w:spacing w:before="120"/>
        <w:ind w:left="3686"/>
        <w:jc w:val="center"/>
        <w:rPr>
          <w:snapToGrid w:val="0"/>
        </w:rPr>
      </w:pPr>
      <w:r>
        <w:rPr>
          <w:snapToGrid w:val="0"/>
        </w:rPr>
        <w:t>.............................................................</w:t>
      </w:r>
    </w:p>
    <w:p>
      <w:pPr>
        <w:pStyle w:val="yMiscellaneousBody"/>
        <w:spacing w:before="0"/>
        <w:ind w:left="3686"/>
        <w:jc w:val="center"/>
        <w:rPr>
          <w:snapToGrid w:val="0"/>
        </w:rPr>
      </w:pPr>
      <w:r>
        <w:rPr>
          <w:snapToGrid w:val="0"/>
        </w:rPr>
        <w:t>(Authorised drug tester)</w:t>
      </w:r>
    </w:p>
    <w:p>
      <w:pPr>
        <w:pStyle w:val="yFootnotesection"/>
      </w:pPr>
      <w:r>
        <w:tab/>
        <w:t>[Form 5 amended in Gazette 25 Jan 2008 p. 217.]</w:t>
      </w:r>
    </w:p>
    <w:p>
      <w:pPr>
        <w:pStyle w:val="yMiscellaneousHeading"/>
        <w:pageBreakBefore/>
        <w:rPr>
          <w:b/>
          <w:bCs/>
        </w:rPr>
      </w:pPr>
      <w:r>
        <w:rPr>
          <w:b/>
          <w:bCs/>
        </w:rPr>
        <w:t>Form 6</w:t>
      </w:r>
    </w:p>
    <w:p>
      <w:pPr>
        <w:pStyle w:val="yShoulderClause"/>
        <w:rPr>
          <w:snapToGrid w:val="0"/>
        </w:rPr>
      </w:pPr>
      <w:r>
        <w:rPr>
          <w:snapToGrid w:val="0"/>
        </w:rPr>
        <w:t>(r. 10(6))</w:t>
      </w:r>
    </w:p>
    <w:p>
      <w:pPr>
        <w:pStyle w:val="yMiscellaneousHeading"/>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Heading"/>
        <w:spacing w:before="60"/>
        <w:rPr>
          <w:b/>
          <w:bCs/>
          <w:iCs/>
        </w:rPr>
      </w:pPr>
    </w:p>
    <w:p>
      <w:pPr>
        <w:pStyle w:val="yMiscellaneousBody"/>
        <w:spacing w:before="240"/>
        <w:rPr>
          <w:iCs/>
          <w:snapToGrid w:val="0"/>
        </w:rPr>
      </w:pPr>
      <w:r>
        <w:rPr>
          <w:iCs/>
          <w:snapToGrid w:val="0"/>
        </w:rPr>
        <w:t xml:space="preserve">I, ..................................................................................., Commissioner of Police, </w:t>
      </w:r>
    </w:p>
    <w:p>
      <w:pPr>
        <w:pStyle w:val="yMiscellaneousBody"/>
        <w:spacing w:before="60"/>
        <w:rPr>
          <w:iCs/>
          <w:snapToGrid w:val="0"/>
        </w:rPr>
      </w:pPr>
      <w:r>
        <w:rPr>
          <w:iCs/>
          <w:snapToGrid w:val="0"/>
        </w:rPr>
        <w:t>certify that ..............................................................................................................</w:t>
      </w:r>
    </w:p>
    <w:p>
      <w:pPr>
        <w:pStyle w:val="yMiscellaneousBody"/>
        <w:spacing w:before="60"/>
        <w:rPr>
          <w:iCs/>
          <w:snapToGrid w:val="0"/>
        </w:rPr>
      </w:pPr>
      <w:r>
        <w:rPr>
          <w:iCs/>
          <w:snapToGrid w:val="0"/>
        </w:rPr>
        <w:t>of ............................................................................................................................</w:t>
      </w:r>
    </w:p>
    <w:p>
      <w:pPr>
        <w:pStyle w:val="yMiscellaneousBody"/>
        <w:spacing w:before="60"/>
        <w:rPr>
          <w:iCs/>
          <w:snapToGrid w:val="0"/>
        </w:rPr>
      </w:pPr>
      <w:r>
        <w:rPr>
          <w:iCs/>
          <w:snapToGrid w:val="0"/>
        </w:rPr>
        <w:t>* is an authorised drugs tester.</w:t>
      </w:r>
    </w:p>
    <w:p>
      <w:pPr>
        <w:pStyle w:val="yMiscellaneousBody"/>
        <w:spacing w:before="60"/>
        <w:rPr>
          <w:iCs/>
          <w:snapToGrid w:val="0"/>
        </w:rPr>
      </w:pPr>
      <w:r>
        <w:rPr>
          <w:iCs/>
          <w:snapToGrid w:val="0"/>
        </w:rPr>
        <w:t>* was as at .............................................................. an authorised drugs tester.</w:t>
      </w:r>
    </w:p>
    <w:p>
      <w:pPr>
        <w:pStyle w:val="yMiscellaneousBody"/>
        <w:spacing w:before="480"/>
        <w:jc w:val="right"/>
        <w:rPr>
          <w:iCs/>
          <w:snapToGrid w:val="0"/>
        </w:rPr>
      </w:pPr>
      <w:r>
        <w:rPr>
          <w:iCs/>
          <w:snapToGrid w:val="0"/>
        </w:rPr>
        <w:t>..................................................</w:t>
      </w:r>
    </w:p>
    <w:p>
      <w:pPr>
        <w:pStyle w:val="yMiscellaneousBody"/>
        <w:spacing w:before="0"/>
        <w:jc w:val="right"/>
        <w:rPr>
          <w:iCs/>
          <w:snapToGrid w:val="0"/>
        </w:rPr>
      </w:pPr>
      <w:r>
        <w:rPr>
          <w:iCs/>
          <w:snapToGrid w:val="0"/>
        </w:rPr>
        <w:tab/>
        <w:t>Commissioner of Police</w:t>
      </w:r>
    </w:p>
    <w:p>
      <w:pPr>
        <w:pStyle w:val="yMiscellaneousBody"/>
        <w:rPr>
          <w:i/>
          <w:snapToGrid w:val="0"/>
          <w:sz w:val="20"/>
        </w:rPr>
      </w:pPr>
      <w:r>
        <w:rPr>
          <w:i/>
          <w:snapToGrid w:val="0"/>
          <w:sz w:val="20"/>
        </w:rPr>
        <w:t>*Delete whichever does not apply.</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14" w:name="_Toc188957389"/>
      <w:r>
        <w:t>Notes</w:t>
      </w:r>
      <w:bookmarkEnd w:id="14"/>
    </w:p>
    <w:p>
      <w:pPr>
        <w:pStyle w:val="nSubsection"/>
        <w:rPr>
          <w:snapToGrid w:val="0"/>
        </w:rPr>
      </w:pPr>
      <w:r>
        <w:rPr>
          <w:snapToGrid w:val="0"/>
          <w:vertAlign w:val="superscript"/>
        </w:rPr>
        <w:t>1</w:t>
      </w:r>
      <w:r>
        <w:rPr>
          <w:snapToGrid w:val="0"/>
        </w:rPr>
        <w:tab/>
        <w:t xml:space="preserve">This is a compilation of the </w:t>
      </w:r>
      <w:r>
        <w:rPr>
          <w:i/>
        </w:rPr>
        <w:t>Road Traffic (Drug Driving) Regulations 2007</w:t>
      </w:r>
      <w:r>
        <w:rPr>
          <w:iCs/>
        </w:rPr>
        <w:t xml:space="preserve"> </w:t>
      </w:r>
      <w:r>
        <w:rPr>
          <w:snapToGrid w:val="0"/>
        </w:rPr>
        <w:t>and includes the amendments made by the other written laws referred to in the following table.</w:t>
      </w:r>
    </w:p>
    <w:p>
      <w:pPr>
        <w:pStyle w:val="nHeading3"/>
      </w:pPr>
      <w:bookmarkStart w:id="15" w:name="_Toc188957390"/>
      <w:r>
        <w:t>Compilation table</w:t>
      </w:r>
      <w:bookmarkEnd w:id="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Road Traffic (Drug Driving) Regulations 2007</w:t>
            </w:r>
          </w:p>
        </w:tc>
        <w:tc>
          <w:tcPr>
            <w:tcW w:w="1276" w:type="dxa"/>
            <w:tcBorders>
              <w:bottom w:val="nil"/>
            </w:tcBorders>
          </w:tcPr>
          <w:p>
            <w:pPr>
              <w:pStyle w:val="nTable"/>
              <w:spacing w:after="40"/>
              <w:rPr>
                <w:sz w:val="19"/>
              </w:rPr>
            </w:pPr>
            <w:r>
              <w:rPr>
                <w:sz w:val="19"/>
              </w:rPr>
              <w:t>11 Oct 2007 p. 5483-500</w:t>
            </w:r>
          </w:p>
        </w:tc>
        <w:tc>
          <w:tcPr>
            <w:tcW w:w="2693" w:type="dxa"/>
            <w:tcBorders>
              <w:bottom w:val="nil"/>
            </w:tcBorders>
          </w:tcPr>
          <w:p>
            <w:pPr>
              <w:pStyle w:val="nTable"/>
              <w:spacing w:after="40"/>
              <w:rPr>
                <w:sz w:val="19"/>
              </w:rPr>
            </w:pPr>
            <w:r>
              <w:rPr>
                <w:sz w:val="19"/>
              </w:rPr>
              <w:t>r. 1 and 2: 11 Oct 2007 (see r. 2(a));</w:t>
            </w:r>
          </w:p>
          <w:p>
            <w:pPr>
              <w:pStyle w:val="nTable"/>
              <w:spacing w:after="40"/>
              <w:rPr>
                <w:sz w:val="19"/>
              </w:rPr>
            </w:pPr>
            <w:r>
              <w:rPr>
                <w:sz w:val="19"/>
              </w:rPr>
              <w:t xml:space="preserve">Regulations other than r. 1 and 2: 12 Oct 2007 (see r. 2(b) and </w:t>
            </w:r>
            <w:r>
              <w:rPr>
                <w:i/>
                <w:iCs/>
                <w:sz w:val="19"/>
              </w:rPr>
              <w:t>Gazette</w:t>
            </w:r>
            <w:r>
              <w:rPr>
                <w:sz w:val="19"/>
              </w:rPr>
              <w:t xml:space="preserve"> 11 Oct 2007 p. 5475)</w:t>
            </w:r>
          </w:p>
        </w:tc>
      </w:tr>
      <w:tr>
        <w:tc>
          <w:tcPr>
            <w:tcW w:w="3118" w:type="dxa"/>
            <w:tcBorders>
              <w:top w:val="nil"/>
              <w:bottom w:val="single" w:sz="4" w:space="0" w:color="auto"/>
            </w:tcBorders>
          </w:tcPr>
          <w:p>
            <w:pPr>
              <w:pStyle w:val="nTable"/>
              <w:spacing w:after="40"/>
              <w:rPr>
                <w:i/>
                <w:sz w:val="19"/>
              </w:rPr>
            </w:pPr>
            <w:r>
              <w:rPr>
                <w:i/>
                <w:sz w:val="19"/>
              </w:rPr>
              <w:t>Road Traffic (Drug Driving) Amendment Regulations 2008</w:t>
            </w:r>
          </w:p>
        </w:tc>
        <w:tc>
          <w:tcPr>
            <w:tcW w:w="1276" w:type="dxa"/>
            <w:tcBorders>
              <w:top w:val="nil"/>
              <w:bottom w:val="single" w:sz="4" w:space="0" w:color="auto"/>
            </w:tcBorders>
          </w:tcPr>
          <w:p>
            <w:pPr>
              <w:pStyle w:val="nTable"/>
              <w:spacing w:after="40"/>
              <w:rPr>
                <w:sz w:val="19"/>
              </w:rPr>
            </w:pPr>
            <w:r>
              <w:rPr>
                <w:sz w:val="19"/>
              </w:rPr>
              <w:t>25 Jan 2008 p. 216</w:t>
            </w:r>
            <w:r>
              <w:rPr>
                <w:sz w:val="19"/>
              </w:rPr>
              <w:noBreakHyphen/>
              <w:t>17</w:t>
            </w:r>
          </w:p>
        </w:tc>
        <w:tc>
          <w:tcPr>
            <w:tcW w:w="2693" w:type="dxa"/>
            <w:tcBorders>
              <w:top w:val="nil"/>
              <w:bottom w:val="single" w:sz="4" w:space="0" w:color="auto"/>
            </w:tcBorders>
          </w:tcPr>
          <w:p>
            <w:pPr>
              <w:pStyle w:val="nTable"/>
              <w:spacing w:after="40"/>
              <w:rPr>
                <w:sz w:val="19"/>
              </w:rPr>
            </w:pPr>
            <w:r>
              <w:rPr>
                <w:snapToGrid w:val="0"/>
                <w:sz w:val="19"/>
                <w:lang w:val="en-US"/>
              </w:rPr>
              <w:t>r. 1 and 2: 25 Jan 2008 (see </w:t>
            </w:r>
            <w:bookmarkStart w:id="16" w:name="UpToHere"/>
            <w:bookmarkEnd w:id="16"/>
            <w:r>
              <w:rPr>
                <w:snapToGrid w:val="0"/>
                <w:sz w:val="19"/>
                <w:lang w:val="en-US"/>
              </w:rPr>
              <w:t>r. 2(a));</w:t>
            </w:r>
            <w:r>
              <w:rPr>
                <w:snapToGrid w:val="0"/>
                <w:sz w:val="19"/>
                <w:lang w:val="en-US"/>
              </w:rPr>
              <w:br/>
              <w:t>Regulations other than r. 1 and 2: 26 Jan 2008 (see r. 2(b))</w:t>
            </w:r>
          </w:p>
        </w:tc>
      </w:tr>
    </w:tbl>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(Drug Driving)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(Drug Driving)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(Drug Driving)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(Drug Driving)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(Drug Driving)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(Drug Driving)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(Drug Driving)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(Drug Driving)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(Drug Driving)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(Drug Driving)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50029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DE2148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2530</Words>
  <Characters>17280</Characters>
  <Application>Microsoft Office Word</Application>
  <DocSecurity>0</DocSecurity>
  <Lines>664</Lines>
  <Paragraphs>430</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Forms</vt:lpstr>
      <vt:lpstr>    Notes</vt:lpstr>
    </vt:vector>
  </TitlesOfParts>
  <Manager/>
  <Company/>
  <LinksUpToDate>false</LinksUpToDate>
  <CharactersWithSpaces>19380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2007 - 00-b0-05</dc:title>
  <dc:subject/>
  <dc:creator/>
  <cp:keywords/>
  <dc:description/>
  <cp:lastModifiedBy>svcMRProcess</cp:lastModifiedBy>
  <cp:revision>4</cp:revision>
  <cp:lastPrinted>2007-09-21T08:02:00Z</cp:lastPrinted>
  <dcterms:created xsi:type="dcterms:W3CDTF">2018-09-17T08:32:00Z</dcterms:created>
  <dcterms:modified xsi:type="dcterms:W3CDTF">2018-09-17T08:32:00Z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CommencementDate">
    <vt:lpwstr>20080126</vt:lpwstr>
  </property>
  <property fmtid="{D5CDD505-2E9C-101B-9397-08002B2CF9AE}" pid="4" name="DocumentType">
    <vt:lpwstr>Reg</vt:lpwstr>
  </property>
  <property fmtid="{D5CDD505-2E9C-101B-9397-08002B2CF9AE}" pid="5" name="OwlsUID">
    <vt:i4>39889</vt:i4>
  </property>
  <property fmtid="{D5CDD505-2E9C-101B-9397-08002B2CF9AE}" pid="6" name="AsAtDate">
    <vt:lpwstr>26 Jan 2008</vt:lpwstr>
  </property>
  <property fmtid="{D5CDD505-2E9C-101B-9397-08002B2CF9AE}" pid="7" name="Suffix">
    <vt:lpwstr>00-b0-05</vt:lpwstr>
  </property>
</Properties>
</file>