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Waterways Conservation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w:t>
      </w:r>
      <w:r>
        <w:rPr>
          <w:b w:val="0"/>
        </w:rPr>
        <w:t> </w:t>
      </w:r>
      <w:r>
        <w:t>—</w:t>
      </w:r>
      <w:r>
        <w:rPr>
          <w:b w:val="0"/>
        </w:rPr>
        <w:t> </w:t>
      </w:r>
      <w:r>
        <w:t>Preliminary</w:t>
      </w:r>
    </w:p>
    <w:p>
      <w:pPr>
        <w:pStyle w:val="TOC8"/>
        <w:rPr>
          <w:rFonts w:asciiTheme="minorHAnsi" w:eastAsiaTheme="minorEastAsia" w:hAnsiTheme="minorHAnsi" w:cstheme="minorBidi"/>
          <w:szCs w:val="22"/>
          <w:lang w:eastAsia="en-AU"/>
        </w:rPr>
      </w:pPr>
      <w:r>
        <w:t>1</w:t>
      </w:r>
      <w:r>
        <w:rPr>
          <w:snapToGrid w:val="0"/>
        </w:rPr>
        <w:t>.</w:t>
      </w:r>
      <w:r>
        <w:rPr>
          <w:snapToGrid w:val="0"/>
        </w:rPr>
        <w:tab/>
        <w:t>Short title</w:t>
      </w:r>
      <w:r>
        <w:tab/>
      </w:r>
      <w:r>
        <w:fldChar w:fldCharType="begin"/>
      </w:r>
      <w:r>
        <w:instrText xml:space="preserve"> PAGEREF _Toc524299921 \h </w:instrText>
      </w:r>
      <w:r>
        <w:fldChar w:fldCharType="separate"/>
      </w:r>
      <w:r>
        <w:t>2</w:t>
      </w:r>
      <w:r>
        <w:fldChar w:fldCharType="end"/>
      </w:r>
    </w:p>
    <w:p>
      <w:pPr>
        <w:pStyle w:val="TOC8"/>
        <w:rPr>
          <w:rFonts w:asciiTheme="minorHAnsi" w:eastAsiaTheme="minorEastAsia" w:hAnsiTheme="minorHAnsi" w:cstheme="minorBidi"/>
          <w:szCs w:val="22"/>
          <w:lang w:eastAsia="en-AU"/>
        </w:rPr>
      </w:pPr>
      <w:r>
        <w:t>2</w:t>
      </w:r>
      <w:r>
        <w:rPr>
          <w:snapToGrid w:val="0"/>
        </w:rPr>
        <w:t>.</w:t>
      </w:r>
      <w:r>
        <w:rPr>
          <w:snapToGrid w:val="0"/>
        </w:rPr>
        <w:tab/>
        <w:t>Commencement</w:t>
      </w:r>
      <w:r>
        <w:tab/>
      </w:r>
      <w:r>
        <w:fldChar w:fldCharType="begin"/>
      </w:r>
      <w:r>
        <w:instrText xml:space="preserve"> PAGEREF _Toc524299922 \h </w:instrText>
      </w:r>
      <w:r>
        <w:fldChar w:fldCharType="separate"/>
      </w:r>
      <w:r>
        <w:t>2</w:t>
      </w:r>
      <w:r>
        <w:fldChar w:fldCharType="end"/>
      </w:r>
    </w:p>
    <w:p>
      <w:pPr>
        <w:pStyle w:val="TOC8"/>
        <w:rPr>
          <w:rFonts w:asciiTheme="minorHAnsi" w:eastAsiaTheme="minorEastAsia" w:hAnsiTheme="minorHAnsi" w:cstheme="minorBidi"/>
          <w:szCs w:val="22"/>
          <w:lang w:eastAsia="en-AU"/>
        </w:rPr>
      </w:pPr>
      <w:r>
        <w:t>3</w:t>
      </w:r>
      <w:r>
        <w:rPr>
          <w:snapToGrid w:val="0"/>
        </w:rPr>
        <w:t>.</w:t>
      </w:r>
      <w:r>
        <w:rPr>
          <w:snapToGrid w:val="0"/>
        </w:rPr>
        <w:tab/>
        <w:t>Terms used in this Act</w:t>
      </w:r>
      <w:r>
        <w:tab/>
      </w:r>
      <w:r>
        <w:fldChar w:fldCharType="begin"/>
      </w:r>
      <w:r>
        <w:instrText xml:space="preserve"> PAGEREF _Toc524299923 \h </w:instrText>
      </w:r>
      <w:r>
        <w:fldChar w:fldCharType="separate"/>
      </w:r>
      <w:r>
        <w:t>2</w:t>
      </w:r>
      <w:r>
        <w:fldChar w:fldCharType="end"/>
      </w:r>
    </w:p>
    <w:p>
      <w:pPr>
        <w:pStyle w:val="TOC8"/>
        <w:rPr>
          <w:rFonts w:asciiTheme="minorHAnsi" w:eastAsiaTheme="minorEastAsia" w:hAnsiTheme="minorHAnsi" w:cstheme="minorBidi"/>
          <w:szCs w:val="22"/>
          <w:lang w:eastAsia="en-AU"/>
        </w:rPr>
      </w:pPr>
      <w:r>
        <w:t>4</w:t>
      </w:r>
      <w:r>
        <w:rPr>
          <w:snapToGrid w:val="0"/>
        </w:rPr>
        <w:t>.</w:t>
      </w:r>
      <w:r>
        <w:rPr>
          <w:snapToGrid w:val="0"/>
        </w:rPr>
        <w:tab/>
        <w:t>Repeal and transitional provisions</w:t>
      </w:r>
      <w:r>
        <w:tab/>
      </w:r>
      <w:r>
        <w:fldChar w:fldCharType="begin"/>
      </w:r>
      <w:r>
        <w:instrText xml:space="preserve"> PAGEREF _Toc524299924 \h </w:instrText>
      </w:r>
      <w:r>
        <w:fldChar w:fldCharType="separate"/>
      </w:r>
      <w:r>
        <w:t>4</w:t>
      </w:r>
      <w:r>
        <w:fldChar w:fldCharType="end"/>
      </w:r>
    </w:p>
    <w:p>
      <w:pPr>
        <w:pStyle w:val="TOC8"/>
        <w:rPr>
          <w:rFonts w:asciiTheme="minorHAnsi" w:eastAsiaTheme="minorEastAsia" w:hAnsiTheme="minorHAnsi" w:cstheme="minorBidi"/>
          <w:szCs w:val="22"/>
          <w:lang w:eastAsia="en-AU"/>
        </w:rPr>
      </w:pPr>
      <w:r>
        <w:t>5</w:t>
      </w:r>
      <w:r>
        <w:rPr>
          <w:snapToGrid w:val="0"/>
        </w:rPr>
        <w:t>.</w:t>
      </w:r>
      <w:r>
        <w:rPr>
          <w:snapToGrid w:val="0"/>
        </w:rPr>
        <w:tab/>
        <w:t>Construction of this Act</w:t>
      </w:r>
      <w:r>
        <w:tab/>
      </w:r>
      <w:r>
        <w:fldChar w:fldCharType="begin"/>
      </w:r>
      <w:r>
        <w:instrText xml:space="preserve"> PAGEREF _Toc524299925 \h </w:instrText>
      </w:r>
      <w:r>
        <w:fldChar w:fldCharType="separate"/>
      </w:r>
      <w:r>
        <w:t>5</w:t>
      </w:r>
      <w:r>
        <w:fldChar w:fldCharType="end"/>
      </w:r>
    </w:p>
    <w:p>
      <w:pPr>
        <w:pStyle w:val="TOC8"/>
        <w:rPr>
          <w:rFonts w:asciiTheme="minorHAnsi" w:eastAsiaTheme="minorEastAsia" w:hAnsiTheme="minorHAnsi" w:cstheme="minorBidi"/>
          <w:szCs w:val="22"/>
          <w:lang w:eastAsia="en-AU"/>
        </w:rPr>
      </w:pPr>
      <w:r>
        <w:t>6</w:t>
      </w:r>
      <w:r>
        <w:rPr>
          <w:snapToGrid w:val="0"/>
        </w:rPr>
        <w:t>.</w:t>
      </w:r>
      <w:r>
        <w:rPr>
          <w:snapToGrid w:val="0"/>
        </w:rPr>
        <w:tab/>
        <w:t>Crown bound</w:t>
      </w:r>
      <w:r>
        <w:tab/>
      </w:r>
      <w:r>
        <w:fldChar w:fldCharType="begin"/>
      </w:r>
      <w:r>
        <w:instrText xml:space="preserve"> PAGEREF _Toc524299926 \h </w:instrText>
      </w:r>
      <w:r>
        <w:fldChar w:fldCharType="separate"/>
      </w:r>
      <w:r>
        <w:t>7</w:t>
      </w:r>
      <w:r>
        <w:fldChar w:fldCharType="end"/>
      </w:r>
    </w:p>
    <w:p>
      <w:pPr>
        <w:pStyle w:val="TOC8"/>
        <w:rPr>
          <w:rFonts w:asciiTheme="minorHAnsi" w:eastAsiaTheme="minorEastAsia" w:hAnsiTheme="minorHAnsi" w:cstheme="minorBidi"/>
          <w:szCs w:val="22"/>
          <w:lang w:eastAsia="en-AU"/>
        </w:rPr>
      </w:pPr>
      <w:r>
        <w:t>7</w:t>
      </w:r>
      <w:r>
        <w:rPr>
          <w:snapToGrid w:val="0"/>
        </w:rPr>
        <w:t>.</w:t>
      </w:r>
      <w:r>
        <w:rPr>
          <w:snapToGrid w:val="0"/>
        </w:rPr>
        <w:tab/>
        <w:t>Saving of rights at law</w:t>
      </w:r>
      <w:r>
        <w:tab/>
      </w:r>
      <w:r>
        <w:fldChar w:fldCharType="begin"/>
      </w:r>
      <w:r>
        <w:instrText xml:space="preserve"> PAGEREF _Toc524299927 \h </w:instrText>
      </w:r>
      <w:r>
        <w:fldChar w:fldCharType="separate"/>
      </w:r>
      <w:r>
        <w:t>7</w:t>
      </w:r>
      <w:r>
        <w:fldChar w:fldCharType="end"/>
      </w:r>
    </w:p>
    <w:p>
      <w:pPr>
        <w:pStyle w:val="TOC8"/>
        <w:rPr>
          <w:rFonts w:asciiTheme="minorHAnsi" w:eastAsiaTheme="minorEastAsia" w:hAnsiTheme="minorHAnsi" w:cstheme="minorBidi"/>
          <w:szCs w:val="22"/>
          <w:lang w:eastAsia="en-AU"/>
        </w:rPr>
      </w:pPr>
      <w:r>
        <w:t>8</w:t>
      </w:r>
      <w:r>
        <w:rPr>
          <w:snapToGrid w:val="0"/>
        </w:rPr>
        <w:t>.</w:t>
      </w:r>
      <w:r>
        <w:rPr>
          <w:snapToGrid w:val="0"/>
        </w:rPr>
        <w:tab/>
        <w:t>Exemptions</w:t>
      </w:r>
      <w:r>
        <w:tab/>
      </w:r>
      <w:r>
        <w:fldChar w:fldCharType="begin"/>
      </w:r>
      <w:r>
        <w:instrText xml:space="preserve"> PAGEREF _Toc524299928 \h </w:instrText>
      </w:r>
      <w:r>
        <w:fldChar w:fldCharType="separate"/>
      </w:r>
      <w:r>
        <w:t>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w:t>
      </w:r>
      <w:r>
        <w:rPr>
          <w:b w:val="0"/>
        </w:rPr>
        <w:t> </w:t>
      </w:r>
      <w:r>
        <w:t>—</w:t>
      </w:r>
      <w:r>
        <w:rPr>
          <w:b w:val="0"/>
        </w:rPr>
        <w:t> </w:t>
      </w:r>
      <w:r>
        <w:t>Application of the Act</w:t>
      </w:r>
    </w:p>
    <w:p>
      <w:pPr>
        <w:pStyle w:val="TOC8"/>
        <w:rPr>
          <w:rFonts w:asciiTheme="minorHAnsi" w:eastAsiaTheme="minorEastAsia" w:hAnsiTheme="minorHAnsi" w:cstheme="minorBidi"/>
          <w:szCs w:val="22"/>
          <w:lang w:eastAsia="en-AU"/>
        </w:rPr>
      </w:pPr>
      <w:r>
        <w:t>9</w:t>
      </w:r>
      <w:r>
        <w:rPr>
          <w:snapToGrid w:val="0"/>
        </w:rPr>
        <w:t>.</w:t>
      </w:r>
      <w:r>
        <w:rPr>
          <w:snapToGrid w:val="0"/>
        </w:rPr>
        <w:tab/>
        <w:t>Application</w:t>
      </w:r>
      <w:r>
        <w:tab/>
      </w:r>
      <w:r>
        <w:fldChar w:fldCharType="begin"/>
      </w:r>
      <w:r>
        <w:instrText xml:space="preserve"> PAGEREF _Toc524299930 \h </w:instrText>
      </w:r>
      <w:r>
        <w:fldChar w:fldCharType="separate"/>
      </w:r>
      <w:r>
        <w:t>9</w:t>
      </w:r>
      <w:r>
        <w:fldChar w:fldCharType="end"/>
      </w:r>
    </w:p>
    <w:p>
      <w:pPr>
        <w:pStyle w:val="TOC8"/>
        <w:rPr>
          <w:rFonts w:asciiTheme="minorHAnsi" w:eastAsiaTheme="minorEastAsia" w:hAnsiTheme="minorHAnsi" w:cstheme="minorBidi"/>
          <w:szCs w:val="22"/>
          <w:lang w:eastAsia="en-AU"/>
        </w:rPr>
      </w:pPr>
      <w:r>
        <w:t>10</w:t>
      </w:r>
      <w:r>
        <w:rPr>
          <w:snapToGrid w:val="0"/>
        </w:rPr>
        <w:t>.</w:t>
      </w:r>
      <w:r>
        <w:rPr>
          <w:snapToGrid w:val="0"/>
        </w:rPr>
        <w:tab/>
        <w:t>Management areas</w:t>
      </w:r>
      <w:r>
        <w:tab/>
      </w:r>
      <w:r>
        <w:fldChar w:fldCharType="begin"/>
      </w:r>
      <w:r>
        <w:instrText xml:space="preserve"> PAGEREF _Toc524299931 \h </w:instrText>
      </w:r>
      <w:r>
        <w:fldChar w:fldCharType="separate"/>
      </w:r>
      <w:r>
        <w:t>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3</w:t>
      </w:r>
      <w:r>
        <w:rPr>
          <w:b w:val="0"/>
        </w:rPr>
        <w:t> </w:t>
      </w:r>
      <w:r>
        <w:t>—</w:t>
      </w:r>
      <w:r>
        <w:rPr>
          <w:b w:val="0"/>
        </w:rPr>
        <w:t> </w:t>
      </w:r>
      <w:r>
        <w:t>Functions of the Minister</w:t>
      </w:r>
    </w:p>
    <w:p>
      <w:pPr>
        <w:pStyle w:val="TOC8"/>
        <w:rPr>
          <w:rFonts w:asciiTheme="minorHAnsi" w:eastAsiaTheme="minorEastAsia" w:hAnsiTheme="minorHAnsi" w:cstheme="minorBidi"/>
          <w:szCs w:val="22"/>
          <w:lang w:eastAsia="en-AU"/>
        </w:rPr>
      </w:pPr>
      <w:r>
        <w:t>11.</w:t>
      </w:r>
      <w:r>
        <w:tab/>
        <w:t>Functions of the Minister</w:t>
      </w:r>
      <w:r>
        <w:tab/>
      </w:r>
      <w:r>
        <w:fldChar w:fldCharType="begin"/>
      </w:r>
      <w:r>
        <w:instrText xml:space="preserve"> PAGEREF _Toc524299933 \h </w:instrText>
      </w:r>
      <w:r>
        <w:fldChar w:fldCharType="separate"/>
      </w:r>
      <w:r>
        <w:t>11</w:t>
      </w:r>
      <w:r>
        <w:fldChar w:fldCharType="end"/>
      </w:r>
    </w:p>
    <w:p>
      <w:pPr>
        <w:pStyle w:val="TOC8"/>
        <w:rPr>
          <w:rFonts w:asciiTheme="minorHAnsi" w:eastAsiaTheme="minorEastAsia" w:hAnsiTheme="minorHAnsi" w:cstheme="minorBidi"/>
          <w:szCs w:val="22"/>
          <w:lang w:eastAsia="en-AU"/>
        </w:rPr>
      </w:pPr>
      <w:r>
        <w:t>12.</w:t>
      </w:r>
      <w:r>
        <w:tab/>
        <w:t xml:space="preserve">Performance of the functions of the </w:t>
      </w:r>
      <w:r>
        <w:rPr>
          <w:snapToGrid w:val="0"/>
        </w:rPr>
        <w:t>Minister</w:t>
      </w:r>
      <w:r>
        <w:tab/>
      </w:r>
      <w:r>
        <w:fldChar w:fldCharType="begin"/>
      </w:r>
      <w:r>
        <w:instrText xml:space="preserve"> PAGEREF _Toc524299934 \h </w:instrText>
      </w:r>
      <w:r>
        <w:fldChar w:fldCharType="separate"/>
      </w:r>
      <w:r>
        <w:t>12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4</w:t>
      </w:r>
      <w:r>
        <w:rPr>
          <w:b w:val="0"/>
        </w:rPr>
        <w:t> </w:t>
      </w:r>
      <w:r>
        <w:t>—</w:t>
      </w:r>
      <w:r>
        <w:rPr>
          <w:b w:val="0"/>
        </w:rPr>
        <w:t> </w:t>
      </w:r>
      <w:r>
        <w:t>Agreements, management programmes and consultation</w:t>
      </w:r>
    </w:p>
    <w:p>
      <w:pPr>
        <w:pStyle w:val="TOC8"/>
        <w:rPr>
          <w:rFonts w:asciiTheme="minorHAnsi" w:eastAsiaTheme="minorEastAsia" w:hAnsiTheme="minorHAnsi" w:cstheme="minorBidi"/>
          <w:szCs w:val="22"/>
          <w:lang w:eastAsia="en-AU"/>
        </w:rPr>
      </w:pPr>
      <w:r>
        <w:t>30.</w:t>
      </w:r>
      <w:r>
        <w:tab/>
        <w:t>Covenants</w:t>
      </w:r>
      <w:r>
        <w:tab/>
      </w:r>
      <w:r>
        <w:fldChar w:fldCharType="begin"/>
      </w:r>
      <w:r>
        <w:instrText xml:space="preserve"> PAGEREF _Toc524299936 \h </w:instrText>
      </w:r>
      <w:r>
        <w:fldChar w:fldCharType="separate"/>
      </w:r>
      <w:r>
        <w:t>14</w:t>
      </w:r>
      <w:r>
        <w:fldChar w:fldCharType="end"/>
      </w:r>
    </w:p>
    <w:p>
      <w:pPr>
        <w:pStyle w:val="TOC8"/>
        <w:rPr>
          <w:rFonts w:asciiTheme="minorHAnsi" w:eastAsiaTheme="minorEastAsia" w:hAnsiTheme="minorHAnsi" w:cstheme="minorBidi"/>
          <w:szCs w:val="22"/>
          <w:lang w:eastAsia="en-AU"/>
        </w:rPr>
      </w:pPr>
      <w:r>
        <w:t>31</w:t>
      </w:r>
      <w:r>
        <w:rPr>
          <w:snapToGrid w:val="0"/>
        </w:rPr>
        <w:t>.</w:t>
      </w:r>
      <w:r>
        <w:rPr>
          <w:snapToGrid w:val="0"/>
        </w:rPr>
        <w:tab/>
        <w:t>Agreements as to private land</w:t>
      </w:r>
      <w:r>
        <w:tab/>
      </w:r>
      <w:r>
        <w:fldChar w:fldCharType="begin"/>
      </w:r>
      <w:r>
        <w:instrText xml:space="preserve"> PAGEREF _Toc524299937 \h </w:instrText>
      </w:r>
      <w:r>
        <w:fldChar w:fldCharType="separate"/>
      </w:r>
      <w:r>
        <w:t>14</w:t>
      </w:r>
      <w:r>
        <w:fldChar w:fldCharType="end"/>
      </w:r>
    </w:p>
    <w:p>
      <w:pPr>
        <w:pStyle w:val="TOC8"/>
        <w:rPr>
          <w:rFonts w:asciiTheme="minorHAnsi" w:eastAsiaTheme="minorEastAsia" w:hAnsiTheme="minorHAnsi" w:cstheme="minorBidi"/>
          <w:szCs w:val="22"/>
          <w:lang w:eastAsia="en-AU"/>
        </w:rPr>
      </w:pPr>
      <w:r>
        <w:t>32</w:t>
      </w:r>
      <w:r>
        <w:rPr>
          <w:snapToGrid w:val="0"/>
        </w:rPr>
        <w:t>.</w:t>
      </w:r>
      <w:r>
        <w:rPr>
          <w:snapToGrid w:val="0"/>
        </w:rPr>
        <w:tab/>
        <w:t>Reserves may be placed under the control of the Minister</w:t>
      </w:r>
      <w:r>
        <w:tab/>
      </w:r>
      <w:r>
        <w:fldChar w:fldCharType="begin"/>
      </w:r>
      <w:r>
        <w:instrText xml:space="preserve"> PAGEREF _Toc524299938 \h </w:instrText>
      </w:r>
      <w:r>
        <w:fldChar w:fldCharType="separate"/>
      </w:r>
      <w:r>
        <w:t>14</w:t>
      </w:r>
      <w:r>
        <w:fldChar w:fldCharType="end"/>
      </w:r>
    </w:p>
    <w:p>
      <w:pPr>
        <w:pStyle w:val="TOC8"/>
        <w:rPr>
          <w:rFonts w:asciiTheme="minorHAnsi" w:eastAsiaTheme="minorEastAsia" w:hAnsiTheme="minorHAnsi" w:cstheme="minorBidi"/>
          <w:szCs w:val="22"/>
          <w:lang w:eastAsia="en-AU"/>
        </w:rPr>
      </w:pPr>
      <w:r>
        <w:t>33</w:t>
      </w:r>
      <w:r>
        <w:rPr>
          <w:snapToGrid w:val="0"/>
        </w:rPr>
        <w:t>.</w:t>
      </w:r>
      <w:r>
        <w:rPr>
          <w:snapToGrid w:val="0"/>
        </w:rPr>
        <w:tab/>
        <w:t>Local government consultations, and initiatives</w:t>
      </w:r>
      <w:r>
        <w:tab/>
      </w:r>
      <w:r>
        <w:fldChar w:fldCharType="begin"/>
      </w:r>
      <w:r>
        <w:instrText xml:space="preserve"> PAGEREF _Toc524299939 \h </w:instrText>
      </w:r>
      <w:r>
        <w:fldChar w:fldCharType="separate"/>
      </w:r>
      <w:r>
        <w:t>15</w:t>
      </w:r>
      <w:r>
        <w:fldChar w:fldCharType="end"/>
      </w:r>
    </w:p>
    <w:p>
      <w:pPr>
        <w:pStyle w:val="TOC8"/>
        <w:rPr>
          <w:rFonts w:asciiTheme="minorHAnsi" w:eastAsiaTheme="minorEastAsia" w:hAnsiTheme="minorHAnsi" w:cstheme="minorBidi"/>
          <w:szCs w:val="22"/>
          <w:lang w:eastAsia="en-AU"/>
        </w:rPr>
      </w:pPr>
      <w:r>
        <w:t>35</w:t>
      </w:r>
      <w:r>
        <w:rPr>
          <w:snapToGrid w:val="0"/>
        </w:rPr>
        <w:t>.</w:t>
      </w:r>
      <w:r>
        <w:rPr>
          <w:snapToGrid w:val="0"/>
        </w:rPr>
        <w:tab/>
        <w:t>Management programmes</w:t>
      </w:r>
      <w:r>
        <w:tab/>
      </w:r>
      <w:r>
        <w:fldChar w:fldCharType="begin"/>
      </w:r>
      <w:r>
        <w:instrText xml:space="preserve"> PAGEREF _Toc524299940 \h </w:instrText>
      </w:r>
      <w:r>
        <w:fldChar w:fldCharType="separate"/>
      </w:r>
      <w:r>
        <w:t>16</w:t>
      </w:r>
      <w:r>
        <w:fldChar w:fldCharType="end"/>
      </w:r>
    </w:p>
    <w:p>
      <w:pPr>
        <w:pStyle w:val="TOC8"/>
        <w:rPr>
          <w:rFonts w:asciiTheme="minorHAnsi" w:eastAsiaTheme="minorEastAsia" w:hAnsiTheme="minorHAnsi" w:cstheme="minorBidi"/>
          <w:szCs w:val="22"/>
          <w:lang w:eastAsia="en-AU"/>
        </w:rPr>
      </w:pPr>
      <w:r>
        <w:t>36</w:t>
      </w:r>
      <w:r>
        <w:rPr>
          <w:snapToGrid w:val="0"/>
        </w:rPr>
        <w:t>.</w:t>
      </w:r>
      <w:r>
        <w:rPr>
          <w:snapToGrid w:val="0"/>
        </w:rPr>
        <w:tab/>
        <w:t>Town planning referrals</w:t>
      </w:r>
      <w:r>
        <w:tab/>
      </w:r>
      <w:r>
        <w:fldChar w:fldCharType="begin"/>
      </w:r>
      <w:r>
        <w:instrText xml:space="preserve"> PAGEREF _Toc524299941 \h </w:instrText>
      </w:r>
      <w:r>
        <w:fldChar w:fldCharType="separate"/>
      </w:r>
      <w:r>
        <w:t>17</w:t>
      </w:r>
      <w:r>
        <w:fldChar w:fldCharType="end"/>
      </w:r>
    </w:p>
    <w:p>
      <w:pPr>
        <w:pStyle w:val="TOC8"/>
        <w:rPr>
          <w:rFonts w:asciiTheme="minorHAnsi" w:eastAsiaTheme="minorEastAsia" w:hAnsiTheme="minorHAnsi" w:cstheme="minorBidi"/>
          <w:szCs w:val="22"/>
          <w:lang w:eastAsia="en-AU"/>
        </w:rPr>
      </w:pPr>
      <w:r>
        <w:t>37</w:t>
      </w:r>
      <w:r>
        <w:rPr>
          <w:snapToGrid w:val="0"/>
        </w:rPr>
        <w:t>.</w:t>
      </w:r>
      <w:r>
        <w:rPr>
          <w:snapToGrid w:val="0"/>
        </w:rPr>
        <w:tab/>
        <w:t>Ministerial referrals</w:t>
      </w:r>
      <w:r>
        <w:tab/>
      </w:r>
      <w:r>
        <w:fldChar w:fldCharType="begin"/>
      </w:r>
      <w:r>
        <w:instrText xml:space="preserve"> PAGEREF _Toc524299942 \h </w:instrText>
      </w:r>
      <w:r>
        <w:fldChar w:fldCharType="separate"/>
      </w:r>
      <w:r>
        <w:t>19</w:t>
      </w:r>
      <w:r>
        <w:fldChar w:fldCharType="end"/>
      </w:r>
    </w:p>
    <w:p>
      <w:pPr>
        <w:pStyle w:val="TOC8"/>
        <w:rPr>
          <w:rFonts w:asciiTheme="minorHAnsi" w:eastAsiaTheme="minorEastAsia" w:hAnsiTheme="minorHAnsi" w:cstheme="minorBidi"/>
          <w:szCs w:val="22"/>
          <w:lang w:eastAsia="en-AU"/>
        </w:rPr>
      </w:pPr>
      <w:r>
        <w:t>38</w:t>
      </w:r>
      <w:r>
        <w:rPr>
          <w:snapToGrid w:val="0"/>
        </w:rPr>
        <w:t>.</w:t>
      </w:r>
      <w:r>
        <w:rPr>
          <w:snapToGrid w:val="0"/>
        </w:rPr>
        <w:tab/>
        <w:t>Public referrals</w:t>
      </w:r>
      <w:r>
        <w:tab/>
      </w:r>
      <w:r>
        <w:fldChar w:fldCharType="begin"/>
      </w:r>
      <w:r>
        <w:instrText xml:space="preserve"> PAGEREF _Toc524299943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5</w:t>
      </w:r>
      <w:r>
        <w:rPr>
          <w:b w:val="0"/>
        </w:rPr>
        <w:t> </w:t>
      </w:r>
      <w:r>
        <w:t>—</w:t>
      </w:r>
      <w:r>
        <w:rPr>
          <w:b w:val="0"/>
        </w:rPr>
        <w:t> </w:t>
      </w:r>
      <w:r>
        <w:t>Protection of waters and land</w:t>
      </w:r>
    </w:p>
    <w:p>
      <w:pPr>
        <w:pStyle w:val="TOC8"/>
        <w:rPr>
          <w:rFonts w:asciiTheme="minorHAnsi" w:eastAsiaTheme="minorEastAsia" w:hAnsiTheme="minorHAnsi" w:cstheme="minorBidi"/>
          <w:szCs w:val="22"/>
          <w:lang w:eastAsia="en-AU"/>
        </w:rPr>
      </w:pPr>
      <w:r>
        <w:t>46</w:t>
      </w:r>
      <w:r>
        <w:rPr>
          <w:snapToGrid w:val="0"/>
        </w:rPr>
        <w:t>.</w:t>
      </w:r>
      <w:r>
        <w:rPr>
          <w:snapToGrid w:val="0"/>
        </w:rPr>
        <w:tab/>
        <w:t>Licences</w:t>
      </w:r>
      <w:r>
        <w:tab/>
      </w:r>
      <w:r>
        <w:fldChar w:fldCharType="begin"/>
      </w:r>
      <w:r>
        <w:instrText xml:space="preserve"> PAGEREF _Toc524299945 \h </w:instrText>
      </w:r>
      <w:r>
        <w:fldChar w:fldCharType="separate"/>
      </w:r>
      <w:r>
        <w:t>21</w:t>
      </w:r>
      <w:r>
        <w:fldChar w:fldCharType="end"/>
      </w:r>
    </w:p>
    <w:p>
      <w:pPr>
        <w:pStyle w:val="TOC8"/>
        <w:rPr>
          <w:rFonts w:asciiTheme="minorHAnsi" w:eastAsiaTheme="minorEastAsia" w:hAnsiTheme="minorHAnsi" w:cstheme="minorBidi"/>
          <w:szCs w:val="22"/>
          <w:lang w:eastAsia="en-AU"/>
        </w:rPr>
      </w:pPr>
      <w:r>
        <w:t>47</w:t>
      </w:r>
      <w:r>
        <w:rPr>
          <w:snapToGrid w:val="0"/>
        </w:rPr>
        <w:t>.</w:t>
      </w:r>
      <w:r>
        <w:rPr>
          <w:snapToGrid w:val="0"/>
        </w:rPr>
        <w:tab/>
        <w:t>Disposal licences</w:t>
      </w:r>
      <w:r>
        <w:tab/>
      </w:r>
      <w:r>
        <w:fldChar w:fldCharType="begin"/>
      </w:r>
      <w:r>
        <w:instrText xml:space="preserve"> PAGEREF _Toc524299946 \h </w:instrText>
      </w:r>
      <w:r>
        <w:fldChar w:fldCharType="separate"/>
      </w:r>
      <w:r>
        <w:t>23</w:t>
      </w:r>
      <w:r>
        <w:fldChar w:fldCharType="end"/>
      </w:r>
    </w:p>
    <w:p>
      <w:pPr>
        <w:pStyle w:val="TOC8"/>
        <w:rPr>
          <w:rFonts w:asciiTheme="minorHAnsi" w:eastAsiaTheme="minorEastAsia" w:hAnsiTheme="minorHAnsi" w:cstheme="minorBidi"/>
          <w:szCs w:val="22"/>
          <w:lang w:eastAsia="en-AU"/>
        </w:rPr>
      </w:pPr>
      <w:r>
        <w:t>48</w:t>
      </w:r>
      <w:r>
        <w:rPr>
          <w:snapToGrid w:val="0"/>
        </w:rPr>
        <w:t>.</w:t>
      </w:r>
      <w:r>
        <w:rPr>
          <w:snapToGrid w:val="0"/>
        </w:rPr>
        <w:tab/>
        <w:t>Control of pollution, and the use of waters</w:t>
      </w:r>
      <w:r>
        <w:tab/>
      </w:r>
      <w:r>
        <w:fldChar w:fldCharType="begin"/>
      </w:r>
      <w:r>
        <w:instrText xml:space="preserve"> PAGEREF _Toc524299947 \h </w:instrText>
      </w:r>
      <w:r>
        <w:fldChar w:fldCharType="separate"/>
      </w:r>
      <w:r>
        <w:t>27</w:t>
      </w:r>
      <w:r>
        <w:fldChar w:fldCharType="end"/>
      </w:r>
    </w:p>
    <w:p>
      <w:pPr>
        <w:pStyle w:val="TOC8"/>
        <w:rPr>
          <w:rFonts w:asciiTheme="minorHAnsi" w:eastAsiaTheme="minorEastAsia" w:hAnsiTheme="minorHAnsi" w:cstheme="minorBidi"/>
          <w:szCs w:val="22"/>
          <w:lang w:eastAsia="en-AU"/>
        </w:rPr>
      </w:pPr>
      <w:r>
        <w:t>49</w:t>
      </w:r>
      <w:r>
        <w:rPr>
          <w:snapToGrid w:val="0"/>
        </w:rPr>
        <w:t>.</w:t>
      </w:r>
      <w:r>
        <w:rPr>
          <w:snapToGrid w:val="0"/>
        </w:rPr>
        <w:tab/>
        <w:t>Injunctions</w:t>
      </w:r>
      <w:r>
        <w:tab/>
      </w:r>
      <w:r>
        <w:fldChar w:fldCharType="begin"/>
      </w:r>
      <w:r>
        <w:instrText xml:space="preserve"> PAGEREF _Toc524299948 \h </w:instrText>
      </w:r>
      <w:r>
        <w:fldChar w:fldCharType="separate"/>
      </w:r>
      <w:r>
        <w:t>29</w:t>
      </w:r>
      <w:r>
        <w:fldChar w:fldCharType="end"/>
      </w:r>
    </w:p>
    <w:p>
      <w:pPr>
        <w:pStyle w:val="TOC8"/>
        <w:rPr>
          <w:rFonts w:asciiTheme="minorHAnsi" w:eastAsiaTheme="minorEastAsia" w:hAnsiTheme="minorHAnsi" w:cstheme="minorBidi"/>
          <w:szCs w:val="22"/>
          <w:lang w:eastAsia="en-AU"/>
        </w:rPr>
      </w:pPr>
      <w:r>
        <w:t>50</w:t>
      </w:r>
      <w:r>
        <w:rPr>
          <w:snapToGrid w:val="0"/>
        </w:rPr>
        <w:t>.</w:t>
      </w:r>
      <w:r>
        <w:rPr>
          <w:snapToGrid w:val="0"/>
        </w:rPr>
        <w:tab/>
        <w:t>Orders</w:t>
      </w:r>
      <w:r>
        <w:tab/>
      </w:r>
      <w:r>
        <w:fldChar w:fldCharType="begin"/>
      </w:r>
      <w:r>
        <w:instrText xml:space="preserve"> PAGEREF _Toc524299949 \h </w:instrText>
      </w:r>
      <w:r>
        <w:fldChar w:fldCharType="separate"/>
      </w:r>
      <w:r>
        <w:t>30</w:t>
      </w:r>
      <w:r>
        <w:fldChar w:fldCharType="end"/>
      </w:r>
    </w:p>
    <w:p>
      <w:pPr>
        <w:pStyle w:val="TOC8"/>
        <w:rPr>
          <w:rFonts w:asciiTheme="minorHAnsi" w:eastAsiaTheme="minorEastAsia" w:hAnsiTheme="minorHAnsi" w:cstheme="minorBidi"/>
          <w:szCs w:val="22"/>
          <w:lang w:eastAsia="en-AU"/>
        </w:rPr>
      </w:pPr>
      <w:r>
        <w:t>51</w:t>
      </w:r>
      <w:r>
        <w:rPr>
          <w:snapToGrid w:val="0"/>
        </w:rPr>
        <w:t>.</w:t>
      </w:r>
      <w:r>
        <w:rPr>
          <w:snapToGrid w:val="0"/>
        </w:rPr>
        <w:tab/>
        <w:t>Removal of structures</w:t>
      </w:r>
      <w:r>
        <w:tab/>
      </w:r>
      <w:r>
        <w:fldChar w:fldCharType="begin"/>
      </w:r>
      <w:r>
        <w:instrText xml:space="preserve"> PAGEREF _Toc524299950 \h </w:instrText>
      </w:r>
      <w:r>
        <w:fldChar w:fldCharType="separate"/>
      </w:r>
      <w:r>
        <w:t>30</w:t>
      </w:r>
      <w:r>
        <w:fldChar w:fldCharType="end"/>
      </w:r>
    </w:p>
    <w:p>
      <w:pPr>
        <w:pStyle w:val="TOC8"/>
        <w:rPr>
          <w:rFonts w:asciiTheme="minorHAnsi" w:eastAsiaTheme="minorEastAsia" w:hAnsiTheme="minorHAnsi" w:cstheme="minorBidi"/>
          <w:szCs w:val="22"/>
          <w:lang w:eastAsia="en-AU"/>
        </w:rPr>
      </w:pPr>
      <w:r>
        <w:t>52</w:t>
      </w:r>
      <w:r>
        <w:rPr>
          <w:snapToGrid w:val="0"/>
        </w:rPr>
        <w:t>.</w:t>
      </w:r>
      <w:r>
        <w:rPr>
          <w:snapToGrid w:val="0"/>
        </w:rPr>
        <w:tab/>
        <w:t>Remedial works</w:t>
      </w:r>
      <w:r>
        <w:tab/>
      </w:r>
      <w:r>
        <w:fldChar w:fldCharType="begin"/>
      </w:r>
      <w:r>
        <w:instrText xml:space="preserve"> PAGEREF _Toc524299951 \h </w:instrText>
      </w:r>
      <w:r>
        <w:fldChar w:fldCharType="separate"/>
      </w:r>
      <w:r>
        <w:t>31</w:t>
      </w:r>
      <w:r>
        <w:fldChar w:fldCharType="end"/>
      </w:r>
    </w:p>
    <w:p>
      <w:pPr>
        <w:pStyle w:val="TOC8"/>
        <w:rPr>
          <w:rFonts w:asciiTheme="minorHAnsi" w:eastAsiaTheme="minorEastAsia" w:hAnsiTheme="minorHAnsi" w:cstheme="minorBidi"/>
          <w:szCs w:val="22"/>
          <w:lang w:eastAsia="en-AU"/>
        </w:rPr>
      </w:pPr>
      <w:r>
        <w:t>53</w:t>
      </w:r>
      <w:r>
        <w:rPr>
          <w:snapToGrid w:val="0"/>
        </w:rPr>
        <w:t>.</w:t>
      </w:r>
      <w:r>
        <w:rPr>
          <w:snapToGrid w:val="0"/>
        </w:rPr>
        <w:tab/>
        <w:t>Recovery of expenses</w:t>
      </w:r>
      <w:r>
        <w:tab/>
      </w:r>
      <w:r>
        <w:fldChar w:fldCharType="begin"/>
      </w:r>
      <w:r>
        <w:instrText xml:space="preserve"> PAGEREF _Toc524299952 \h </w:instrText>
      </w:r>
      <w:r>
        <w:fldChar w:fldCharType="separate"/>
      </w:r>
      <w:r>
        <w:t>31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6</w:t>
      </w:r>
      <w:r>
        <w:rPr>
          <w:b w:val="0"/>
        </w:rPr>
        <w:t> </w:t>
      </w:r>
      <w:r>
        <w:t>—</w:t>
      </w:r>
      <w:r>
        <w:rPr>
          <w:b w:val="0"/>
        </w:rPr>
        <w:t> </w:t>
      </w:r>
      <w:r>
        <w:t>General provisions</w:t>
      </w:r>
    </w:p>
    <w:p>
      <w:pPr>
        <w:pStyle w:val="TOC4"/>
        <w:tabs>
          <w:tab w:val="right" w:leader="dot" w:pos="7086"/>
        </w:tabs>
        <w:rPr>
          <w:rFonts w:asciiTheme="minorHAnsi" w:eastAsiaTheme="minorEastAsia" w:hAnsiTheme="minorHAnsi" w:cstheme="minorBidi"/>
          <w:b w:val="0"/>
          <w:szCs w:val="22"/>
          <w:lang w:eastAsia="en-AU"/>
        </w:rPr>
      </w:pPr>
      <w:r>
        <w:t>Division 1 — By</w:t>
      </w:r>
      <w:r>
        <w:noBreakHyphen/>
        <w:t>laws</w:t>
      </w:r>
    </w:p>
    <w:p>
      <w:pPr>
        <w:pStyle w:val="TOC8"/>
        <w:rPr>
          <w:rFonts w:asciiTheme="minorHAnsi" w:eastAsiaTheme="minorEastAsia" w:hAnsiTheme="minorHAnsi" w:cstheme="minorBidi"/>
          <w:szCs w:val="22"/>
          <w:lang w:eastAsia="en-AU"/>
        </w:rPr>
      </w:pPr>
      <w:r>
        <w:t>54.</w:t>
      </w:r>
      <w:r>
        <w:tab/>
        <w:t>By</w:t>
      </w:r>
      <w:r>
        <w:noBreakHyphen/>
        <w:t>laws</w:t>
      </w:r>
      <w:r>
        <w:tab/>
      </w:r>
      <w:r>
        <w:fldChar w:fldCharType="begin"/>
      </w:r>
      <w:r>
        <w:instrText xml:space="preserve"> PAGEREF _Toc524299955 \h </w:instrText>
      </w:r>
      <w:r>
        <w:fldChar w:fldCharType="separate"/>
      </w:r>
      <w:r>
        <w:t>32</w:t>
      </w:r>
      <w:r>
        <w:fldChar w:fldCharType="end"/>
      </w:r>
    </w:p>
    <w:p>
      <w:pPr>
        <w:pStyle w:val="TOC8"/>
        <w:rPr>
          <w:rFonts w:asciiTheme="minorHAnsi" w:eastAsiaTheme="minorEastAsia" w:hAnsiTheme="minorHAnsi" w:cstheme="minorBidi"/>
          <w:szCs w:val="22"/>
          <w:lang w:eastAsia="en-AU"/>
        </w:rPr>
      </w:pPr>
      <w:r>
        <w:t>55</w:t>
      </w:r>
      <w:r>
        <w:rPr>
          <w:snapToGrid w:val="0"/>
        </w:rPr>
        <w:t>.</w:t>
      </w:r>
      <w:r>
        <w:rPr>
          <w:snapToGrid w:val="0"/>
        </w:rPr>
        <w:tab/>
        <w:t>General provisions relating to by</w:t>
      </w:r>
      <w:r>
        <w:rPr>
          <w:snapToGrid w:val="0"/>
        </w:rPr>
        <w:noBreakHyphen/>
        <w:t>laws</w:t>
      </w:r>
      <w:r>
        <w:tab/>
      </w:r>
      <w:r>
        <w:fldChar w:fldCharType="begin"/>
      </w:r>
      <w:r>
        <w:instrText xml:space="preserve"> PAGEREF _Toc524299956 \h </w:instrText>
      </w:r>
      <w:r>
        <w:fldChar w:fldCharType="separate"/>
      </w:r>
      <w:r>
        <w:t>32</w:t>
      </w:r>
      <w:r>
        <w:fldChar w:fldCharType="end"/>
      </w:r>
    </w:p>
    <w:p>
      <w:pPr>
        <w:pStyle w:val="TOC8"/>
        <w:rPr>
          <w:rFonts w:asciiTheme="minorHAnsi" w:eastAsiaTheme="minorEastAsia" w:hAnsiTheme="minorHAnsi" w:cstheme="minorBidi"/>
          <w:szCs w:val="22"/>
          <w:lang w:eastAsia="en-AU"/>
        </w:rPr>
      </w:pPr>
      <w:r>
        <w:t>56</w:t>
      </w:r>
      <w:r>
        <w:rPr>
          <w:snapToGrid w:val="0"/>
        </w:rPr>
        <w:t>.</w:t>
      </w:r>
      <w:r>
        <w:rPr>
          <w:snapToGrid w:val="0"/>
        </w:rPr>
        <w:tab/>
        <w:t>Local laws</w:t>
      </w:r>
      <w:r>
        <w:tab/>
      </w:r>
      <w:r>
        <w:fldChar w:fldCharType="begin"/>
      </w:r>
      <w:r>
        <w:instrText xml:space="preserve"> PAGEREF _Toc524299957 \h </w:instrText>
      </w:r>
      <w:r>
        <w:fldChar w:fldCharType="separate"/>
      </w:r>
      <w:r>
        <w:t>33</w:t>
      </w:r>
      <w:r>
        <w:fldChar w:fldCharType="end"/>
      </w:r>
    </w:p>
    <w:p>
      <w:pPr>
        <w:pStyle w:val="TOC8"/>
        <w:rPr>
          <w:rFonts w:asciiTheme="minorHAnsi" w:eastAsiaTheme="minorEastAsia" w:hAnsiTheme="minorHAnsi" w:cstheme="minorBidi"/>
          <w:szCs w:val="22"/>
          <w:lang w:eastAsia="en-AU"/>
        </w:rPr>
      </w:pPr>
      <w:r>
        <w:t>57</w:t>
      </w:r>
      <w:r>
        <w:rPr>
          <w:snapToGrid w:val="0"/>
        </w:rPr>
        <w:t>.</w:t>
      </w:r>
      <w:r>
        <w:rPr>
          <w:snapToGrid w:val="0"/>
        </w:rPr>
        <w:tab/>
        <w:t>Inconsistency of by</w:t>
      </w:r>
      <w:r>
        <w:rPr>
          <w:snapToGrid w:val="0"/>
        </w:rPr>
        <w:noBreakHyphen/>
        <w:t>laws with regulations</w:t>
      </w:r>
      <w:r>
        <w:tab/>
      </w:r>
      <w:r>
        <w:fldChar w:fldCharType="begin"/>
      </w:r>
      <w:r>
        <w:instrText xml:space="preserve"> PAGEREF _Toc524299958 \h </w:instrText>
      </w:r>
      <w:r>
        <w:fldChar w:fldCharType="separate"/>
      </w:r>
      <w:r>
        <w:t>34</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Enforcement provisions</w:t>
      </w:r>
    </w:p>
    <w:p>
      <w:pPr>
        <w:pStyle w:val="TOC8"/>
        <w:rPr>
          <w:rFonts w:asciiTheme="minorHAnsi" w:eastAsiaTheme="minorEastAsia" w:hAnsiTheme="minorHAnsi" w:cstheme="minorBidi"/>
          <w:szCs w:val="22"/>
          <w:lang w:eastAsia="en-AU"/>
        </w:rPr>
      </w:pPr>
      <w:r>
        <w:t>61</w:t>
      </w:r>
      <w:r>
        <w:rPr>
          <w:snapToGrid w:val="0"/>
        </w:rPr>
        <w:t>.</w:t>
      </w:r>
      <w:r>
        <w:rPr>
          <w:snapToGrid w:val="0"/>
        </w:rPr>
        <w:tab/>
        <w:t>Inspectors</w:t>
      </w:r>
      <w:r>
        <w:tab/>
      </w:r>
      <w:r>
        <w:fldChar w:fldCharType="begin"/>
      </w:r>
      <w:r>
        <w:instrText xml:space="preserve"> PAGEREF _Toc524299960 \h </w:instrText>
      </w:r>
      <w:r>
        <w:fldChar w:fldCharType="separate"/>
      </w:r>
      <w:r>
        <w:t>34</w:t>
      </w:r>
      <w:r>
        <w:fldChar w:fldCharType="end"/>
      </w:r>
    </w:p>
    <w:p>
      <w:pPr>
        <w:pStyle w:val="TOC8"/>
        <w:rPr>
          <w:rFonts w:asciiTheme="minorHAnsi" w:eastAsiaTheme="minorEastAsia" w:hAnsiTheme="minorHAnsi" w:cstheme="minorBidi"/>
          <w:szCs w:val="22"/>
          <w:lang w:eastAsia="en-AU"/>
        </w:rPr>
      </w:pPr>
      <w:r>
        <w:t>62</w:t>
      </w:r>
      <w:r>
        <w:rPr>
          <w:snapToGrid w:val="0"/>
        </w:rPr>
        <w:t>.</w:t>
      </w:r>
      <w:r>
        <w:rPr>
          <w:snapToGrid w:val="0"/>
        </w:rPr>
        <w:tab/>
        <w:t>Honorary wardens</w:t>
      </w:r>
      <w:r>
        <w:tab/>
      </w:r>
      <w:r>
        <w:fldChar w:fldCharType="begin"/>
      </w:r>
      <w:r>
        <w:instrText xml:space="preserve"> PAGEREF _Toc524299961 \h </w:instrText>
      </w:r>
      <w:r>
        <w:fldChar w:fldCharType="separate"/>
      </w:r>
      <w:r>
        <w:t>36</w:t>
      </w:r>
      <w:r>
        <w:fldChar w:fldCharType="end"/>
      </w:r>
    </w:p>
    <w:p>
      <w:pPr>
        <w:pStyle w:val="TOC8"/>
        <w:rPr>
          <w:rFonts w:asciiTheme="minorHAnsi" w:eastAsiaTheme="minorEastAsia" w:hAnsiTheme="minorHAnsi" w:cstheme="minorBidi"/>
          <w:szCs w:val="22"/>
          <w:lang w:eastAsia="en-AU"/>
        </w:rPr>
      </w:pPr>
      <w:r>
        <w:t>63</w:t>
      </w:r>
      <w:r>
        <w:rPr>
          <w:snapToGrid w:val="0"/>
        </w:rPr>
        <w:t>.</w:t>
      </w:r>
      <w:r>
        <w:rPr>
          <w:snapToGrid w:val="0"/>
        </w:rPr>
        <w:tab/>
        <w:t>Powers of inspectors, etc.</w:t>
      </w:r>
      <w:r>
        <w:tab/>
      </w:r>
      <w:r>
        <w:fldChar w:fldCharType="begin"/>
      </w:r>
      <w:r>
        <w:instrText xml:space="preserve"> PAGEREF _Toc524299962 \h </w:instrText>
      </w:r>
      <w:r>
        <w:fldChar w:fldCharType="separate"/>
      </w:r>
      <w:r>
        <w:t>36</w:t>
      </w:r>
      <w:r>
        <w:fldChar w:fldCharType="end"/>
      </w:r>
    </w:p>
    <w:p>
      <w:pPr>
        <w:pStyle w:val="TOC8"/>
        <w:rPr>
          <w:rFonts w:asciiTheme="minorHAnsi" w:eastAsiaTheme="minorEastAsia" w:hAnsiTheme="minorHAnsi" w:cstheme="minorBidi"/>
          <w:szCs w:val="22"/>
          <w:lang w:eastAsia="en-AU"/>
        </w:rPr>
      </w:pPr>
      <w:r>
        <w:t>64</w:t>
      </w:r>
      <w:r>
        <w:rPr>
          <w:snapToGrid w:val="0"/>
        </w:rPr>
        <w:t>.</w:t>
      </w:r>
      <w:r>
        <w:rPr>
          <w:snapToGrid w:val="0"/>
        </w:rPr>
        <w:tab/>
        <w:t>Duty of police officers etc.</w:t>
      </w:r>
      <w:r>
        <w:tab/>
      </w:r>
      <w:r>
        <w:fldChar w:fldCharType="begin"/>
      </w:r>
      <w:r>
        <w:instrText xml:space="preserve"> PAGEREF _Toc524299963 \h </w:instrText>
      </w:r>
      <w:r>
        <w:fldChar w:fldCharType="separate"/>
      </w:r>
      <w:r>
        <w:t>39</w:t>
      </w:r>
      <w:r>
        <w:fldChar w:fldCharType="end"/>
      </w:r>
    </w:p>
    <w:p>
      <w:pPr>
        <w:pStyle w:val="TOC8"/>
        <w:rPr>
          <w:rFonts w:asciiTheme="minorHAnsi" w:eastAsiaTheme="minorEastAsia" w:hAnsiTheme="minorHAnsi" w:cstheme="minorBidi"/>
          <w:szCs w:val="22"/>
          <w:lang w:eastAsia="en-AU"/>
        </w:rPr>
      </w:pPr>
      <w:r>
        <w:t>65</w:t>
      </w:r>
      <w:r>
        <w:rPr>
          <w:snapToGrid w:val="0"/>
        </w:rPr>
        <w:t>.</w:t>
      </w:r>
      <w:r>
        <w:rPr>
          <w:snapToGrid w:val="0"/>
        </w:rPr>
        <w:tab/>
        <w:t>Persons obstructing execution of this Act</w:t>
      </w:r>
      <w:r>
        <w:tab/>
      </w:r>
      <w:r>
        <w:fldChar w:fldCharType="begin"/>
      </w:r>
      <w:r>
        <w:instrText xml:space="preserve"> PAGEREF _Toc524299964 \h </w:instrText>
      </w:r>
      <w:r>
        <w:fldChar w:fldCharType="separate"/>
      </w:r>
      <w:r>
        <w:t>39</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General offence and procedural provisions</w:t>
      </w:r>
    </w:p>
    <w:p>
      <w:pPr>
        <w:pStyle w:val="TOC8"/>
        <w:rPr>
          <w:rFonts w:asciiTheme="minorHAnsi" w:eastAsiaTheme="minorEastAsia" w:hAnsiTheme="minorHAnsi" w:cstheme="minorBidi"/>
          <w:szCs w:val="22"/>
          <w:lang w:eastAsia="en-AU"/>
        </w:rPr>
      </w:pPr>
      <w:r>
        <w:t>68</w:t>
      </w:r>
      <w:r>
        <w:rPr>
          <w:snapToGrid w:val="0"/>
        </w:rPr>
        <w:t>.</w:t>
      </w:r>
      <w:r>
        <w:rPr>
          <w:snapToGrid w:val="0"/>
        </w:rPr>
        <w:tab/>
        <w:t>Prosecution expenses</w:t>
      </w:r>
      <w:r>
        <w:tab/>
      </w:r>
      <w:r>
        <w:fldChar w:fldCharType="begin"/>
      </w:r>
      <w:r>
        <w:instrText xml:space="preserve"> PAGEREF _Toc524299966 \h </w:instrText>
      </w:r>
      <w:r>
        <w:fldChar w:fldCharType="separate"/>
      </w:r>
      <w:r>
        <w:t>39</w:t>
      </w:r>
      <w:r>
        <w:fldChar w:fldCharType="end"/>
      </w:r>
    </w:p>
    <w:p>
      <w:pPr>
        <w:pStyle w:val="TOC8"/>
        <w:rPr>
          <w:rFonts w:asciiTheme="minorHAnsi" w:eastAsiaTheme="minorEastAsia" w:hAnsiTheme="minorHAnsi" w:cstheme="minorBidi"/>
          <w:szCs w:val="22"/>
          <w:lang w:eastAsia="en-AU"/>
        </w:rPr>
      </w:pPr>
      <w:r>
        <w:t>69</w:t>
      </w:r>
      <w:r>
        <w:rPr>
          <w:snapToGrid w:val="0"/>
        </w:rPr>
        <w:t>.</w:t>
      </w:r>
      <w:r>
        <w:rPr>
          <w:snapToGrid w:val="0"/>
        </w:rPr>
        <w:tab/>
        <w:t>Offences generally</w:t>
      </w:r>
      <w:r>
        <w:tab/>
      </w:r>
      <w:r>
        <w:fldChar w:fldCharType="begin"/>
      </w:r>
      <w:r>
        <w:instrText xml:space="preserve"> PAGEREF _Toc524299967 \h </w:instrText>
      </w:r>
      <w:r>
        <w:fldChar w:fldCharType="separate"/>
      </w:r>
      <w:r>
        <w:t>40</w:t>
      </w:r>
      <w:r>
        <w:fldChar w:fldCharType="end"/>
      </w:r>
    </w:p>
    <w:p>
      <w:pPr>
        <w:pStyle w:val="TOC8"/>
        <w:rPr>
          <w:rFonts w:asciiTheme="minorHAnsi" w:eastAsiaTheme="minorEastAsia" w:hAnsiTheme="minorHAnsi" w:cstheme="minorBidi"/>
          <w:szCs w:val="22"/>
          <w:lang w:eastAsia="en-AU"/>
        </w:rPr>
      </w:pPr>
      <w:r>
        <w:t>70</w:t>
      </w:r>
      <w:r>
        <w:rPr>
          <w:snapToGrid w:val="0"/>
        </w:rPr>
        <w:t>.</w:t>
      </w:r>
      <w:r>
        <w:rPr>
          <w:snapToGrid w:val="0"/>
        </w:rPr>
        <w:tab/>
        <w:t>General penalty</w:t>
      </w:r>
      <w:r>
        <w:tab/>
      </w:r>
      <w:r>
        <w:fldChar w:fldCharType="begin"/>
      </w:r>
      <w:r>
        <w:instrText xml:space="preserve"> PAGEREF _Toc524299968 \h </w:instrText>
      </w:r>
      <w:r>
        <w:fldChar w:fldCharType="separate"/>
      </w:r>
      <w:r>
        <w:t>40</w:t>
      </w:r>
      <w:r>
        <w:fldChar w:fldCharType="end"/>
      </w:r>
    </w:p>
    <w:p>
      <w:pPr>
        <w:pStyle w:val="TOC8"/>
        <w:rPr>
          <w:rFonts w:asciiTheme="minorHAnsi" w:eastAsiaTheme="minorEastAsia" w:hAnsiTheme="minorHAnsi" w:cstheme="minorBidi"/>
          <w:szCs w:val="22"/>
          <w:lang w:eastAsia="en-AU"/>
        </w:rPr>
      </w:pPr>
      <w:r>
        <w:t>71</w:t>
      </w:r>
      <w:r>
        <w:rPr>
          <w:snapToGrid w:val="0"/>
        </w:rPr>
        <w:t>.</w:t>
      </w:r>
      <w:r>
        <w:rPr>
          <w:snapToGrid w:val="0"/>
        </w:rPr>
        <w:tab/>
        <w:t>Proceedings</w:t>
      </w:r>
      <w:r>
        <w:tab/>
      </w:r>
      <w:r>
        <w:fldChar w:fldCharType="begin"/>
      </w:r>
      <w:r>
        <w:instrText xml:space="preserve"> PAGEREF _Toc524299969 \h </w:instrText>
      </w:r>
      <w:r>
        <w:fldChar w:fldCharType="separate"/>
      </w:r>
      <w:r>
        <w:t>41</w:t>
      </w:r>
      <w:r>
        <w:fldChar w:fldCharType="end"/>
      </w:r>
    </w:p>
    <w:p>
      <w:pPr>
        <w:pStyle w:val="TOC8"/>
        <w:rPr>
          <w:rFonts w:asciiTheme="minorHAnsi" w:eastAsiaTheme="minorEastAsia" w:hAnsiTheme="minorHAnsi" w:cstheme="minorBidi"/>
          <w:szCs w:val="22"/>
          <w:lang w:eastAsia="en-AU"/>
        </w:rPr>
      </w:pPr>
      <w:r>
        <w:t>72</w:t>
      </w:r>
      <w:r>
        <w:rPr>
          <w:snapToGrid w:val="0"/>
        </w:rPr>
        <w:t>.</w:t>
      </w:r>
      <w:r>
        <w:rPr>
          <w:snapToGrid w:val="0"/>
        </w:rPr>
        <w:tab/>
        <w:t>Liability for the acts of others, etc.</w:t>
      </w:r>
      <w:r>
        <w:tab/>
      </w:r>
      <w:r>
        <w:fldChar w:fldCharType="begin"/>
      </w:r>
      <w:r>
        <w:instrText xml:space="preserve"> PAGEREF _Toc524299970 \h </w:instrText>
      </w:r>
      <w:r>
        <w:fldChar w:fldCharType="separate"/>
      </w:r>
      <w:r>
        <w:t>41</w:t>
      </w:r>
      <w:r>
        <w:fldChar w:fldCharType="end"/>
      </w:r>
    </w:p>
    <w:p>
      <w:pPr>
        <w:pStyle w:val="TOC8"/>
        <w:rPr>
          <w:rFonts w:asciiTheme="minorHAnsi" w:eastAsiaTheme="minorEastAsia" w:hAnsiTheme="minorHAnsi" w:cstheme="minorBidi"/>
          <w:szCs w:val="22"/>
          <w:lang w:eastAsia="en-AU"/>
        </w:rPr>
      </w:pPr>
      <w:r>
        <w:t>73</w:t>
      </w:r>
      <w:r>
        <w:rPr>
          <w:snapToGrid w:val="0"/>
        </w:rPr>
        <w:t>.</w:t>
      </w:r>
      <w:r>
        <w:rPr>
          <w:snapToGrid w:val="0"/>
        </w:rPr>
        <w:tab/>
        <w:t>Offences by bodies corporate</w:t>
      </w:r>
      <w:r>
        <w:tab/>
      </w:r>
      <w:r>
        <w:fldChar w:fldCharType="begin"/>
      </w:r>
      <w:r>
        <w:instrText xml:space="preserve"> PAGEREF _Toc524299971 \h </w:instrText>
      </w:r>
      <w:r>
        <w:fldChar w:fldCharType="separate"/>
      </w:r>
      <w:r>
        <w:t>42</w:t>
      </w:r>
      <w:r>
        <w:fldChar w:fldCharType="end"/>
      </w:r>
    </w:p>
    <w:p>
      <w:pPr>
        <w:pStyle w:val="TOC8"/>
        <w:rPr>
          <w:rFonts w:asciiTheme="minorHAnsi" w:eastAsiaTheme="minorEastAsia" w:hAnsiTheme="minorHAnsi" w:cstheme="minorBidi"/>
          <w:szCs w:val="22"/>
          <w:lang w:eastAsia="en-AU"/>
        </w:rPr>
      </w:pPr>
      <w:r>
        <w:t>74</w:t>
      </w:r>
      <w:r>
        <w:rPr>
          <w:snapToGrid w:val="0"/>
        </w:rPr>
        <w:t>.</w:t>
      </w:r>
      <w:r>
        <w:rPr>
          <w:snapToGrid w:val="0"/>
        </w:rPr>
        <w:tab/>
        <w:t>Recovery of penalty and costs paid</w:t>
      </w:r>
      <w:r>
        <w:tab/>
      </w:r>
      <w:r>
        <w:fldChar w:fldCharType="begin"/>
      </w:r>
      <w:r>
        <w:instrText xml:space="preserve"> PAGEREF _Toc524299972 \h </w:instrText>
      </w:r>
      <w:r>
        <w:fldChar w:fldCharType="separate"/>
      </w:r>
      <w:r>
        <w:t>43</w:t>
      </w:r>
      <w:r>
        <w:fldChar w:fldCharType="end"/>
      </w:r>
    </w:p>
    <w:p>
      <w:pPr>
        <w:pStyle w:val="TOC8"/>
        <w:rPr>
          <w:rFonts w:asciiTheme="minorHAnsi" w:eastAsiaTheme="minorEastAsia" w:hAnsiTheme="minorHAnsi" w:cstheme="minorBidi"/>
          <w:szCs w:val="22"/>
          <w:lang w:eastAsia="en-AU"/>
        </w:rPr>
      </w:pPr>
      <w:r>
        <w:t>75</w:t>
      </w:r>
      <w:r>
        <w:rPr>
          <w:snapToGrid w:val="0"/>
        </w:rPr>
        <w:t>.</w:t>
      </w:r>
      <w:r>
        <w:rPr>
          <w:snapToGrid w:val="0"/>
        </w:rPr>
        <w:tab/>
        <w:t>Evidentiary provisions</w:t>
      </w:r>
      <w:r>
        <w:tab/>
      </w:r>
      <w:r>
        <w:fldChar w:fldCharType="begin"/>
      </w:r>
      <w:r>
        <w:instrText xml:space="preserve"> PAGEREF _Toc524299973 \h </w:instrText>
      </w:r>
      <w:r>
        <w:fldChar w:fldCharType="separate"/>
      </w:r>
      <w:r>
        <w:t>43</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 — Administrative provisions</w:t>
      </w:r>
    </w:p>
    <w:p>
      <w:pPr>
        <w:pStyle w:val="TOC8"/>
        <w:rPr>
          <w:rFonts w:asciiTheme="minorHAnsi" w:eastAsiaTheme="minorEastAsia" w:hAnsiTheme="minorHAnsi" w:cstheme="minorBidi"/>
          <w:szCs w:val="22"/>
          <w:lang w:eastAsia="en-AU"/>
        </w:rPr>
      </w:pPr>
      <w:r>
        <w:t>76.</w:t>
      </w:r>
      <w:r>
        <w:tab/>
        <w:t>Delegation by the Minister</w:t>
      </w:r>
      <w:r>
        <w:tab/>
      </w:r>
      <w:r>
        <w:fldChar w:fldCharType="begin"/>
      </w:r>
      <w:r>
        <w:instrText xml:space="preserve"> PAGEREF _Toc524299975 \h </w:instrText>
      </w:r>
      <w:r>
        <w:fldChar w:fldCharType="separate"/>
      </w:r>
      <w:r>
        <w:t>46</w:t>
      </w:r>
      <w:r>
        <w:fldChar w:fldCharType="end"/>
      </w:r>
    </w:p>
    <w:p>
      <w:pPr>
        <w:pStyle w:val="TOC8"/>
        <w:rPr>
          <w:rFonts w:asciiTheme="minorHAnsi" w:eastAsiaTheme="minorEastAsia" w:hAnsiTheme="minorHAnsi" w:cstheme="minorBidi"/>
          <w:szCs w:val="22"/>
          <w:lang w:eastAsia="en-AU"/>
        </w:rPr>
      </w:pPr>
      <w:r>
        <w:t>77.</w:t>
      </w:r>
      <w:r>
        <w:tab/>
        <w:t>Delegation by the CEO</w:t>
      </w:r>
      <w:r>
        <w:tab/>
      </w:r>
      <w:r>
        <w:fldChar w:fldCharType="begin"/>
      </w:r>
      <w:r>
        <w:instrText xml:space="preserve"> PAGEREF _Toc524299976 \h </w:instrText>
      </w:r>
      <w:r>
        <w:fldChar w:fldCharType="separate"/>
      </w:r>
      <w:r>
        <w:t>47</w:t>
      </w:r>
      <w:r>
        <w:fldChar w:fldCharType="end"/>
      </w:r>
    </w:p>
    <w:p>
      <w:pPr>
        <w:pStyle w:val="TOC8"/>
        <w:rPr>
          <w:rFonts w:asciiTheme="minorHAnsi" w:eastAsiaTheme="minorEastAsia" w:hAnsiTheme="minorHAnsi" w:cstheme="minorBidi"/>
          <w:szCs w:val="22"/>
          <w:lang w:eastAsia="en-AU"/>
        </w:rPr>
      </w:pPr>
      <w:r>
        <w:t>78.</w:t>
      </w:r>
      <w:r>
        <w:tab/>
        <w:t>Public consultation</w:t>
      </w:r>
      <w:r>
        <w:tab/>
      </w:r>
      <w:r>
        <w:fldChar w:fldCharType="begin"/>
      </w:r>
      <w:r>
        <w:instrText xml:space="preserve"> PAGEREF _Toc524299977 \h </w:instrText>
      </w:r>
      <w:r>
        <w:fldChar w:fldCharType="separate"/>
      </w:r>
      <w:r>
        <w:t>48</w:t>
      </w:r>
      <w:r>
        <w:fldChar w:fldCharType="end"/>
      </w:r>
    </w:p>
    <w:p>
      <w:pPr>
        <w:pStyle w:val="TOC8"/>
        <w:rPr>
          <w:rFonts w:asciiTheme="minorHAnsi" w:eastAsiaTheme="minorEastAsia" w:hAnsiTheme="minorHAnsi" w:cstheme="minorBidi"/>
          <w:szCs w:val="22"/>
          <w:lang w:eastAsia="en-AU"/>
        </w:rPr>
      </w:pPr>
      <w:r>
        <w:t>79.</w:t>
      </w:r>
      <w:r>
        <w:tab/>
        <w:t>Information officially obtained to be confidential</w:t>
      </w:r>
      <w:r>
        <w:tab/>
      </w:r>
      <w:r>
        <w:fldChar w:fldCharType="begin"/>
      </w:r>
      <w:r>
        <w:instrText xml:space="preserve"> PAGEREF _Toc524299978 \h </w:instrText>
      </w:r>
      <w:r>
        <w:fldChar w:fldCharType="separate"/>
      </w:r>
      <w:r>
        <w:t>49</w:t>
      </w:r>
      <w:r>
        <w:fldChar w:fldCharType="end"/>
      </w:r>
    </w:p>
    <w:p>
      <w:pPr>
        <w:pStyle w:val="TOC8"/>
        <w:rPr>
          <w:rFonts w:asciiTheme="minorHAnsi" w:eastAsiaTheme="minorEastAsia" w:hAnsiTheme="minorHAnsi" w:cstheme="minorBidi"/>
          <w:szCs w:val="22"/>
          <w:lang w:eastAsia="en-AU"/>
        </w:rPr>
      </w:pPr>
      <w:r>
        <w:t>80.</w:t>
      </w:r>
      <w:r>
        <w:tab/>
        <w:t>Annual reports</w:t>
      </w:r>
      <w:r>
        <w:tab/>
      </w:r>
      <w:r>
        <w:fldChar w:fldCharType="begin"/>
      </w:r>
      <w:r>
        <w:instrText xml:space="preserve"> PAGEREF _Toc524299979 \h </w:instrText>
      </w:r>
      <w:r>
        <w:fldChar w:fldCharType="separate"/>
      </w:r>
      <w:r>
        <w:t>50</w:t>
      </w:r>
      <w:r>
        <w:fldChar w:fldCharType="end"/>
      </w:r>
    </w:p>
    <w:p>
      <w:pPr>
        <w:pStyle w:val="TOC8"/>
        <w:rPr>
          <w:rFonts w:asciiTheme="minorHAnsi" w:eastAsiaTheme="minorEastAsia" w:hAnsiTheme="minorHAnsi" w:cstheme="minorBidi"/>
          <w:szCs w:val="22"/>
          <w:lang w:eastAsia="en-AU"/>
        </w:rPr>
      </w:pPr>
      <w:r>
        <w:t>81.</w:t>
      </w:r>
      <w:r>
        <w:tab/>
        <w:t>Protection from liability for wrongdoing</w:t>
      </w:r>
      <w:r>
        <w:tab/>
      </w:r>
      <w:r>
        <w:fldChar w:fldCharType="begin"/>
      </w:r>
      <w:r>
        <w:instrText xml:space="preserve"> PAGEREF _Toc524299980 \h </w:instrText>
      </w:r>
      <w:r>
        <w:fldChar w:fldCharType="separate"/>
      </w:r>
      <w:r>
        <w:t>51</w:t>
      </w:r>
      <w:r>
        <w:fldChar w:fldCharType="end"/>
      </w:r>
    </w:p>
    <w:p>
      <w:pPr>
        <w:pStyle w:val="TOC8"/>
        <w:rPr>
          <w:rFonts w:asciiTheme="minorHAnsi" w:eastAsiaTheme="minorEastAsia" w:hAnsiTheme="minorHAnsi" w:cstheme="minorBidi"/>
          <w:szCs w:val="22"/>
          <w:lang w:eastAsia="en-AU"/>
        </w:rPr>
      </w:pPr>
      <w:r>
        <w:t>82</w:t>
      </w:r>
      <w:r>
        <w:rPr>
          <w:snapToGrid w:val="0"/>
        </w:rPr>
        <w:t>.</w:t>
      </w:r>
      <w:r>
        <w:rPr>
          <w:snapToGrid w:val="0"/>
        </w:rPr>
        <w:tab/>
        <w:t>Regulations</w:t>
      </w:r>
      <w:r>
        <w:tab/>
      </w:r>
      <w:r>
        <w:fldChar w:fldCharType="begin"/>
      </w:r>
      <w:r>
        <w:instrText xml:space="preserve"> PAGEREF _Toc524299981 \h </w:instrText>
      </w:r>
      <w:r>
        <w:fldChar w:fldCharType="separate"/>
      </w:r>
      <w:r>
        <w:t>51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rPr>
          <w:snapToGrid w:val="0"/>
        </w:rPr>
        <w:t>Compilation table</w:t>
      </w:r>
      <w:r>
        <w:tab/>
      </w:r>
      <w:r>
        <w:fldChar w:fldCharType="begin"/>
      </w:r>
      <w:r>
        <w:instrText xml:space="preserve"> PAGEREF _Toc524299983 \h </w:instrText>
      </w:r>
      <w:r>
        <w:fldChar w:fldCharType="separate"/>
      </w:r>
      <w:r>
        <w:t>53</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600"/>
      </w:pPr>
      <w:r>
        <w:t xml:space="preserve">Waterways Conservation Act 1976 </w:t>
      </w:r>
    </w:p>
    <w:p>
      <w:pPr>
        <w:pStyle w:val="LongTitle"/>
        <w:rPr>
          <w:snapToGrid w:val="0"/>
        </w:rPr>
      </w:pPr>
      <w:r>
        <w:rPr>
          <w:snapToGrid w:val="0"/>
        </w:rPr>
        <w:t xml:space="preserve">An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by No. 73 of 1995 s. 165; No. 38 of 2007 s. 141.] </w:t>
      </w:r>
    </w:p>
    <w:p>
      <w:pPr>
        <w:pStyle w:val="Heading2"/>
      </w:pPr>
      <w:bookmarkStart w:id="1" w:name="_Toc189884078"/>
      <w:bookmarkStart w:id="2" w:name="_Toc524299920"/>
      <w:r>
        <w:rPr>
          <w:rStyle w:val="CharPartNo"/>
        </w:rPr>
        <w:t>Part 1</w:t>
      </w:r>
      <w:r>
        <w:rPr>
          <w:b w:val="0"/>
        </w:rPr>
        <w:t> </w:t>
      </w:r>
      <w:r>
        <w:t>—</w:t>
      </w:r>
      <w:r>
        <w:rPr>
          <w:b w:val="0"/>
        </w:rPr>
        <w:t> </w:t>
      </w:r>
      <w:r>
        <w:rPr>
          <w:rStyle w:val="CharPartText"/>
        </w:rPr>
        <w:t>Preliminary</w:t>
      </w:r>
      <w:bookmarkEnd w:id="1"/>
      <w:bookmarkEnd w:id="2"/>
    </w:p>
    <w:p>
      <w:pPr>
        <w:pStyle w:val="Footnoteheading"/>
      </w:pPr>
      <w:r>
        <w:tab/>
        <w:t>[Heading inserted by No. 38 of 2007 s. 142.]</w:t>
      </w:r>
    </w:p>
    <w:p>
      <w:pPr>
        <w:pStyle w:val="Heading5"/>
        <w:spacing w:before="240"/>
        <w:rPr>
          <w:snapToGrid w:val="0"/>
        </w:rPr>
      </w:pPr>
      <w:bookmarkStart w:id="3" w:name="_Toc524299921"/>
      <w:r>
        <w:rPr>
          <w:rStyle w:val="CharSectno"/>
        </w:rPr>
        <w:t>1</w:t>
      </w:r>
      <w:r>
        <w:rPr>
          <w:snapToGrid w:val="0"/>
        </w:rPr>
        <w:t>.</w:t>
      </w:r>
      <w:r>
        <w:rPr>
          <w:snapToGrid w:val="0"/>
        </w:rPr>
        <w:tab/>
        <w:t>Short title</w:t>
      </w:r>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spacing w:before="240"/>
        <w:rPr>
          <w:snapToGrid w:val="0"/>
        </w:rPr>
      </w:pPr>
      <w:bookmarkStart w:id="4" w:name="_Toc524299922"/>
      <w:r>
        <w:rPr>
          <w:rStyle w:val="CharSectno"/>
        </w:rPr>
        <w:t>2</w:t>
      </w:r>
      <w:r>
        <w:rPr>
          <w:snapToGrid w:val="0"/>
        </w:rPr>
        <w:t>.</w:t>
      </w:r>
      <w:r>
        <w:rPr>
          <w:snapToGrid w:val="0"/>
        </w:rPr>
        <w:tab/>
        <w:t>Commencement</w:t>
      </w:r>
      <w:bookmarkEnd w:id="4"/>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40"/>
        <w:rPr>
          <w:snapToGrid w:val="0"/>
        </w:rPr>
      </w:pPr>
      <w:bookmarkStart w:id="5" w:name="_Toc524299923"/>
      <w:r>
        <w:rPr>
          <w:rStyle w:val="CharSectno"/>
        </w:rPr>
        <w:t>3</w:t>
      </w:r>
      <w:r>
        <w:rPr>
          <w:snapToGrid w:val="0"/>
        </w:rPr>
        <w:t>.</w:t>
      </w:r>
      <w:r>
        <w:rPr>
          <w:snapToGrid w:val="0"/>
        </w:rPr>
        <w:tab/>
        <w:t>Terms used in this Act</w:t>
      </w:r>
      <w:bookmarkEnd w:id="5"/>
    </w:p>
    <w:p>
      <w:pPr>
        <w:pStyle w:val="Subsection"/>
        <w:spacing w:before="180"/>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spacing w:before="90"/>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spacing w:before="90"/>
      </w:pPr>
      <w:r>
        <w:rPr>
          <w:b/>
        </w:rPr>
        <w:tab/>
      </w:r>
      <w:r>
        <w:rPr>
          <w:rStyle w:val="CharDefText"/>
        </w:rPr>
        <w:t>function</w:t>
      </w:r>
      <w:r>
        <w:t xml:space="preserve"> means powers and duties, and includes rights, benefits and obligations;</w:t>
      </w:r>
    </w:p>
    <w:p>
      <w:pPr>
        <w:pStyle w:val="Defstart"/>
        <w:spacing w:before="90"/>
      </w:pPr>
      <w:r>
        <w:rPr>
          <w:b/>
        </w:rPr>
        <w:tab/>
      </w:r>
      <w:r>
        <w:rPr>
          <w:rStyle w:val="CharDefText"/>
        </w:rPr>
        <w:t>honorary warden</w:t>
      </w:r>
      <w:r>
        <w:t xml:space="preserve"> means a person appointed to that office pursuant to section 62;</w:t>
      </w:r>
    </w:p>
    <w:p>
      <w:pPr>
        <w:pStyle w:val="Defstart"/>
        <w:spacing w:before="90"/>
      </w:pPr>
      <w:r>
        <w:rPr>
          <w:b/>
        </w:rPr>
        <w:tab/>
      </w:r>
      <w:r>
        <w:rPr>
          <w:rStyle w:val="CharDefText"/>
        </w:rPr>
        <w:t>industrial</w:t>
      </w:r>
      <w:r>
        <w:t xml:space="preserve"> includes any producing, manufacturing, or processing operation;</w:t>
      </w:r>
    </w:p>
    <w:p>
      <w:pPr>
        <w:pStyle w:val="Defstart"/>
        <w:spacing w:before="90"/>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spacing w:before="90"/>
        <w:rPr>
          <w:b/>
        </w:rPr>
      </w:pPr>
      <w:r>
        <w:rPr>
          <w:b/>
        </w:rPr>
        <w:tab/>
      </w:r>
      <w:r>
        <w:rPr>
          <w:rStyle w:val="CharDefText"/>
        </w:rPr>
        <w:t>management area</w:t>
      </w:r>
      <w:r>
        <w:t xml:space="preserve"> means an area of the State declared to be a management area for the purposes of this Act pursuant to section 10;</w:t>
      </w:r>
    </w:p>
    <w:p>
      <w:pPr>
        <w:pStyle w:val="Defstart"/>
        <w:spacing w:before="90"/>
      </w:pPr>
      <w:r>
        <w:rPr>
          <w:b/>
        </w:rPr>
        <w:tab/>
      </w:r>
      <w:r>
        <w:rPr>
          <w:rStyle w:val="CharDefText"/>
        </w:rPr>
        <w:t>management programme</w:t>
      </w:r>
      <w:r>
        <w:t xml:space="preserve"> means a programme of operations prepared pursuant to section 35;</w:t>
      </w:r>
    </w:p>
    <w:p>
      <w:pPr>
        <w:pStyle w:val="Defstart"/>
        <w:spacing w:before="90"/>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spacing w:before="90"/>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spacing w:before="90"/>
      </w:pPr>
      <w:r>
        <w:rPr>
          <w:b/>
        </w:rPr>
        <w:tab/>
      </w:r>
      <w:r>
        <w:rPr>
          <w:rStyle w:val="CharDefText"/>
        </w:rPr>
        <w:t>section</w:t>
      </w:r>
      <w:r>
        <w:t xml:space="preserve"> means section of this Act;</w:t>
      </w:r>
    </w:p>
    <w:p>
      <w:pPr>
        <w:pStyle w:val="Defstart"/>
        <w:spacing w:before="90"/>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feculant</w:t>
      </w:r>
      <w:bookmarkStart w:id="6" w:name="UpToHere"/>
      <w:bookmarkEnd w:id="6"/>
      <w:r>
        <w:t xml:space="preserve"> matter;</w:t>
      </w:r>
    </w:p>
    <w:p>
      <w:pPr>
        <w:pStyle w:val="Defstart"/>
        <w:spacing w:before="90"/>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spacing w:before="90"/>
      </w:pPr>
      <w:r>
        <w:rPr>
          <w:b/>
        </w:rPr>
        <w:tab/>
      </w:r>
      <w:r>
        <w:rPr>
          <w:rStyle w:val="CharDefText"/>
        </w:rPr>
        <w:t>the former Board</w:t>
      </w:r>
      <w:r>
        <w:t xml:space="preserve"> means the Swan River Conservation Board constituted pursuant to the </w:t>
      </w:r>
      <w:r>
        <w:rPr>
          <w:i/>
        </w:rPr>
        <w:t>Swan River Conservation Act 1958</w:t>
      </w:r>
      <w:r>
        <w:t>;</w:t>
      </w:r>
    </w:p>
    <w:p>
      <w:pPr>
        <w:pStyle w:val="Defstart"/>
        <w:spacing w:before="90"/>
      </w:pPr>
      <w:r>
        <w:rPr>
          <w:b/>
        </w:rPr>
        <w:tab/>
      </w:r>
      <w:r>
        <w:rPr>
          <w:rStyle w:val="CharDefText"/>
        </w:rPr>
        <w:t>waste</w:t>
      </w:r>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keepLines/>
        <w:spacing w:before="90"/>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by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7" w:name="_Toc524299924"/>
      <w:r>
        <w:rPr>
          <w:rStyle w:val="CharSectno"/>
        </w:rPr>
        <w:t>4</w:t>
      </w:r>
      <w:r>
        <w:rPr>
          <w:snapToGrid w:val="0"/>
        </w:rPr>
        <w:t>.</w:t>
      </w:r>
      <w:r>
        <w:rPr>
          <w:snapToGrid w:val="0"/>
        </w:rPr>
        <w:tab/>
        <w:t>Repeal and transitional provisions</w:t>
      </w:r>
      <w:bookmarkEnd w:id="7"/>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spacing w:before="60"/>
        <w:ind w:left="890" w:hanging="890"/>
      </w:pPr>
      <w:r>
        <w:tab/>
        <w:t xml:space="preserve">[Section 4 amended by No. 21 of 1988 s. 24; No. 73 of 1995 s. 167.] </w:t>
      </w:r>
    </w:p>
    <w:p>
      <w:pPr>
        <w:pStyle w:val="Heading5"/>
        <w:rPr>
          <w:snapToGrid w:val="0"/>
        </w:rPr>
      </w:pPr>
      <w:bookmarkStart w:id="8" w:name="_Toc524299925"/>
      <w:r>
        <w:rPr>
          <w:rStyle w:val="CharSectno"/>
        </w:rPr>
        <w:t>5</w:t>
      </w:r>
      <w:r>
        <w:rPr>
          <w:snapToGrid w:val="0"/>
        </w:rPr>
        <w:t>.</w:t>
      </w:r>
      <w:r>
        <w:rPr>
          <w:snapToGrid w:val="0"/>
        </w:rPr>
        <w:tab/>
        <w:t>Construction of this Act</w:t>
      </w:r>
      <w:bookmarkEnd w:id="8"/>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w:t>
      </w:r>
    </w:p>
    <w:p>
      <w:pPr>
        <w:pStyle w:val="Indenta"/>
        <w:rPr>
          <w:snapToGrid w:val="0"/>
        </w:rPr>
      </w:pPr>
      <w:r>
        <w:rPr>
          <w:snapToGrid w:val="0"/>
        </w:rPr>
        <w:tab/>
        <w:t>(b)</w:t>
      </w:r>
      <w:r>
        <w:rPr>
          <w:snapToGrid w:val="0"/>
        </w:rPr>
        <w:tab/>
        <w:t xml:space="preserve">the </w:t>
      </w:r>
      <w:r>
        <w:rPr>
          <w:i/>
          <w:snapToGrid w:val="0"/>
        </w:rPr>
        <w:t>Health Act 1911</w:t>
      </w:r>
      <w:r>
        <w:rPr>
          <w:snapToGrid w:val="0"/>
        </w:rPr>
        <w:t>;</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w:t>
      </w:r>
    </w:p>
    <w:p>
      <w:pPr>
        <w:pStyle w:val="Indenta"/>
        <w:rPr>
          <w:snapToGrid w:val="0"/>
        </w:rPr>
      </w:pPr>
      <w:r>
        <w:rPr>
          <w:snapToGrid w:val="0"/>
        </w:rPr>
        <w:tab/>
        <w:t>(d)</w:t>
      </w:r>
      <w:r>
        <w:rPr>
          <w:snapToGrid w:val="0"/>
        </w:rPr>
        <w:tab/>
        <w:t>any Act for the time being providing for the conservation of wildlife or indigenous flora;</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w:t>
      </w:r>
    </w:p>
    <w:p>
      <w:pPr>
        <w:pStyle w:val="Indenta"/>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 ,</w:t>
      </w:r>
    </w:p>
    <w:p>
      <w:pPr>
        <w:pStyle w:val="Subsection"/>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keepNext/>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pPr>
      <w:r>
        <w:tab/>
        <w:t xml:space="preserve">[Section 5 amended by No. 77 of 1986 s. 37; No. 14 of 1996 s. 4; No. 31 of 1997 s. 141; No. 35 of 2007 s. 108; No. 38 of 2007 s. 144 and 188.] </w:t>
      </w:r>
    </w:p>
    <w:p>
      <w:pPr>
        <w:pStyle w:val="Heading5"/>
        <w:rPr>
          <w:snapToGrid w:val="0"/>
        </w:rPr>
      </w:pPr>
      <w:bookmarkStart w:id="9" w:name="_Toc524299926"/>
      <w:r>
        <w:rPr>
          <w:rStyle w:val="CharSectno"/>
        </w:rPr>
        <w:t>6</w:t>
      </w:r>
      <w:r>
        <w:rPr>
          <w:snapToGrid w:val="0"/>
        </w:rPr>
        <w:t>.</w:t>
      </w:r>
      <w:r>
        <w:rPr>
          <w:snapToGrid w:val="0"/>
        </w:rPr>
        <w:tab/>
        <w:t>Crown bound</w:t>
      </w:r>
      <w:bookmarkEnd w:id="9"/>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0" w:name="_Toc524299927"/>
      <w:r>
        <w:rPr>
          <w:rStyle w:val="CharSectno"/>
        </w:rPr>
        <w:t>7</w:t>
      </w:r>
      <w:r>
        <w:rPr>
          <w:snapToGrid w:val="0"/>
        </w:rPr>
        <w:t>.</w:t>
      </w:r>
      <w:r>
        <w:rPr>
          <w:snapToGrid w:val="0"/>
        </w:rPr>
        <w:tab/>
        <w:t>Saving of rights at law</w:t>
      </w:r>
      <w:bookmarkEnd w:id="10"/>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11" w:name="_Toc524299928"/>
      <w:r>
        <w:rPr>
          <w:rStyle w:val="CharSectno"/>
        </w:rPr>
        <w:t>8</w:t>
      </w:r>
      <w:r>
        <w:rPr>
          <w:snapToGrid w:val="0"/>
        </w:rPr>
        <w:t>.</w:t>
      </w:r>
      <w:r>
        <w:rPr>
          <w:snapToGrid w:val="0"/>
        </w:rPr>
        <w:tab/>
        <w:t>Exemptions</w:t>
      </w:r>
      <w:bookmarkEnd w:id="11"/>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w:t>
      </w:r>
    </w:p>
    <w:p>
      <w:pPr>
        <w:pStyle w:val="Indenta"/>
        <w:rPr>
          <w:snapToGrid w:val="0"/>
        </w:rPr>
      </w:pPr>
      <w:r>
        <w:rPr>
          <w:snapToGrid w:val="0"/>
        </w:rPr>
        <w:tab/>
        <w:t>(b)</w:t>
      </w:r>
      <w:r>
        <w:rPr>
          <w:snapToGrid w:val="0"/>
        </w:rPr>
        <w:tab/>
        <w:t>any premises, act or thing specified in the notice;</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by No. 38 of 2007 s. 145 and 188.]</w:t>
      </w:r>
    </w:p>
    <w:p>
      <w:pPr>
        <w:pStyle w:val="Heading2"/>
      </w:pPr>
      <w:bookmarkStart w:id="12" w:name="_Toc189884087"/>
      <w:bookmarkStart w:id="13" w:name="_Toc524299929"/>
      <w:r>
        <w:rPr>
          <w:rStyle w:val="CharPartNo"/>
        </w:rPr>
        <w:t>Part 2</w:t>
      </w:r>
      <w:r>
        <w:rPr>
          <w:b w:val="0"/>
        </w:rPr>
        <w:t> </w:t>
      </w:r>
      <w:r>
        <w:t>—</w:t>
      </w:r>
      <w:r>
        <w:rPr>
          <w:b w:val="0"/>
        </w:rPr>
        <w:t> </w:t>
      </w:r>
      <w:r>
        <w:rPr>
          <w:rStyle w:val="CharPartText"/>
        </w:rPr>
        <w:t>Application of the Act</w:t>
      </w:r>
      <w:bookmarkEnd w:id="12"/>
      <w:bookmarkEnd w:id="13"/>
    </w:p>
    <w:p>
      <w:pPr>
        <w:pStyle w:val="Footnoteheading"/>
      </w:pPr>
      <w:r>
        <w:tab/>
        <w:t>[Heading inserted by No. 38 of 2007 s. 146.]</w:t>
      </w:r>
    </w:p>
    <w:p>
      <w:pPr>
        <w:pStyle w:val="Heading5"/>
        <w:rPr>
          <w:snapToGrid w:val="0"/>
        </w:rPr>
      </w:pPr>
      <w:bookmarkStart w:id="14" w:name="_Toc524299930"/>
      <w:r>
        <w:rPr>
          <w:rStyle w:val="CharSectno"/>
        </w:rPr>
        <w:t>9</w:t>
      </w:r>
      <w:r>
        <w:rPr>
          <w:snapToGrid w:val="0"/>
        </w:rPr>
        <w:t>.</w:t>
      </w:r>
      <w:r>
        <w:rPr>
          <w:snapToGrid w:val="0"/>
        </w:rPr>
        <w:tab/>
        <w:t>Application</w:t>
      </w:r>
      <w:bookmarkEnd w:id="14"/>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by No. 21 of 1988 s. 25; No. 52 of 2006 s. 6; No. 38 of 2007 s. 147.] </w:t>
      </w:r>
    </w:p>
    <w:p>
      <w:pPr>
        <w:pStyle w:val="Heading5"/>
        <w:rPr>
          <w:snapToGrid w:val="0"/>
        </w:rPr>
      </w:pPr>
      <w:bookmarkStart w:id="15" w:name="_Toc524299931"/>
      <w:r>
        <w:rPr>
          <w:rStyle w:val="CharSectno"/>
        </w:rPr>
        <w:t>10</w:t>
      </w:r>
      <w:r>
        <w:rPr>
          <w:snapToGrid w:val="0"/>
        </w:rPr>
        <w:t>.</w:t>
      </w:r>
      <w:r>
        <w:rPr>
          <w:snapToGrid w:val="0"/>
        </w:rPr>
        <w:tab/>
        <w:t>Management areas</w:t>
      </w:r>
      <w:bookmarkEnd w:id="15"/>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 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by No. 97 of 1982 s. 3; No. 21 of 1988 s. 26; No. 73 of 1995 s. 168; No. 52 of 2006 s. 6; No. 38 of 2007 s. 148.] </w:t>
      </w:r>
    </w:p>
    <w:p>
      <w:pPr>
        <w:pStyle w:val="Heading2"/>
      </w:pPr>
      <w:bookmarkStart w:id="16" w:name="_Toc189884090"/>
      <w:bookmarkStart w:id="17" w:name="_Toc524299932"/>
      <w:r>
        <w:rPr>
          <w:rStyle w:val="CharPartNo"/>
        </w:rPr>
        <w:t>Part 3</w:t>
      </w:r>
      <w:r>
        <w:rPr>
          <w:b w:val="0"/>
        </w:rPr>
        <w:t> </w:t>
      </w:r>
      <w:r>
        <w:t>—</w:t>
      </w:r>
      <w:r>
        <w:rPr>
          <w:b w:val="0"/>
        </w:rPr>
        <w:t> </w:t>
      </w:r>
      <w:r>
        <w:rPr>
          <w:rStyle w:val="CharPartText"/>
        </w:rPr>
        <w:t>Functions of the Minister</w:t>
      </w:r>
      <w:bookmarkEnd w:id="16"/>
      <w:bookmarkEnd w:id="17"/>
    </w:p>
    <w:p>
      <w:pPr>
        <w:pStyle w:val="Footnoteheading"/>
      </w:pPr>
      <w:r>
        <w:tab/>
        <w:t>[Heading inserted by No. 38 of 2007 s. 149.]</w:t>
      </w:r>
    </w:p>
    <w:p>
      <w:pPr>
        <w:pStyle w:val="Heading5"/>
      </w:pPr>
      <w:bookmarkStart w:id="18" w:name="_Toc524299933"/>
      <w:r>
        <w:rPr>
          <w:rStyle w:val="CharSectno"/>
        </w:rPr>
        <w:t>11</w:t>
      </w:r>
      <w:r>
        <w:t>.</w:t>
      </w:r>
      <w:r>
        <w:tab/>
        <w:t>Functions of the Minister</w:t>
      </w:r>
      <w:bookmarkEnd w:id="18"/>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by No. 38 of 2007 s. 150.]</w:t>
      </w:r>
    </w:p>
    <w:p>
      <w:pPr>
        <w:pStyle w:val="Heading5"/>
      </w:pPr>
      <w:bookmarkStart w:id="19" w:name="_Toc524299934"/>
      <w:r>
        <w:rPr>
          <w:rStyle w:val="CharSectno"/>
        </w:rPr>
        <w:t>12</w:t>
      </w:r>
      <w:r>
        <w:t>.</w:t>
      </w:r>
      <w:r>
        <w:tab/>
        <w:t xml:space="preserve">Performance of the functions of the </w:t>
      </w:r>
      <w:r>
        <w:rPr>
          <w:snapToGrid w:val="0"/>
        </w:rPr>
        <w:t>Minister</w:t>
      </w:r>
      <w:bookmarkEnd w:id="19"/>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pPr>
      <w:r>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by No. 38 of 2007 s. 150.]</w:t>
      </w:r>
    </w:p>
    <w:p>
      <w:pPr>
        <w:pStyle w:val="Ednotesection"/>
      </w:pPr>
      <w:r>
        <w:t>[</w:t>
      </w:r>
      <w:r>
        <w:rPr>
          <w:b/>
        </w:rPr>
        <w:t>13.</w:t>
      </w:r>
      <w:r>
        <w:tab/>
        <w:t xml:space="preserve">Deleted by No. 73 of 1995 s. 170.] </w:t>
      </w:r>
    </w:p>
    <w:p>
      <w:pPr>
        <w:pStyle w:val="Ednotesection"/>
      </w:pPr>
      <w:r>
        <w:t>[</w:t>
      </w:r>
      <w:r>
        <w:rPr>
          <w:b/>
        </w:rPr>
        <w:t>14</w:t>
      </w:r>
      <w:r>
        <w:rPr>
          <w:b/>
        </w:rPr>
        <w:noBreakHyphen/>
        <w:t>29.</w:t>
      </w:r>
      <w:r>
        <w:tab/>
        <w:t xml:space="preserve">Deleted by No. 38 of 2007 s. 150.] </w:t>
      </w:r>
    </w:p>
    <w:p>
      <w:pPr>
        <w:pStyle w:val="Heading2"/>
      </w:pPr>
      <w:bookmarkStart w:id="20" w:name="_Toc189884093"/>
      <w:bookmarkStart w:id="21" w:name="_Toc524299935"/>
      <w:r>
        <w:rPr>
          <w:rStyle w:val="CharPartNo"/>
        </w:rPr>
        <w:t>Part 4</w:t>
      </w:r>
      <w:r>
        <w:rPr>
          <w:b w:val="0"/>
        </w:rPr>
        <w:t> </w:t>
      </w:r>
      <w:r>
        <w:t>—</w:t>
      </w:r>
      <w:r>
        <w:rPr>
          <w:b w:val="0"/>
        </w:rPr>
        <w:t> </w:t>
      </w:r>
      <w:r>
        <w:rPr>
          <w:rStyle w:val="CharPartText"/>
        </w:rPr>
        <w:t>Agreements, management programmes and consultation</w:t>
      </w:r>
      <w:bookmarkEnd w:id="20"/>
      <w:bookmarkEnd w:id="21"/>
    </w:p>
    <w:p>
      <w:pPr>
        <w:pStyle w:val="Footnoteheading"/>
      </w:pPr>
      <w:r>
        <w:tab/>
        <w:t>[Heading inserted by No. 38 of 2007 s. 151.]</w:t>
      </w:r>
    </w:p>
    <w:p>
      <w:pPr>
        <w:pStyle w:val="Heading5"/>
      </w:pPr>
      <w:bookmarkStart w:id="22" w:name="_Toc524299936"/>
      <w:r>
        <w:rPr>
          <w:rStyle w:val="CharSectno"/>
        </w:rPr>
        <w:t>30</w:t>
      </w:r>
      <w:r>
        <w:t>.</w:t>
      </w:r>
      <w:r>
        <w:tab/>
        <w:t>Covenants</w:t>
      </w:r>
      <w:bookmarkEnd w:id="22"/>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rPr>
          <w:rStyle w:val="CharSectno"/>
        </w:rPr>
      </w:pPr>
      <w:r>
        <w:tab/>
        <w:t>[Section 30 inserted by No. 38 of 2007 s. 151.]</w:t>
      </w:r>
    </w:p>
    <w:p>
      <w:pPr>
        <w:pStyle w:val="Heading5"/>
        <w:keepLines w:val="0"/>
        <w:spacing w:before="180"/>
        <w:rPr>
          <w:snapToGrid w:val="0"/>
        </w:rPr>
      </w:pPr>
      <w:bookmarkStart w:id="23" w:name="_Toc524299937"/>
      <w:r>
        <w:rPr>
          <w:rStyle w:val="CharSectno"/>
        </w:rPr>
        <w:t>31</w:t>
      </w:r>
      <w:r>
        <w:rPr>
          <w:snapToGrid w:val="0"/>
        </w:rPr>
        <w:t>.</w:t>
      </w:r>
      <w:r>
        <w:rPr>
          <w:snapToGrid w:val="0"/>
        </w:rPr>
        <w:tab/>
        <w:t>Agreements as to private land</w:t>
      </w:r>
      <w:bookmarkEnd w:id="23"/>
      <w:r>
        <w:rPr>
          <w:snapToGrid w:val="0"/>
        </w:rPr>
        <w:t xml:space="preserve"> </w:t>
      </w:r>
    </w:p>
    <w:p>
      <w:pPr>
        <w:pStyle w:val="Subsection"/>
        <w:keepNext/>
        <w:keepLines/>
        <w:widowControl w:val="0"/>
        <w:spacing w:before="12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spacing w:before="120"/>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by No. 38 of 2007 s. 152.]</w:t>
      </w:r>
    </w:p>
    <w:p>
      <w:pPr>
        <w:pStyle w:val="Heading5"/>
        <w:rPr>
          <w:snapToGrid w:val="0"/>
        </w:rPr>
      </w:pPr>
      <w:bookmarkStart w:id="24" w:name="_Toc524299938"/>
      <w:r>
        <w:rPr>
          <w:rStyle w:val="CharSectno"/>
        </w:rPr>
        <w:t>32</w:t>
      </w:r>
      <w:r>
        <w:rPr>
          <w:snapToGrid w:val="0"/>
        </w:rPr>
        <w:t>.</w:t>
      </w:r>
      <w:r>
        <w:rPr>
          <w:snapToGrid w:val="0"/>
        </w:rPr>
        <w:tab/>
        <w:t>Reserves may be placed under the control of the Minister</w:t>
      </w:r>
      <w:bookmarkEnd w:id="24"/>
    </w:p>
    <w:p>
      <w:pPr>
        <w:pStyle w:val="Subsection"/>
        <w:spacing w:before="120"/>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spacing w:before="120"/>
        <w:rPr>
          <w:snapToGrid w:val="0"/>
        </w:rPr>
      </w:pPr>
      <w:r>
        <w:rPr>
          <w:snapToGrid w:val="0"/>
        </w:rPr>
        <w:tab/>
        <w:t>(2)</w:t>
      </w:r>
      <w:r>
        <w:rPr>
          <w:snapToGrid w:val="0"/>
        </w:rPr>
        <w:tab/>
        <w:t>In relation to any land which is the subject of an order referred to in subsection (1) (</w:t>
      </w:r>
      <w:r>
        <w:rPr>
          <w:rStyle w:val="CharDefText"/>
        </w:rPr>
        <w:t>the 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pPr>
      <w:r>
        <w:tab/>
        <w:t xml:space="preserve">[Section 32 amended by No. 14 of 1996 s. 4; No. 31 of 1997 s. 139; No. 38 of 2007 s. 153.] </w:t>
      </w:r>
    </w:p>
    <w:p>
      <w:pPr>
        <w:pStyle w:val="Heading5"/>
        <w:rPr>
          <w:snapToGrid w:val="0"/>
        </w:rPr>
      </w:pPr>
      <w:bookmarkStart w:id="25" w:name="_Toc524299939"/>
      <w:r>
        <w:rPr>
          <w:rStyle w:val="CharSectno"/>
        </w:rPr>
        <w:t>33</w:t>
      </w:r>
      <w:r>
        <w:rPr>
          <w:snapToGrid w:val="0"/>
        </w:rPr>
        <w:t>.</w:t>
      </w:r>
      <w:r>
        <w:rPr>
          <w:snapToGrid w:val="0"/>
        </w:rPr>
        <w:tab/>
        <w:t>Local government consultations, and initiatives</w:t>
      </w:r>
      <w:bookmarkEnd w:id="25"/>
      <w:r>
        <w:rPr>
          <w:snapToGrid w:val="0"/>
        </w:rPr>
        <w:t xml:space="preserve"> </w:t>
      </w:r>
    </w:p>
    <w:p>
      <w:pPr>
        <w:pStyle w:val="Subsection"/>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pPr>
      <w:r>
        <w:tab/>
        <w:t xml:space="preserve">[Section 33 amended by No. 14 of 1996 s. 4; No. 38 of 2007 s. 154.] </w:t>
      </w:r>
    </w:p>
    <w:p>
      <w:pPr>
        <w:pStyle w:val="Ednotesection"/>
      </w:pPr>
      <w:r>
        <w:t>[</w:t>
      </w:r>
      <w:r>
        <w:rPr>
          <w:b/>
          <w:bCs/>
        </w:rPr>
        <w:t>34.</w:t>
      </w:r>
      <w:r>
        <w:tab/>
        <w:t>Deleted by No. 38 of 2007 s. 155.]</w:t>
      </w:r>
    </w:p>
    <w:p>
      <w:pPr>
        <w:pStyle w:val="Heading5"/>
        <w:spacing w:before="180"/>
        <w:rPr>
          <w:snapToGrid w:val="0"/>
        </w:rPr>
      </w:pPr>
      <w:bookmarkStart w:id="26" w:name="_Toc524299940"/>
      <w:r>
        <w:rPr>
          <w:rStyle w:val="CharSectno"/>
        </w:rPr>
        <w:t>35</w:t>
      </w:r>
      <w:r>
        <w:rPr>
          <w:snapToGrid w:val="0"/>
        </w:rPr>
        <w:t>.</w:t>
      </w:r>
      <w:r>
        <w:rPr>
          <w:snapToGrid w:val="0"/>
        </w:rPr>
        <w:tab/>
        <w:t>Management programmes</w:t>
      </w:r>
      <w:bookmarkEnd w:id="26"/>
      <w:r>
        <w:rPr>
          <w:snapToGrid w:val="0"/>
        </w:rPr>
        <w:t xml:space="preserve"> </w:t>
      </w:r>
    </w:p>
    <w:p>
      <w:pPr>
        <w:pStyle w:val="Subsection"/>
        <w:spacing w:before="120"/>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spacing w:before="120"/>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spacing w:before="120"/>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spacing w:before="120"/>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spacing w:before="120"/>
        <w:rPr>
          <w:snapToGrid w:val="0"/>
        </w:rPr>
      </w:pPr>
      <w:r>
        <w:rPr>
          <w:snapToGrid w:val="0"/>
        </w:rPr>
        <w:tab/>
        <w:t>(5)</w:t>
      </w:r>
      <w:r>
        <w:rPr>
          <w:snapToGrid w:val="0"/>
        </w:rPr>
        <w:tab/>
        <w:t>A management programme shall be kept under constant review and may subsequently be amended from time to time</w:t>
      </w:r>
      <w:r>
        <w:t xml:space="preserve"> by the Minister.</w:t>
      </w:r>
    </w:p>
    <w:p>
      <w:pPr>
        <w:pStyle w:val="Subsection"/>
        <w:spacing w:before="120"/>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spacing w:before="120"/>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spacing w:before="120"/>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spacing w:before="100"/>
        <w:ind w:left="890" w:hanging="890"/>
      </w:pPr>
      <w:r>
        <w:tab/>
        <w:t xml:space="preserve">[Section 35 amended by No. 14 of 1996 s. 4; No. 38 of 2007 s. 156.] </w:t>
      </w:r>
    </w:p>
    <w:p>
      <w:pPr>
        <w:pStyle w:val="Heading5"/>
        <w:spacing w:before="180"/>
        <w:rPr>
          <w:snapToGrid w:val="0"/>
        </w:rPr>
      </w:pPr>
      <w:bookmarkStart w:id="27" w:name="_Toc524299941"/>
      <w:r>
        <w:rPr>
          <w:rStyle w:val="CharSectno"/>
        </w:rPr>
        <w:t>36</w:t>
      </w:r>
      <w:r>
        <w:rPr>
          <w:snapToGrid w:val="0"/>
        </w:rPr>
        <w:t>.</w:t>
      </w:r>
      <w:r>
        <w:rPr>
          <w:snapToGrid w:val="0"/>
        </w:rPr>
        <w:tab/>
        <w:t>Town planning referrals</w:t>
      </w:r>
      <w:bookmarkEnd w:id="27"/>
      <w:r>
        <w:rPr>
          <w:snapToGrid w:val="0"/>
        </w:rPr>
        <w:t xml:space="preserve"> </w:t>
      </w:r>
    </w:p>
    <w:p>
      <w:pPr>
        <w:pStyle w:val="Subsection"/>
        <w:spacing w:before="120"/>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by No. 84 of 1994 s. 46; No. 57 of 1997 s. 127; No. 38 of 2005 s. 15; No. 38 of 2007 s. 157 and 188.] </w:t>
      </w:r>
    </w:p>
    <w:p>
      <w:pPr>
        <w:pStyle w:val="Heading5"/>
        <w:rPr>
          <w:snapToGrid w:val="0"/>
        </w:rPr>
      </w:pPr>
      <w:bookmarkStart w:id="28" w:name="_Toc524299942"/>
      <w:r>
        <w:rPr>
          <w:rStyle w:val="CharSectno"/>
        </w:rPr>
        <w:t>37</w:t>
      </w:r>
      <w:r>
        <w:rPr>
          <w:snapToGrid w:val="0"/>
        </w:rPr>
        <w:t>.</w:t>
      </w:r>
      <w:r>
        <w:rPr>
          <w:snapToGrid w:val="0"/>
        </w:rPr>
        <w:tab/>
        <w:t>Ministerial referrals</w:t>
      </w:r>
      <w:bookmarkEnd w:id="28"/>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by No. 38 of 2007 s. 158 and 188.]</w:t>
      </w:r>
    </w:p>
    <w:p>
      <w:pPr>
        <w:pStyle w:val="Heading5"/>
        <w:rPr>
          <w:snapToGrid w:val="0"/>
        </w:rPr>
      </w:pPr>
      <w:bookmarkStart w:id="29" w:name="_Toc524299943"/>
      <w:r>
        <w:rPr>
          <w:rStyle w:val="CharSectno"/>
        </w:rPr>
        <w:t>38</w:t>
      </w:r>
      <w:r>
        <w:rPr>
          <w:snapToGrid w:val="0"/>
        </w:rPr>
        <w:t>.</w:t>
      </w:r>
      <w:r>
        <w:rPr>
          <w:snapToGrid w:val="0"/>
        </w:rPr>
        <w:tab/>
        <w:t>Public referrals</w:t>
      </w:r>
      <w:bookmarkEnd w:id="29"/>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by No. 38 of 2007 s. 159 and 188.]</w:t>
      </w:r>
    </w:p>
    <w:p>
      <w:pPr>
        <w:pStyle w:val="Ednotesection"/>
      </w:pPr>
      <w:r>
        <w:t>[</w:t>
      </w:r>
      <w:r>
        <w:rPr>
          <w:b/>
        </w:rPr>
        <w:t>39.</w:t>
      </w:r>
      <w:r>
        <w:tab/>
        <w:t xml:space="preserve">Deleted by No. 38 of 2007 s. 160.] </w:t>
      </w:r>
    </w:p>
    <w:p>
      <w:pPr>
        <w:pStyle w:val="Ednotesection"/>
        <w:spacing w:before="180"/>
        <w:ind w:left="890" w:hanging="890"/>
      </w:pPr>
      <w:r>
        <w:t>[</w:t>
      </w:r>
      <w:r>
        <w:rPr>
          <w:b/>
        </w:rPr>
        <w:t>40, 41.</w:t>
      </w:r>
      <w:r>
        <w:tab/>
        <w:t xml:space="preserve">Deleted by No. 73 of 1995 s. 181.] </w:t>
      </w:r>
    </w:p>
    <w:p>
      <w:pPr>
        <w:pStyle w:val="Ednotesection"/>
      </w:pPr>
      <w:r>
        <w:t>[</w:t>
      </w:r>
      <w:r>
        <w:rPr>
          <w:b/>
        </w:rPr>
        <w:t>42, 43.</w:t>
      </w:r>
      <w:r>
        <w:tab/>
        <w:t xml:space="preserve">Deleted by No. 38 of 2007 s. 160.] </w:t>
      </w:r>
    </w:p>
    <w:p>
      <w:pPr>
        <w:pStyle w:val="Ednotesection"/>
      </w:pPr>
      <w:r>
        <w:t>[</w:t>
      </w:r>
      <w:r>
        <w:rPr>
          <w:b/>
        </w:rPr>
        <w:t>44.</w:t>
      </w:r>
      <w:r>
        <w:tab/>
        <w:t xml:space="preserve">Deleted by No. 98 of 1985 s. 3.] </w:t>
      </w:r>
    </w:p>
    <w:p>
      <w:pPr>
        <w:pStyle w:val="Ednotesection"/>
      </w:pPr>
      <w:r>
        <w:t>[</w:t>
      </w:r>
      <w:r>
        <w:rPr>
          <w:b/>
        </w:rPr>
        <w:t>45.</w:t>
      </w:r>
      <w:r>
        <w:tab/>
        <w:t>Deleted by No. 38 of 2007 s. 160.]</w:t>
      </w:r>
    </w:p>
    <w:p>
      <w:pPr>
        <w:pStyle w:val="Heading2"/>
      </w:pPr>
      <w:bookmarkStart w:id="30" w:name="_Toc189884102"/>
      <w:bookmarkStart w:id="31" w:name="_Toc524299944"/>
      <w:r>
        <w:rPr>
          <w:rStyle w:val="CharPartNo"/>
        </w:rPr>
        <w:t>Part 5</w:t>
      </w:r>
      <w:r>
        <w:rPr>
          <w:b w:val="0"/>
        </w:rPr>
        <w:t> </w:t>
      </w:r>
      <w:r>
        <w:t>—</w:t>
      </w:r>
      <w:r>
        <w:rPr>
          <w:b w:val="0"/>
        </w:rPr>
        <w:t> </w:t>
      </w:r>
      <w:r>
        <w:rPr>
          <w:rStyle w:val="CharPartText"/>
        </w:rPr>
        <w:t>Protection of waters and land</w:t>
      </w:r>
      <w:bookmarkEnd w:id="30"/>
      <w:bookmarkEnd w:id="31"/>
    </w:p>
    <w:p>
      <w:pPr>
        <w:pStyle w:val="Footnoteheading"/>
      </w:pPr>
      <w:r>
        <w:tab/>
        <w:t>[Heading inserted by No. 38 of 2007 s. 161.]</w:t>
      </w:r>
    </w:p>
    <w:p>
      <w:pPr>
        <w:pStyle w:val="Heading5"/>
        <w:rPr>
          <w:snapToGrid w:val="0"/>
        </w:rPr>
      </w:pPr>
      <w:bookmarkStart w:id="32" w:name="_Toc524299945"/>
      <w:r>
        <w:rPr>
          <w:rStyle w:val="CharSectno"/>
        </w:rPr>
        <w:t>46</w:t>
      </w:r>
      <w:r>
        <w:rPr>
          <w:snapToGrid w:val="0"/>
        </w:rPr>
        <w:t>.</w:t>
      </w:r>
      <w:r>
        <w:rPr>
          <w:snapToGrid w:val="0"/>
        </w:rPr>
        <w:tab/>
        <w:t>Licences</w:t>
      </w:r>
      <w:bookmarkEnd w:id="32"/>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spacing w:before="120"/>
        <w:rPr>
          <w:rFonts w:ascii="Times" w:hAnsi="Times"/>
          <w:snapToGrid w:val="0"/>
        </w:rPr>
      </w:pPr>
      <w:r>
        <w:rPr>
          <w:rFonts w:ascii="Times" w:hAnsi="Times"/>
          <w:snapToGrid w:val="0"/>
        </w:rPr>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spacing w:before="120"/>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spacing w:before="120"/>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spacing w:before="120"/>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spacing w:before="60"/>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by No. 78 of 1995 s. 135; No. 55 of 2004 s. 1306; No. 38 of 2007 s. 162 and 188.] </w:t>
      </w:r>
    </w:p>
    <w:p>
      <w:pPr>
        <w:pStyle w:val="Heading5"/>
        <w:rPr>
          <w:snapToGrid w:val="0"/>
        </w:rPr>
      </w:pPr>
      <w:bookmarkStart w:id="33" w:name="_Toc524299946"/>
      <w:r>
        <w:rPr>
          <w:rStyle w:val="CharSectno"/>
        </w:rPr>
        <w:t>47</w:t>
      </w:r>
      <w:r>
        <w:rPr>
          <w:snapToGrid w:val="0"/>
        </w:rPr>
        <w:t>.</w:t>
      </w:r>
      <w:r>
        <w:rPr>
          <w:snapToGrid w:val="0"/>
        </w:rPr>
        <w:tab/>
        <w:t>Disposal licences</w:t>
      </w:r>
      <w:bookmarkEnd w:id="33"/>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rPr>
          <w:snapToGrid w:val="0"/>
        </w:rPr>
      </w:pPr>
      <w:r>
        <w:rPr>
          <w:snapToGrid w:val="0"/>
        </w:rPr>
        <w:tab/>
        <w:t>(b)</w:t>
      </w:r>
      <w:r>
        <w:rPr>
          <w:snapToGrid w:val="0"/>
        </w:rPr>
        <w:tab/>
        <w:t>refuse to grant a licence,</w:t>
      </w:r>
    </w:p>
    <w:p>
      <w:pPr>
        <w:pStyle w:val="Subsection"/>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w:t>
      </w:r>
    </w:p>
    <w:p>
      <w:pPr>
        <w:pStyle w:val="Indenta"/>
        <w:rPr>
          <w:snapToGrid w:val="0"/>
        </w:rPr>
      </w:pPr>
      <w:r>
        <w:rPr>
          <w:snapToGrid w:val="0"/>
        </w:rPr>
        <w:tab/>
        <w:t>(b)</w:t>
      </w:r>
      <w:r>
        <w:rPr>
          <w:snapToGrid w:val="0"/>
        </w:rPr>
        <w:tab/>
        <w:t>acidity or alkalinity outside the range of a pH value between pH5 and pH9;</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rPr>
          <w:snapToGrid w:val="0"/>
        </w:rPr>
      </w:pPr>
      <w:r>
        <w:rPr>
          <w:snapToGrid w:val="0"/>
        </w:rPr>
        <w:tab/>
        <w:t>(i)</w:t>
      </w:r>
      <w:r>
        <w:rPr>
          <w:snapToGrid w:val="0"/>
        </w:rPr>
        <w:tab/>
        <w:t>to contribute to the formation of sludge or other deposit;</w:t>
      </w:r>
    </w:p>
    <w:p>
      <w:pPr>
        <w:pStyle w:val="Indenti"/>
        <w:rPr>
          <w:snapToGrid w:val="0"/>
        </w:rPr>
      </w:pPr>
      <w:r>
        <w:rPr>
          <w:snapToGrid w:val="0"/>
        </w:rPr>
        <w:tab/>
        <w:t>(ii)</w:t>
      </w:r>
      <w:r>
        <w:rPr>
          <w:snapToGrid w:val="0"/>
        </w:rPr>
        <w:tab/>
        <w:t>to contribute to the formation of scum, fat, oil, grease or floating material;</w:t>
      </w:r>
    </w:p>
    <w:p>
      <w:pPr>
        <w:pStyle w:val="Indenti"/>
        <w:rPr>
          <w:snapToGrid w:val="0"/>
        </w:rPr>
      </w:pPr>
      <w:r>
        <w:rPr>
          <w:snapToGrid w:val="0"/>
        </w:rPr>
        <w:tab/>
        <w:t>(iii)</w:t>
      </w:r>
      <w:r>
        <w:rPr>
          <w:snapToGrid w:val="0"/>
        </w:rPr>
        <w:tab/>
        <w:t>to contribute to the formation of objectionable odours or discoloration;</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w:t>
      </w:r>
    </w:p>
    <w:p>
      <w:pPr>
        <w:pStyle w:val="Indenta"/>
        <w:rPr>
          <w:snapToGrid w:val="0"/>
        </w:rPr>
      </w:pPr>
      <w:r>
        <w:rPr>
          <w:snapToGrid w:val="0"/>
        </w:rPr>
        <w:tab/>
        <w:t>(b)</w:t>
      </w:r>
      <w:r>
        <w:rPr>
          <w:snapToGrid w:val="0"/>
        </w:rPr>
        <w:tab/>
        <w:t>as to the nature, composition, temperature, volume and rate of the discharge or deposit;</w:t>
      </w:r>
    </w:p>
    <w:p>
      <w:pPr>
        <w:pStyle w:val="Indenta"/>
        <w:rPr>
          <w:snapToGrid w:val="0"/>
        </w:rPr>
      </w:pPr>
      <w:r>
        <w:rPr>
          <w:snapToGrid w:val="0"/>
        </w:rPr>
        <w:tab/>
        <w:t>(c)</w:t>
      </w:r>
      <w:r>
        <w:rPr>
          <w:snapToGrid w:val="0"/>
        </w:rPr>
        <w:tab/>
        <w:t>as to the provision of facilities for taking samples of the matter discharged or deposited;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spacing w:before="180"/>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spacing w:before="180"/>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pPr>
      <w:r>
        <w:tab/>
        <w:t>[Section 47 inserted by No. 38 of 2007 s. 188.]</w:t>
      </w:r>
    </w:p>
    <w:p>
      <w:pPr>
        <w:pStyle w:val="Heading5"/>
        <w:spacing w:before="240"/>
        <w:rPr>
          <w:snapToGrid w:val="0"/>
        </w:rPr>
      </w:pPr>
      <w:bookmarkStart w:id="34" w:name="_Toc524299947"/>
      <w:r>
        <w:rPr>
          <w:rStyle w:val="CharSectno"/>
        </w:rPr>
        <w:t>48</w:t>
      </w:r>
      <w:r>
        <w:rPr>
          <w:snapToGrid w:val="0"/>
        </w:rPr>
        <w:t>.</w:t>
      </w:r>
      <w:r>
        <w:rPr>
          <w:snapToGrid w:val="0"/>
        </w:rPr>
        <w:tab/>
        <w:t>Control of pollution, and the use of waters</w:t>
      </w:r>
      <w:bookmarkEnd w:id="34"/>
      <w:r>
        <w:rPr>
          <w:snapToGrid w:val="0"/>
        </w:rPr>
        <w:t xml:space="preserve"> </w:t>
      </w:r>
    </w:p>
    <w:p>
      <w:pPr>
        <w:pStyle w:val="Subsection"/>
        <w:spacing w:before="180"/>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spacing w:before="180"/>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w:t>
      </w:r>
      <w:r>
        <w:rPr>
          <w:i/>
          <w:iCs/>
          <w:snapToGrid w:val="0"/>
        </w:rPr>
        <w:t>1982</w:t>
      </w:r>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by No. 97 of 1982 s. 4; No. 73 of 1995 s. 184; No. 38 of 2007 s. 163 and 188.] </w:t>
      </w:r>
    </w:p>
    <w:p>
      <w:pPr>
        <w:pStyle w:val="Heading5"/>
        <w:rPr>
          <w:snapToGrid w:val="0"/>
        </w:rPr>
      </w:pPr>
      <w:bookmarkStart w:id="35" w:name="_Toc524299948"/>
      <w:r>
        <w:rPr>
          <w:rStyle w:val="CharSectno"/>
        </w:rPr>
        <w:t>49</w:t>
      </w:r>
      <w:r>
        <w:rPr>
          <w:snapToGrid w:val="0"/>
        </w:rPr>
        <w:t>.</w:t>
      </w:r>
      <w:r>
        <w:rPr>
          <w:snapToGrid w:val="0"/>
        </w:rPr>
        <w:tab/>
        <w:t>Injunctions</w:t>
      </w:r>
      <w:bookmarkEnd w:id="35"/>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tab/>
        <w:t>[Section 49 amended by No. 38 of 2007 s. 164.]</w:t>
      </w:r>
    </w:p>
    <w:p>
      <w:pPr>
        <w:pStyle w:val="Heading5"/>
        <w:rPr>
          <w:snapToGrid w:val="0"/>
        </w:rPr>
      </w:pPr>
      <w:bookmarkStart w:id="36" w:name="_Toc524299949"/>
      <w:r>
        <w:rPr>
          <w:rStyle w:val="CharSectno"/>
        </w:rPr>
        <w:t>50</w:t>
      </w:r>
      <w:r>
        <w:rPr>
          <w:snapToGrid w:val="0"/>
        </w:rPr>
        <w:t>.</w:t>
      </w:r>
      <w:r>
        <w:rPr>
          <w:snapToGrid w:val="0"/>
        </w:rPr>
        <w:tab/>
        <w:t>Orders</w:t>
      </w:r>
      <w:bookmarkEnd w:id="36"/>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by No. 38 of 2007 s. 165.]</w:t>
      </w:r>
    </w:p>
    <w:p>
      <w:pPr>
        <w:pStyle w:val="Heading5"/>
        <w:rPr>
          <w:snapToGrid w:val="0"/>
        </w:rPr>
      </w:pPr>
      <w:bookmarkStart w:id="37" w:name="_Toc524299950"/>
      <w:r>
        <w:rPr>
          <w:rStyle w:val="CharSectno"/>
        </w:rPr>
        <w:t>51</w:t>
      </w:r>
      <w:r>
        <w:rPr>
          <w:snapToGrid w:val="0"/>
        </w:rPr>
        <w:t>.</w:t>
      </w:r>
      <w:r>
        <w:rPr>
          <w:snapToGrid w:val="0"/>
        </w:rPr>
        <w:tab/>
        <w:t>Removal of structures</w:t>
      </w:r>
      <w:bookmarkEnd w:id="37"/>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by No. 38 of 2007 s. 166 and 188.]</w:t>
      </w:r>
    </w:p>
    <w:p>
      <w:pPr>
        <w:pStyle w:val="Heading5"/>
        <w:rPr>
          <w:snapToGrid w:val="0"/>
        </w:rPr>
      </w:pPr>
      <w:bookmarkStart w:id="38" w:name="_Toc524299951"/>
      <w:r>
        <w:rPr>
          <w:rStyle w:val="CharSectno"/>
        </w:rPr>
        <w:t>52</w:t>
      </w:r>
      <w:r>
        <w:rPr>
          <w:snapToGrid w:val="0"/>
        </w:rPr>
        <w:t>.</w:t>
      </w:r>
      <w:r>
        <w:rPr>
          <w:snapToGrid w:val="0"/>
        </w:rPr>
        <w:tab/>
        <w:t>Remedial works</w:t>
      </w:r>
      <w:bookmarkEnd w:id="38"/>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by No. 38 of 2007 s. 167.]</w:t>
      </w:r>
    </w:p>
    <w:p>
      <w:pPr>
        <w:pStyle w:val="Heading5"/>
        <w:rPr>
          <w:snapToGrid w:val="0"/>
        </w:rPr>
      </w:pPr>
      <w:bookmarkStart w:id="39" w:name="_Toc524299952"/>
      <w:r>
        <w:rPr>
          <w:rStyle w:val="CharSectno"/>
        </w:rPr>
        <w:t>53</w:t>
      </w:r>
      <w:r>
        <w:rPr>
          <w:snapToGrid w:val="0"/>
        </w:rPr>
        <w:t>.</w:t>
      </w:r>
      <w:r>
        <w:rPr>
          <w:snapToGrid w:val="0"/>
        </w:rPr>
        <w:tab/>
        <w:t>Recovery of expenses</w:t>
      </w:r>
      <w:bookmarkEnd w:id="39"/>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by No. 38 of 2007 s. 168.]</w:t>
      </w:r>
    </w:p>
    <w:p>
      <w:pPr>
        <w:pStyle w:val="Heading2"/>
      </w:pPr>
      <w:bookmarkStart w:id="40" w:name="_Toc189884111"/>
      <w:bookmarkStart w:id="41" w:name="_Toc524299953"/>
      <w:r>
        <w:rPr>
          <w:rStyle w:val="CharPartNo"/>
        </w:rPr>
        <w:t>Part 6</w:t>
      </w:r>
      <w:r>
        <w:rPr>
          <w:b w:val="0"/>
        </w:rPr>
        <w:t> </w:t>
      </w:r>
      <w:r>
        <w:t>—</w:t>
      </w:r>
      <w:r>
        <w:rPr>
          <w:b w:val="0"/>
        </w:rPr>
        <w:t> </w:t>
      </w:r>
      <w:r>
        <w:rPr>
          <w:rStyle w:val="CharPartText"/>
        </w:rPr>
        <w:t>General provisions</w:t>
      </w:r>
      <w:bookmarkEnd w:id="40"/>
      <w:bookmarkEnd w:id="41"/>
    </w:p>
    <w:p>
      <w:pPr>
        <w:pStyle w:val="Footnoteheading"/>
      </w:pPr>
      <w:r>
        <w:tab/>
        <w:t>[Heading inserted by No. 38 of 2007 s. 169.]</w:t>
      </w:r>
    </w:p>
    <w:p>
      <w:pPr>
        <w:pStyle w:val="Heading3"/>
      </w:pPr>
      <w:bookmarkStart w:id="42" w:name="_Toc189884112"/>
      <w:bookmarkStart w:id="43" w:name="_Toc524299954"/>
      <w:r>
        <w:rPr>
          <w:rStyle w:val="CharDivNo"/>
        </w:rPr>
        <w:t>Division 1</w:t>
      </w:r>
      <w:r>
        <w:t> — </w:t>
      </w:r>
      <w:r>
        <w:rPr>
          <w:rStyle w:val="CharDivText"/>
        </w:rPr>
        <w:t>By</w:t>
      </w:r>
      <w:r>
        <w:rPr>
          <w:rStyle w:val="CharDivText"/>
        </w:rPr>
        <w:noBreakHyphen/>
        <w:t>laws</w:t>
      </w:r>
      <w:bookmarkEnd w:id="42"/>
      <w:bookmarkEnd w:id="43"/>
    </w:p>
    <w:p>
      <w:pPr>
        <w:pStyle w:val="Footnoteheading"/>
      </w:pPr>
      <w:r>
        <w:tab/>
        <w:t>[Heading inserted by No. 38 of 2007 s. 169.]</w:t>
      </w:r>
    </w:p>
    <w:p>
      <w:pPr>
        <w:pStyle w:val="Heading5"/>
      </w:pPr>
      <w:bookmarkStart w:id="44" w:name="_Toc524299955"/>
      <w:r>
        <w:rPr>
          <w:rStyle w:val="CharSectno"/>
        </w:rPr>
        <w:t>54</w:t>
      </w:r>
      <w:r>
        <w:t>.</w:t>
      </w:r>
      <w:r>
        <w:tab/>
        <w:t>By</w:t>
      </w:r>
      <w:r>
        <w:noBreakHyphen/>
        <w:t>laws</w:t>
      </w:r>
      <w:bookmarkEnd w:id="44"/>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by No. 38 of 2007 s. 170.]</w:t>
      </w:r>
    </w:p>
    <w:p>
      <w:pPr>
        <w:pStyle w:val="Heading5"/>
        <w:rPr>
          <w:snapToGrid w:val="0"/>
        </w:rPr>
      </w:pPr>
      <w:bookmarkStart w:id="45" w:name="_Toc524299956"/>
      <w:r>
        <w:rPr>
          <w:rStyle w:val="CharSectno"/>
        </w:rPr>
        <w:t>55</w:t>
      </w:r>
      <w:r>
        <w:rPr>
          <w:snapToGrid w:val="0"/>
        </w:rPr>
        <w:t>.</w:t>
      </w:r>
      <w:r>
        <w:rPr>
          <w:snapToGrid w:val="0"/>
        </w:rPr>
        <w:tab/>
        <w:t>General provisions relating to by</w:t>
      </w:r>
      <w:r>
        <w:rPr>
          <w:snapToGrid w:val="0"/>
        </w:rPr>
        <w:noBreakHyphen/>
        <w:t>laws</w:t>
      </w:r>
      <w:bookmarkEnd w:id="45"/>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spacing w:before="180"/>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spacing w:before="180"/>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46" w:name="_Toc524299957"/>
      <w:r>
        <w:rPr>
          <w:rStyle w:val="CharSectno"/>
        </w:rPr>
        <w:t>56</w:t>
      </w:r>
      <w:r>
        <w:rPr>
          <w:snapToGrid w:val="0"/>
        </w:rPr>
        <w:t>.</w:t>
      </w:r>
      <w:r>
        <w:rPr>
          <w:snapToGrid w:val="0"/>
        </w:rPr>
        <w:tab/>
        <w:t>Local laws</w:t>
      </w:r>
      <w:bookmarkEnd w:id="46"/>
      <w:r>
        <w:rPr>
          <w:snapToGrid w:val="0"/>
        </w:rPr>
        <w:t xml:space="preserve"> </w:t>
      </w:r>
    </w:p>
    <w:p>
      <w:pPr>
        <w:pStyle w:val="Subsection"/>
        <w:spacing w:before="180"/>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spacing w:before="180"/>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by No. 21 of 1988 s. 30; No. 14 of 1996 s. 4; No. 52 of 2006 s. 6; No. 38 of 2007 s. 171.] </w:t>
      </w:r>
    </w:p>
    <w:p>
      <w:pPr>
        <w:pStyle w:val="Heading5"/>
        <w:spacing w:before="240"/>
        <w:rPr>
          <w:snapToGrid w:val="0"/>
        </w:rPr>
      </w:pPr>
      <w:bookmarkStart w:id="47" w:name="_Toc524299958"/>
      <w:r>
        <w:rPr>
          <w:rStyle w:val="CharSectno"/>
        </w:rPr>
        <w:t>57</w:t>
      </w:r>
      <w:r>
        <w:rPr>
          <w:snapToGrid w:val="0"/>
        </w:rPr>
        <w:t>.</w:t>
      </w:r>
      <w:r>
        <w:rPr>
          <w:snapToGrid w:val="0"/>
        </w:rPr>
        <w:tab/>
        <w:t>Inconsistency of by</w:t>
      </w:r>
      <w:r>
        <w:rPr>
          <w:snapToGrid w:val="0"/>
        </w:rPr>
        <w:noBreakHyphen/>
        <w:t>laws with regulations</w:t>
      </w:r>
      <w:bookmarkEnd w:id="47"/>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by No. 14 of 1996 s. 4; No. 38 of 2007 s. 172.] </w:t>
      </w:r>
    </w:p>
    <w:p>
      <w:pPr>
        <w:pStyle w:val="Ednotesection"/>
      </w:pPr>
      <w:r>
        <w:t>[</w:t>
      </w:r>
      <w:r>
        <w:rPr>
          <w:b/>
          <w:bCs/>
        </w:rPr>
        <w:t>58, 59.</w:t>
      </w:r>
      <w:r>
        <w:rPr>
          <w:b/>
          <w:bCs/>
        </w:rPr>
        <w:tab/>
      </w:r>
      <w:r>
        <w:t>Deleted by No. 38 of 2007 s. 173.]</w:t>
      </w:r>
    </w:p>
    <w:p>
      <w:pPr>
        <w:pStyle w:val="Ednotesection"/>
      </w:pPr>
      <w:r>
        <w:t>[</w:t>
      </w:r>
      <w:r>
        <w:rPr>
          <w:b/>
        </w:rPr>
        <w:t>60.</w:t>
      </w:r>
      <w:r>
        <w:tab/>
        <w:t xml:space="preserve">Deleted by No. 21 of 1988 s. 31.] </w:t>
      </w:r>
    </w:p>
    <w:p>
      <w:pPr>
        <w:pStyle w:val="Heading3"/>
      </w:pPr>
      <w:bookmarkStart w:id="48" w:name="_Toc189884118"/>
      <w:bookmarkStart w:id="49" w:name="_Toc524299959"/>
      <w:r>
        <w:rPr>
          <w:rStyle w:val="CharDivNo"/>
        </w:rPr>
        <w:t>Division 2</w:t>
      </w:r>
      <w:r>
        <w:t> — </w:t>
      </w:r>
      <w:r>
        <w:rPr>
          <w:rStyle w:val="CharDivText"/>
        </w:rPr>
        <w:t>Enforcement provisions</w:t>
      </w:r>
      <w:bookmarkEnd w:id="48"/>
      <w:bookmarkEnd w:id="49"/>
    </w:p>
    <w:p>
      <w:pPr>
        <w:pStyle w:val="Footnoteheading"/>
      </w:pPr>
      <w:r>
        <w:rPr>
          <w:rStyle w:val="CharSectno"/>
        </w:rPr>
        <w:tab/>
        <w:t>[Heading inserted by No. 38 of 2007 s. 174.]</w:t>
      </w:r>
    </w:p>
    <w:p>
      <w:pPr>
        <w:pStyle w:val="Heading5"/>
        <w:rPr>
          <w:snapToGrid w:val="0"/>
        </w:rPr>
      </w:pPr>
      <w:bookmarkStart w:id="50" w:name="_Toc524299960"/>
      <w:r>
        <w:rPr>
          <w:rStyle w:val="CharSectno"/>
        </w:rPr>
        <w:t>61</w:t>
      </w:r>
      <w:r>
        <w:rPr>
          <w:snapToGrid w:val="0"/>
        </w:rPr>
        <w:t>.</w:t>
      </w:r>
      <w:r>
        <w:rPr>
          <w:snapToGrid w:val="0"/>
        </w:rPr>
        <w:tab/>
        <w:t>Inspectors</w:t>
      </w:r>
      <w:bookmarkEnd w:id="50"/>
      <w:r>
        <w:rPr>
          <w:snapToGrid w:val="0"/>
        </w:rPr>
        <w:t xml:space="preserve"> </w:t>
      </w:r>
    </w:p>
    <w:p>
      <w:pPr>
        <w:pStyle w:val="Ednotesubsection"/>
      </w:pPr>
      <w:r>
        <w:tab/>
        <w:t>[(1)</w:t>
      </w:r>
      <w:r>
        <w:tab/>
        <w:t>deleted]</w:t>
      </w:r>
    </w:p>
    <w:p>
      <w:pPr>
        <w:pStyle w:val="Subsection"/>
      </w:pPr>
      <w:r>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snapToGrid w:val="0"/>
        </w:rPr>
      </w:pPr>
      <w:r>
        <w:rPr>
          <w:snapToGrid w:val="0"/>
        </w:rPr>
        <w:tab/>
        <w:t>[(iii), (iv)</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 xml:space="preserve">[Section 61 amended by No. 21 of 1988 s. 32; No. 53 of 1994 s. 264; No. 52 of 2006 s. 6; No. 38 of 2007 s. 175.] </w:t>
      </w:r>
    </w:p>
    <w:p>
      <w:pPr>
        <w:pStyle w:val="Heading5"/>
        <w:rPr>
          <w:snapToGrid w:val="0"/>
        </w:rPr>
      </w:pPr>
      <w:bookmarkStart w:id="51" w:name="_Toc524299961"/>
      <w:r>
        <w:rPr>
          <w:rStyle w:val="CharSectno"/>
        </w:rPr>
        <w:t>62</w:t>
      </w:r>
      <w:r>
        <w:rPr>
          <w:snapToGrid w:val="0"/>
        </w:rPr>
        <w:t>.</w:t>
      </w:r>
      <w:r>
        <w:rPr>
          <w:snapToGrid w:val="0"/>
        </w:rPr>
        <w:tab/>
        <w:t>Honorary wardens</w:t>
      </w:r>
      <w:bookmarkEnd w:id="51"/>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spacing w:before="180"/>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by No. 21 of 1988 s. 33;No. 52 of 2006 s. 6; No. 38 of 2007 s. 176.] </w:t>
      </w:r>
    </w:p>
    <w:p>
      <w:pPr>
        <w:pStyle w:val="Heading5"/>
        <w:spacing w:before="240"/>
        <w:rPr>
          <w:snapToGrid w:val="0"/>
        </w:rPr>
      </w:pPr>
      <w:bookmarkStart w:id="52" w:name="_Toc524299962"/>
      <w:r>
        <w:rPr>
          <w:rStyle w:val="CharSectno"/>
        </w:rPr>
        <w:t>63</w:t>
      </w:r>
      <w:r>
        <w:rPr>
          <w:snapToGrid w:val="0"/>
        </w:rPr>
        <w:t>.</w:t>
      </w:r>
      <w:r>
        <w:rPr>
          <w:snapToGrid w:val="0"/>
        </w:rPr>
        <w:tab/>
        <w:t>Powers of inspectors, etc.</w:t>
      </w:r>
      <w:bookmarkEnd w:id="52"/>
      <w:r>
        <w:rPr>
          <w:snapToGrid w:val="0"/>
        </w:rPr>
        <w:t xml:space="preserve"> </w:t>
      </w:r>
    </w:p>
    <w:p>
      <w:pPr>
        <w:pStyle w:val="Subsection"/>
        <w:spacing w:before="180"/>
        <w:rPr>
          <w:snapToGrid w:val="0"/>
        </w:rPr>
      </w:pPr>
      <w:r>
        <w:rPr>
          <w:snapToGrid w:val="0"/>
        </w:rPr>
        <w:tab/>
        <w:t>(1)</w:t>
      </w:r>
      <w:r>
        <w:rPr>
          <w:snapToGrid w:val="0"/>
        </w:rPr>
        <w:tab/>
        <w:t>A reference in this section to an inspector shall be construed as including a reference to — </w:t>
      </w:r>
    </w:p>
    <w:p>
      <w:pPr>
        <w:pStyle w:val="Ednotepara"/>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spacing w:before="180"/>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 96; No. 38 of 2007 s. 177.]</w:t>
      </w:r>
    </w:p>
    <w:p>
      <w:pPr>
        <w:pStyle w:val="Heading5"/>
        <w:rPr>
          <w:snapToGrid w:val="0"/>
        </w:rPr>
      </w:pPr>
      <w:bookmarkStart w:id="53" w:name="_Toc524299963"/>
      <w:r>
        <w:rPr>
          <w:rStyle w:val="CharSectno"/>
        </w:rPr>
        <w:t>64</w:t>
      </w:r>
      <w:r>
        <w:rPr>
          <w:snapToGrid w:val="0"/>
        </w:rPr>
        <w:t>.</w:t>
      </w:r>
      <w:r>
        <w:rPr>
          <w:snapToGrid w:val="0"/>
        </w:rPr>
        <w:tab/>
        <w:t>Duty of police officers etc.</w:t>
      </w:r>
      <w:bookmarkEnd w:id="53"/>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by No. 38 of 2007 s. 178.]</w:t>
      </w:r>
    </w:p>
    <w:p>
      <w:pPr>
        <w:pStyle w:val="Heading5"/>
        <w:rPr>
          <w:snapToGrid w:val="0"/>
        </w:rPr>
      </w:pPr>
      <w:bookmarkStart w:id="54" w:name="_Toc524299964"/>
      <w:r>
        <w:rPr>
          <w:rStyle w:val="CharSectno"/>
        </w:rPr>
        <w:t>65</w:t>
      </w:r>
      <w:r>
        <w:rPr>
          <w:snapToGrid w:val="0"/>
        </w:rPr>
        <w:t>.</w:t>
      </w:r>
      <w:r>
        <w:rPr>
          <w:snapToGrid w:val="0"/>
        </w:rPr>
        <w:tab/>
        <w:t>Persons obstructing execution of this Act</w:t>
      </w:r>
      <w:bookmarkEnd w:id="54"/>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by No. 38 of 2007 s. 179.]</w:t>
      </w:r>
    </w:p>
    <w:p>
      <w:pPr>
        <w:pStyle w:val="Heading3"/>
      </w:pPr>
      <w:bookmarkStart w:id="55" w:name="_Toc189884124"/>
      <w:bookmarkStart w:id="56" w:name="_Toc524299965"/>
      <w:r>
        <w:rPr>
          <w:rStyle w:val="CharDivNo"/>
        </w:rPr>
        <w:t>Division 3</w:t>
      </w:r>
      <w:r>
        <w:t> — </w:t>
      </w:r>
      <w:r>
        <w:rPr>
          <w:rStyle w:val="CharDivText"/>
        </w:rPr>
        <w:t>General offence and procedural provisions</w:t>
      </w:r>
      <w:bookmarkEnd w:id="55"/>
      <w:bookmarkEnd w:id="56"/>
    </w:p>
    <w:p>
      <w:pPr>
        <w:pStyle w:val="Footnoteheading"/>
      </w:pPr>
      <w:r>
        <w:tab/>
        <w:t>[Heading inserted by No. 38 of 2007 s. 180.]</w:t>
      </w:r>
    </w:p>
    <w:p>
      <w:pPr>
        <w:pStyle w:val="Heading5"/>
        <w:rPr>
          <w:snapToGrid w:val="0"/>
        </w:rPr>
      </w:pPr>
      <w:bookmarkStart w:id="57" w:name="_Toc524299966"/>
      <w:r>
        <w:rPr>
          <w:rStyle w:val="CharSectno"/>
        </w:rPr>
        <w:t>68</w:t>
      </w:r>
      <w:r>
        <w:rPr>
          <w:snapToGrid w:val="0"/>
        </w:rPr>
        <w:t>.</w:t>
      </w:r>
      <w:r>
        <w:rPr>
          <w:snapToGrid w:val="0"/>
        </w:rPr>
        <w:tab/>
        <w:t>Prosecution expenses</w:t>
      </w:r>
      <w:bookmarkEnd w:id="57"/>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58" w:name="_Toc524299967"/>
      <w:r>
        <w:rPr>
          <w:rStyle w:val="CharSectno"/>
        </w:rPr>
        <w:t>69</w:t>
      </w:r>
      <w:r>
        <w:rPr>
          <w:snapToGrid w:val="0"/>
        </w:rPr>
        <w:t>.</w:t>
      </w:r>
      <w:r>
        <w:rPr>
          <w:snapToGrid w:val="0"/>
        </w:rPr>
        <w:tab/>
        <w:t>Offences generally</w:t>
      </w:r>
      <w:bookmarkEnd w:id="58"/>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by No. 38 of 2007 s. 181.]</w:t>
      </w:r>
    </w:p>
    <w:p>
      <w:pPr>
        <w:pStyle w:val="Heading5"/>
        <w:rPr>
          <w:snapToGrid w:val="0"/>
        </w:rPr>
      </w:pPr>
      <w:bookmarkStart w:id="59" w:name="_Toc524299968"/>
      <w:r>
        <w:rPr>
          <w:rStyle w:val="CharSectno"/>
        </w:rPr>
        <w:t>70</w:t>
      </w:r>
      <w:r>
        <w:rPr>
          <w:snapToGrid w:val="0"/>
        </w:rPr>
        <w:t>.</w:t>
      </w:r>
      <w:r>
        <w:rPr>
          <w:snapToGrid w:val="0"/>
        </w:rPr>
        <w:tab/>
        <w:t>General penalty</w:t>
      </w:r>
      <w:bookmarkEnd w:id="59"/>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60" w:name="_Toc524299969"/>
      <w:r>
        <w:rPr>
          <w:rStyle w:val="CharSectno"/>
        </w:rPr>
        <w:t>71</w:t>
      </w:r>
      <w:r>
        <w:rPr>
          <w:snapToGrid w:val="0"/>
        </w:rPr>
        <w:t>.</w:t>
      </w:r>
      <w:r>
        <w:rPr>
          <w:snapToGrid w:val="0"/>
        </w:rPr>
        <w:tab/>
        <w:t>Proceedings</w:t>
      </w:r>
      <w:bookmarkEnd w:id="60"/>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80; No. 38 of 2007 s. 182.]</w:t>
      </w:r>
    </w:p>
    <w:p>
      <w:pPr>
        <w:pStyle w:val="Heading5"/>
        <w:rPr>
          <w:snapToGrid w:val="0"/>
        </w:rPr>
      </w:pPr>
      <w:bookmarkStart w:id="61" w:name="_Toc524299970"/>
      <w:r>
        <w:rPr>
          <w:rStyle w:val="CharSectno"/>
        </w:rPr>
        <w:t>72</w:t>
      </w:r>
      <w:r>
        <w:rPr>
          <w:snapToGrid w:val="0"/>
        </w:rPr>
        <w:t>.</w:t>
      </w:r>
      <w:r>
        <w:rPr>
          <w:snapToGrid w:val="0"/>
        </w:rPr>
        <w:tab/>
        <w:t>Liability for the acts of others, etc.</w:t>
      </w:r>
      <w:bookmarkEnd w:id="61"/>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62" w:name="_Toc524299971"/>
      <w:r>
        <w:rPr>
          <w:rStyle w:val="CharSectno"/>
        </w:rPr>
        <w:t>73</w:t>
      </w:r>
      <w:r>
        <w:rPr>
          <w:snapToGrid w:val="0"/>
        </w:rPr>
        <w:t>.</w:t>
      </w:r>
      <w:r>
        <w:rPr>
          <w:snapToGrid w:val="0"/>
        </w:rPr>
        <w:tab/>
        <w:t>Offences by bodies corporate</w:t>
      </w:r>
      <w:bookmarkEnd w:id="62"/>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63" w:name="_Toc524299972"/>
      <w:r>
        <w:rPr>
          <w:rStyle w:val="CharSectno"/>
        </w:rPr>
        <w:t>74</w:t>
      </w:r>
      <w:r>
        <w:rPr>
          <w:snapToGrid w:val="0"/>
        </w:rPr>
        <w:t>.</w:t>
      </w:r>
      <w:r>
        <w:rPr>
          <w:snapToGrid w:val="0"/>
        </w:rPr>
        <w:tab/>
        <w:t>Recovery of penalty and costs paid</w:t>
      </w:r>
      <w:bookmarkEnd w:id="63"/>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64" w:name="_Toc524299973"/>
      <w:r>
        <w:rPr>
          <w:rStyle w:val="CharSectno"/>
        </w:rPr>
        <w:t>75</w:t>
      </w:r>
      <w:r>
        <w:rPr>
          <w:snapToGrid w:val="0"/>
        </w:rPr>
        <w:t>.</w:t>
      </w:r>
      <w:r>
        <w:rPr>
          <w:snapToGrid w:val="0"/>
        </w:rPr>
        <w:tab/>
        <w:t>Evidentiary provisions</w:t>
      </w:r>
      <w:bookmarkEnd w:id="64"/>
      <w:r>
        <w:rPr>
          <w:snapToGrid w:val="0"/>
        </w:rPr>
        <w:t xml:space="preserve"> </w:t>
      </w:r>
    </w:p>
    <w:p>
      <w:pPr>
        <w:pStyle w:val="Subsection"/>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a copy purporting to be certified as a copy of a regulation, declaration, map, notice or other evidence of 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t>Interpretation Act 1984</w:t>
      </w:r>
      <w:r>
        <w:rPr>
          <w:snapToGrid w:val="0"/>
        </w:rPr>
        <w:t>, or which has been invalidly made.</w:t>
      </w:r>
    </w:p>
    <w:p>
      <w:pPr>
        <w:pStyle w:val="Footnotesection"/>
      </w:pPr>
      <w:r>
        <w:tab/>
        <w:t xml:space="preserve">[Section 75 amended by No. 73 of 1995 s. 186; No. 84 of 2004 s. 80; No. 38 of 2007 s. 183.] </w:t>
      </w:r>
    </w:p>
    <w:p>
      <w:pPr>
        <w:pStyle w:val="Heading3"/>
      </w:pPr>
      <w:bookmarkStart w:id="65" w:name="_Toc189884133"/>
      <w:bookmarkStart w:id="66" w:name="_Toc524299974"/>
      <w:r>
        <w:rPr>
          <w:rStyle w:val="CharDivNo"/>
        </w:rPr>
        <w:t>Division 4</w:t>
      </w:r>
      <w:r>
        <w:t> — </w:t>
      </w:r>
      <w:r>
        <w:rPr>
          <w:rStyle w:val="CharDivText"/>
        </w:rPr>
        <w:t>Administrative provisions</w:t>
      </w:r>
      <w:bookmarkEnd w:id="65"/>
      <w:bookmarkEnd w:id="66"/>
    </w:p>
    <w:p>
      <w:pPr>
        <w:pStyle w:val="Footnoteheading"/>
      </w:pPr>
      <w:r>
        <w:tab/>
        <w:t>[Heading inserted by No. 38 of 2007 s. 184.]</w:t>
      </w:r>
    </w:p>
    <w:p>
      <w:pPr>
        <w:pStyle w:val="Heading5"/>
      </w:pPr>
      <w:bookmarkStart w:id="67" w:name="_Toc524299975"/>
      <w:r>
        <w:rPr>
          <w:rStyle w:val="CharSectno"/>
        </w:rPr>
        <w:t>76</w:t>
      </w:r>
      <w:r>
        <w:t>.</w:t>
      </w:r>
      <w:r>
        <w:tab/>
        <w:t>Delegation by the Minister</w:t>
      </w:r>
      <w:bookmarkEnd w:id="67"/>
    </w:p>
    <w:p>
      <w:pPr>
        <w:pStyle w:val="Subsection"/>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by No. 38 of 2007 s. 184.]</w:t>
      </w:r>
    </w:p>
    <w:p>
      <w:pPr>
        <w:pStyle w:val="Heading5"/>
      </w:pPr>
      <w:bookmarkStart w:id="68" w:name="_Toc524299976"/>
      <w:r>
        <w:rPr>
          <w:rStyle w:val="CharSectno"/>
        </w:rPr>
        <w:t>77</w:t>
      </w:r>
      <w:r>
        <w:t>.</w:t>
      </w:r>
      <w:r>
        <w:tab/>
        <w:t>Delegation by the CEO</w:t>
      </w:r>
      <w:bookmarkEnd w:id="68"/>
    </w:p>
    <w:p>
      <w:pPr>
        <w:pStyle w:val="Subsection"/>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by No. 38 of 2007 s. 184.]</w:t>
      </w:r>
    </w:p>
    <w:p>
      <w:pPr>
        <w:pStyle w:val="Heading5"/>
      </w:pPr>
      <w:bookmarkStart w:id="69" w:name="_Toc524299977"/>
      <w:r>
        <w:rPr>
          <w:rStyle w:val="CharSectno"/>
        </w:rPr>
        <w:t>78</w:t>
      </w:r>
      <w:r>
        <w:t>.</w:t>
      </w:r>
      <w:r>
        <w:tab/>
        <w:t>Public consultation</w:t>
      </w:r>
      <w:bookmarkEnd w:id="69"/>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by No. 38 of 2007 s. 184.]</w:t>
      </w:r>
    </w:p>
    <w:p>
      <w:pPr>
        <w:pStyle w:val="Heading5"/>
      </w:pPr>
      <w:bookmarkStart w:id="70" w:name="_Toc524299978"/>
      <w:r>
        <w:rPr>
          <w:rStyle w:val="CharSectno"/>
        </w:rPr>
        <w:t>79</w:t>
      </w:r>
      <w:r>
        <w:t>.</w:t>
      </w:r>
      <w:r>
        <w:tab/>
        <w:t>Information officially obtained to be confidential</w:t>
      </w:r>
      <w:bookmarkEnd w:id="70"/>
    </w:p>
    <w:p>
      <w:pPr>
        <w:pStyle w:val="Subsection"/>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pPr>
      <w:r>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rPr>
          <w:snapToGrid w:val="0"/>
        </w:rPr>
      </w:pPr>
      <w:r>
        <w:rPr>
          <w:snapToGrid w:val="0"/>
        </w:rPr>
        <w:tab/>
        <w:t>(3)</w:t>
      </w:r>
      <w:r>
        <w:rPr>
          <w:snapToGrid w:val="0"/>
        </w:rPr>
        <w:tab/>
        <w:t>In this section — </w:t>
      </w:r>
    </w:p>
    <w:p>
      <w:pPr>
        <w:pStyle w:val="Defstar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pPr>
      <w:r>
        <w:tab/>
        <w:t>(c)</w:t>
      </w:r>
      <w:r>
        <w:tab/>
        <w:t>is known by the person using or disclosing it to be confidential.</w:t>
      </w:r>
    </w:p>
    <w:p>
      <w:pPr>
        <w:pStyle w:val="Footnotesection"/>
      </w:pPr>
      <w:r>
        <w:tab/>
        <w:t>[Section 79 inserted by No. 38 of 2007 s. 184.]</w:t>
      </w:r>
    </w:p>
    <w:p>
      <w:pPr>
        <w:pStyle w:val="Heading5"/>
      </w:pPr>
      <w:bookmarkStart w:id="71" w:name="_Toc524299979"/>
      <w:r>
        <w:rPr>
          <w:rStyle w:val="CharSectno"/>
        </w:rPr>
        <w:t>80</w:t>
      </w:r>
      <w:r>
        <w:t>.</w:t>
      </w:r>
      <w:r>
        <w:tab/>
        <w:t>Annual reports</w:t>
      </w:r>
      <w:bookmarkEnd w:id="71"/>
    </w:p>
    <w:p>
      <w:pPr>
        <w:pStyle w:val="Subsection"/>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pPr>
      <w:r>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pPr>
      <w:r>
        <w:tab/>
        <w:t>(b)</w:t>
      </w:r>
      <w:r>
        <w:tab/>
        <w:t>be accompanied by an opinion from the Auditor General stating that the information deleted is commercially sensitive.</w:t>
      </w:r>
    </w:p>
    <w:p>
      <w:pPr>
        <w:pStyle w:val="Footnotesection"/>
      </w:pPr>
      <w:r>
        <w:tab/>
        <w:t>[Section 80 inserted by No. 38 of 2007 s. 184.]</w:t>
      </w:r>
    </w:p>
    <w:p>
      <w:pPr>
        <w:pStyle w:val="Heading5"/>
      </w:pPr>
      <w:bookmarkStart w:id="72" w:name="_Toc524299980"/>
      <w:r>
        <w:rPr>
          <w:rStyle w:val="CharSectno"/>
        </w:rPr>
        <w:t>81</w:t>
      </w:r>
      <w:r>
        <w:t>.</w:t>
      </w:r>
      <w:r>
        <w:tab/>
        <w:t>Protection from liability for wrongdoing</w:t>
      </w:r>
      <w:bookmarkEnd w:id="72"/>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Crown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Footnotesection"/>
      </w:pPr>
      <w:r>
        <w:tab/>
        <w:t>[Section 81 inserted by No. 38 of 2007 s. 184.]</w:t>
      </w:r>
    </w:p>
    <w:p>
      <w:pPr>
        <w:pStyle w:val="Heading5"/>
        <w:rPr>
          <w:snapToGrid w:val="0"/>
        </w:rPr>
      </w:pPr>
      <w:bookmarkStart w:id="73" w:name="_Toc524299981"/>
      <w:r>
        <w:rPr>
          <w:rStyle w:val="CharSectno"/>
        </w:rPr>
        <w:t>82</w:t>
      </w:r>
      <w:r>
        <w:rPr>
          <w:snapToGrid w:val="0"/>
        </w:rPr>
        <w:t>.</w:t>
      </w:r>
      <w:r>
        <w:rPr>
          <w:snapToGrid w:val="0"/>
        </w:rPr>
        <w:tab/>
        <w:t>Regulations</w:t>
      </w:r>
      <w:bookmarkEnd w:id="73"/>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w:t>
      </w:r>
    </w:p>
    <w:p>
      <w:pPr>
        <w:pStyle w:val="Indenta"/>
        <w:rPr>
          <w:snapToGrid w:val="0"/>
        </w:rPr>
      </w:pPr>
      <w:r>
        <w:rPr>
          <w:snapToGrid w:val="0"/>
        </w:rPr>
        <w:tab/>
        <w:t>(b)</w:t>
      </w:r>
      <w:r>
        <w:rPr>
          <w:snapToGrid w:val="0"/>
        </w:rPr>
        <w:tab/>
        <w:t>may be limited in their application to time, place, circumstance, or class of case;</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w:t>
      </w:r>
    </w:p>
    <w:p>
      <w:pPr>
        <w:pStyle w:val="Indenta"/>
        <w:rPr>
          <w:snapToGrid w:val="0"/>
        </w:rPr>
      </w:pPr>
      <w:r>
        <w:rPr>
          <w:snapToGrid w:val="0"/>
        </w:rPr>
        <w:tab/>
        <w:t>(d)</w:t>
      </w:r>
      <w:r>
        <w:rPr>
          <w:snapToGrid w:val="0"/>
        </w:rPr>
        <w:tab/>
        <w:t>may provide that any act or thing shall be, or shall not be, permitted;</w:t>
      </w:r>
    </w:p>
    <w:p>
      <w:pPr>
        <w:pStyle w:val="Indenta"/>
        <w:rPr>
          <w:snapToGrid w:val="0"/>
        </w:rPr>
      </w:pPr>
      <w:r>
        <w:rPr>
          <w:snapToGrid w:val="0"/>
        </w:rPr>
        <w:tab/>
        <w:t>(e)</w:t>
      </w:r>
      <w:r>
        <w:rPr>
          <w:snapToGrid w:val="0"/>
        </w:rPr>
        <w:tab/>
        <w:t>may confer a discretionary authority;</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pPr>
      <w:r>
        <w:tab/>
        <w:t>[Section 82, formerly section 76,</w:t>
      </w:r>
      <w:r>
        <w:rPr>
          <w:i w:val="0"/>
        </w:rPr>
        <w:t xml:space="preserve"> </w:t>
      </w:r>
      <w:r>
        <w:rPr>
          <w:iCs/>
        </w:rPr>
        <w:t>renumbered as section 82</w:t>
      </w:r>
      <w:r>
        <w:t xml:space="preserve"> amended by No. 55 of 2004 s. 1307, No. 38 of 2007 s. 185 and 186.]</w:t>
      </w:r>
    </w:p>
    <w:p>
      <w:pPr>
        <w:pStyle w:val="yEdnoteschedule"/>
      </w:pPr>
      <w:r>
        <w:t>[Schedule deleted by No. 38 of 2007 s. 187.]</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nHeading2"/>
      </w:pPr>
      <w:bookmarkStart w:id="74" w:name="_Toc189884141"/>
      <w:bookmarkStart w:id="75" w:name="_Toc524299982"/>
      <w:r>
        <w:t>Notes</w:t>
      </w:r>
      <w:bookmarkEnd w:id="74"/>
      <w:bookmarkEnd w:id="75"/>
    </w:p>
    <w:p>
      <w:pPr>
        <w:pStyle w:val="nSubsection"/>
        <w:rPr>
          <w:snapToGrid w:val="0"/>
        </w:rPr>
      </w:pPr>
      <w:r>
        <w:rPr>
          <w:snapToGrid w:val="0"/>
          <w:vertAlign w:val="superscript"/>
        </w:rPr>
        <w:t>1</w:t>
      </w:r>
      <w:r>
        <w:rPr>
          <w:snapToGrid w:val="0"/>
        </w:rPr>
        <w:tab/>
        <w:t xml:space="preserve">This is a compilation of the </w:t>
      </w:r>
      <w:r>
        <w:rPr>
          <w:i/>
          <w:noProof/>
          <w:snapToGrid w:val="0"/>
        </w:rPr>
        <w:t>Waterways Conservation Act 1976</w:t>
      </w:r>
      <w:r>
        <w:rPr>
          <w:snapToGrid w:val="0"/>
        </w:rPr>
        <w:t xml:space="preserve"> and includes the amendments made by the other written laws referred to in the following table </w:t>
      </w:r>
      <w:r>
        <w:rPr>
          <w:snapToGrid w:val="0"/>
          <w:vertAlign w:val="superscript"/>
        </w:rPr>
        <w:t>10</w:t>
      </w:r>
      <w:r>
        <w:rPr>
          <w:snapToGrid w:val="0"/>
        </w:rPr>
        <w:t>.  The table also contains information about any reprint.</w:t>
      </w:r>
    </w:p>
    <w:p>
      <w:pPr>
        <w:pStyle w:val="nHeading3"/>
        <w:rPr>
          <w:snapToGrid w:val="0"/>
        </w:rPr>
      </w:pPr>
      <w:bookmarkStart w:id="76" w:name="_Toc524299983"/>
      <w:r>
        <w:rPr>
          <w:snapToGrid w:val="0"/>
        </w:rPr>
        <w:t>Compilation table</w:t>
      </w:r>
      <w:bookmarkEnd w:id="76"/>
    </w:p>
    <w:tbl>
      <w:tblPr>
        <w:tblW w:w="7108" w:type="dxa"/>
        <w:tblInd w:w="28" w:type="dxa"/>
        <w:tblLayout w:type="fixed"/>
        <w:tblCellMar>
          <w:left w:w="56" w:type="dxa"/>
          <w:right w:w="56" w:type="dxa"/>
        </w:tblCellMar>
        <w:tblLook w:val="0000" w:firstRow="0" w:lastRow="0" w:firstColumn="0" w:lastColumn="0" w:noHBand="0" w:noVBand="0"/>
      </w:tblPr>
      <w:tblGrid>
        <w:gridCol w:w="2259"/>
        <w:gridCol w:w="13"/>
        <w:gridCol w:w="1116"/>
        <w:gridCol w:w="17"/>
        <w:gridCol w:w="1112"/>
        <w:gridCol w:w="21"/>
        <w:gridCol w:w="2516"/>
        <w:gridCol w:w="33"/>
        <w:gridCol w:w="21"/>
      </w:tblGrid>
      <w:tr>
        <w:trPr>
          <w:gridAfter w:val="2"/>
          <w:wAfter w:w="54" w:type="dxa"/>
          <w:tblHeader/>
        </w:trPr>
        <w:tc>
          <w:tcPr>
            <w:tcW w:w="2259" w:type="dxa"/>
            <w:tcBorders>
              <w:top w:val="single" w:sz="8" w:space="0" w:color="auto"/>
              <w:bottom w:val="single" w:sz="8" w:space="0" w:color="auto"/>
            </w:tcBorders>
          </w:tcPr>
          <w:p>
            <w:pPr>
              <w:pStyle w:val="nTable"/>
              <w:spacing w:after="40"/>
              <w:rPr>
                <w:b/>
                <w:sz w:val="19"/>
              </w:rPr>
            </w:pPr>
            <w:r>
              <w:rPr>
                <w:b/>
                <w:sz w:val="19"/>
              </w:rPr>
              <w:t>Short title</w:t>
            </w:r>
          </w:p>
        </w:tc>
        <w:tc>
          <w:tcPr>
            <w:tcW w:w="1129"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29" w:type="dxa"/>
            <w:gridSpan w:val="2"/>
            <w:tcBorders>
              <w:top w:val="single" w:sz="8" w:space="0" w:color="auto"/>
              <w:bottom w:val="single" w:sz="8" w:space="0" w:color="auto"/>
            </w:tcBorders>
          </w:tcPr>
          <w:p>
            <w:pPr>
              <w:pStyle w:val="nTable"/>
              <w:spacing w:after="40"/>
              <w:rPr>
                <w:b/>
                <w:sz w:val="19"/>
              </w:rPr>
            </w:pPr>
            <w:r>
              <w:rPr>
                <w:b/>
                <w:sz w:val="19"/>
              </w:rPr>
              <w:t>Assent</w:t>
            </w:r>
          </w:p>
        </w:tc>
        <w:tc>
          <w:tcPr>
            <w:tcW w:w="2537"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54" w:type="dxa"/>
          <w:cantSplit/>
        </w:trPr>
        <w:tc>
          <w:tcPr>
            <w:tcW w:w="2259" w:type="dxa"/>
          </w:tcPr>
          <w:p>
            <w:pPr>
              <w:pStyle w:val="nTable"/>
              <w:spacing w:after="40"/>
              <w:rPr>
                <w:sz w:val="19"/>
              </w:rPr>
            </w:pPr>
            <w:r>
              <w:rPr>
                <w:i/>
                <w:sz w:val="19"/>
              </w:rPr>
              <w:t>Waterways Conservation Act 1976</w:t>
            </w:r>
          </w:p>
        </w:tc>
        <w:tc>
          <w:tcPr>
            <w:tcW w:w="1129" w:type="dxa"/>
            <w:gridSpan w:val="2"/>
          </w:tcPr>
          <w:p>
            <w:pPr>
              <w:pStyle w:val="nTable"/>
              <w:spacing w:after="40"/>
              <w:rPr>
                <w:sz w:val="19"/>
              </w:rPr>
            </w:pPr>
            <w:r>
              <w:rPr>
                <w:sz w:val="19"/>
              </w:rPr>
              <w:t>131 of 1976</w:t>
            </w:r>
          </w:p>
        </w:tc>
        <w:tc>
          <w:tcPr>
            <w:tcW w:w="1129" w:type="dxa"/>
            <w:gridSpan w:val="2"/>
          </w:tcPr>
          <w:p>
            <w:pPr>
              <w:pStyle w:val="nTable"/>
              <w:spacing w:after="40"/>
              <w:rPr>
                <w:sz w:val="19"/>
              </w:rPr>
            </w:pPr>
            <w:r>
              <w:rPr>
                <w:sz w:val="19"/>
              </w:rPr>
              <w:t>9 Dec 1976</w:t>
            </w:r>
          </w:p>
        </w:tc>
        <w:tc>
          <w:tcPr>
            <w:tcW w:w="2537" w:type="dxa"/>
            <w:gridSpan w:val="2"/>
          </w:tcPr>
          <w:p>
            <w:pPr>
              <w:pStyle w:val="nTable"/>
              <w:spacing w:after="40"/>
              <w:rPr>
                <w:sz w:val="19"/>
              </w:rPr>
            </w:pPr>
            <w:r>
              <w:rPr>
                <w:sz w:val="19"/>
              </w:rPr>
              <w:t>s. 1</w:t>
            </w:r>
            <w:r>
              <w:rPr>
                <w:sz w:val="19"/>
              </w:rPr>
              <w:noBreakHyphen/>
              <w:t>3, 14, 16</w:t>
            </w:r>
            <w:r>
              <w:rPr>
                <w:sz w:val="19"/>
              </w:rPr>
              <w:noBreakHyphen/>
              <w:t xml:space="preserve">20: 25 Mar 1977 (see s. 2 and </w:t>
            </w:r>
            <w:r>
              <w:rPr>
                <w:i/>
                <w:sz w:val="19"/>
              </w:rPr>
              <w:t>Gazette</w:t>
            </w:r>
            <w:r>
              <w:rPr>
                <w:sz w:val="19"/>
              </w:rPr>
              <w:t xml:space="preserve"> 25 Mar 1977 p. 829); </w:t>
            </w:r>
            <w:r>
              <w:rPr>
                <w:sz w:val="19"/>
              </w:rPr>
              <w:br/>
              <w:t xml:space="preserve">balance: 22 Jul 1977 (see s. 2 and </w:t>
            </w:r>
            <w:r>
              <w:rPr>
                <w:i/>
                <w:sz w:val="19"/>
              </w:rPr>
              <w:t>Gazette</w:t>
            </w:r>
            <w:r>
              <w:rPr>
                <w:sz w:val="19"/>
              </w:rPr>
              <w:t xml:space="preserve"> 22 Jul 1977 p. 2335)</w:t>
            </w:r>
          </w:p>
        </w:tc>
      </w:tr>
      <w:tr>
        <w:trPr>
          <w:gridAfter w:val="2"/>
          <w:wAfter w:w="54" w:type="dxa"/>
          <w:cantSplit/>
        </w:trPr>
        <w:tc>
          <w:tcPr>
            <w:tcW w:w="2259" w:type="dxa"/>
          </w:tcPr>
          <w:p>
            <w:pPr>
              <w:pStyle w:val="nTable"/>
              <w:spacing w:after="40"/>
              <w:rPr>
                <w:sz w:val="19"/>
              </w:rPr>
            </w:pPr>
            <w:r>
              <w:rPr>
                <w:i/>
                <w:sz w:val="19"/>
              </w:rPr>
              <w:t>Waterways Conservation Amendment Act 1980</w:t>
            </w:r>
          </w:p>
        </w:tc>
        <w:tc>
          <w:tcPr>
            <w:tcW w:w="1129" w:type="dxa"/>
            <w:gridSpan w:val="2"/>
          </w:tcPr>
          <w:p>
            <w:pPr>
              <w:pStyle w:val="nTable"/>
              <w:spacing w:after="40"/>
              <w:rPr>
                <w:sz w:val="19"/>
              </w:rPr>
            </w:pPr>
            <w:r>
              <w:rPr>
                <w:sz w:val="19"/>
              </w:rPr>
              <w:t>16 of 1980</w:t>
            </w:r>
          </w:p>
        </w:tc>
        <w:tc>
          <w:tcPr>
            <w:tcW w:w="1129" w:type="dxa"/>
            <w:gridSpan w:val="2"/>
          </w:tcPr>
          <w:p>
            <w:pPr>
              <w:pStyle w:val="nTable"/>
              <w:spacing w:after="40"/>
              <w:rPr>
                <w:sz w:val="19"/>
              </w:rPr>
            </w:pPr>
            <w:r>
              <w:rPr>
                <w:sz w:val="19"/>
              </w:rPr>
              <w:t>15 Oct 1980</w:t>
            </w:r>
          </w:p>
        </w:tc>
        <w:tc>
          <w:tcPr>
            <w:tcW w:w="2537" w:type="dxa"/>
            <w:gridSpan w:val="2"/>
          </w:tcPr>
          <w:p>
            <w:pPr>
              <w:pStyle w:val="nTable"/>
              <w:spacing w:after="40"/>
              <w:rPr>
                <w:sz w:val="19"/>
              </w:rPr>
            </w:pPr>
            <w:r>
              <w:rPr>
                <w:sz w:val="19"/>
              </w:rPr>
              <w:t>12 Nov 1980</w:t>
            </w:r>
          </w:p>
        </w:tc>
      </w:tr>
      <w:tr>
        <w:trPr>
          <w:gridAfter w:val="2"/>
          <w:wAfter w:w="54" w:type="dxa"/>
          <w:cantSplit/>
        </w:trPr>
        <w:tc>
          <w:tcPr>
            <w:tcW w:w="2259" w:type="dxa"/>
          </w:tcPr>
          <w:p>
            <w:pPr>
              <w:pStyle w:val="nTable"/>
              <w:spacing w:after="40"/>
              <w:rPr>
                <w:sz w:val="19"/>
              </w:rPr>
            </w:pPr>
            <w:r>
              <w:rPr>
                <w:i/>
                <w:sz w:val="19"/>
              </w:rPr>
              <w:t>Waterways Conservation Amendment Act 1982</w:t>
            </w:r>
          </w:p>
        </w:tc>
        <w:tc>
          <w:tcPr>
            <w:tcW w:w="1129" w:type="dxa"/>
            <w:gridSpan w:val="2"/>
          </w:tcPr>
          <w:p>
            <w:pPr>
              <w:pStyle w:val="nTable"/>
              <w:spacing w:after="40"/>
              <w:rPr>
                <w:sz w:val="19"/>
              </w:rPr>
            </w:pPr>
            <w:r>
              <w:rPr>
                <w:sz w:val="19"/>
              </w:rPr>
              <w:t>97 of 1982</w:t>
            </w:r>
          </w:p>
        </w:tc>
        <w:tc>
          <w:tcPr>
            <w:tcW w:w="1129" w:type="dxa"/>
            <w:gridSpan w:val="2"/>
          </w:tcPr>
          <w:p>
            <w:pPr>
              <w:pStyle w:val="nTable"/>
              <w:spacing w:after="40"/>
              <w:rPr>
                <w:sz w:val="19"/>
              </w:rPr>
            </w:pPr>
            <w:r>
              <w:rPr>
                <w:sz w:val="19"/>
              </w:rPr>
              <w:t>22 Nov 1982</w:t>
            </w:r>
          </w:p>
        </w:tc>
        <w:tc>
          <w:tcPr>
            <w:tcW w:w="2537" w:type="dxa"/>
            <w:gridSpan w:val="2"/>
          </w:tcPr>
          <w:p>
            <w:pPr>
              <w:pStyle w:val="nTable"/>
              <w:spacing w:after="40"/>
              <w:rPr>
                <w:sz w:val="19"/>
              </w:rPr>
            </w:pPr>
            <w:r>
              <w:rPr>
                <w:sz w:val="19"/>
              </w:rPr>
              <w:t>22 Nov 1982</w:t>
            </w:r>
          </w:p>
        </w:tc>
      </w:tr>
      <w:tr>
        <w:trPr>
          <w:gridAfter w:val="2"/>
          <w:wAfter w:w="54" w:type="dxa"/>
          <w:cantSplit/>
        </w:trPr>
        <w:tc>
          <w:tcPr>
            <w:tcW w:w="2259" w:type="dxa"/>
          </w:tcPr>
          <w:p>
            <w:pPr>
              <w:pStyle w:val="nTable"/>
              <w:spacing w:after="40"/>
              <w:rPr>
                <w:sz w:val="19"/>
              </w:rPr>
            </w:pPr>
            <w:r>
              <w:rPr>
                <w:i/>
                <w:sz w:val="19"/>
              </w:rPr>
              <w:t xml:space="preserve">Acts Amendment and Repeal (Disqualification for Parliament) Act 1984 </w:t>
            </w:r>
            <w:r>
              <w:rPr>
                <w:sz w:val="19"/>
              </w:rPr>
              <w:t>s. 22</w:t>
            </w:r>
          </w:p>
        </w:tc>
        <w:tc>
          <w:tcPr>
            <w:tcW w:w="1129" w:type="dxa"/>
            <w:gridSpan w:val="2"/>
          </w:tcPr>
          <w:p>
            <w:pPr>
              <w:pStyle w:val="nTable"/>
              <w:spacing w:after="40"/>
              <w:rPr>
                <w:sz w:val="19"/>
              </w:rPr>
            </w:pPr>
            <w:r>
              <w:rPr>
                <w:sz w:val="19"/>
              </w:rPr>
              <w:t>78 of 1984</w:t>
            </w:r>
          </w:p>
        </w:tc>
        <w:tc>
          <w:tcPr>
            <w:tcW w:w="1129" w:type="dxa"/>
            <w:gridSpan w:val="2"/>
          </w:tcPr>
          <w:p>
            <w:pPr>
              <w:pStyle w:val="nTable"/>
              <w:spacing w:after="40"/>
              <w:rPr>
                <w:sz w:val="19"/>
              </w:rPr>
            </w:pPr>
            <w:r>
              <w:rPr>
                <w:sz w:val="19"/>
              </w:rPr>
              <w:t>14 Nov 1984</w:t>
            </w:r>
          </w:p>
        </w:tc>
        <w:tc>
          <w:tcPr>
            <w:tcW w:w="2537" w:type="dxa"/>
            <w:gridSpan w:val="2"/>
          </w:tcPr>
          <w:p>
            <w:pPr>
              <w:pStyle w:val="nTable"/>
              <w:spacing w:after="40"/>
              <w:rPr>
                <w:sz w:val="19"/>
              </w:rPr>
            </w:pPr>
            <w:r>
              <w:rPr>
                <w:sz w:val="19"/>
              </w:rPr>
              <w:t xml:space="preserve">1 Jul 1985 (see s. 2 and </w:t>
            </w:r>
            <w:r>
              <w:rPr>
                <w:i/>
                <w:sz w:val="19"/>
              </w:rPr>
              <w:t xml:space="preserve">Gazette </w:t>
            </w:r>
            <w:r>
              <w:rPr>
                <w:sz w:val="19"/>
              </w:rPr>
              <w:t>17 May 1985 p. 1671)</w:t>
            </w:r>
          </w:p>
        </w:tc>
      </w:tr>
      <w:tr>
        <w:trPr>
          <w:gridAfter w:val="2"/>
          <w:wAfter w:w="54" w:type="dxa"/>
          <w:cantSplit/>
        </w:trPr>
        <w:tc>
          <w:tcPr>
            <w:tcW w:w="2259" w:type="dxa"/>
          </w:tcPr>
          <w:p>
            <w:pPr>
              <w:pStyle w:val="nTable"/>
              <w:spacing w:after="40"/>
              <w:rPr>
                <w:sz w:val="19"/>
              </w:rPr>
            </w:pPr>
            <w:r>
              <w:rPr>
                <w:i/>
                <w:sz w:val="19"/>
              </w:rPr>
              <w:t xml:space="preserve">Acts Amendment (Financial Administration and Audit) Act 1985 </w:t>
            </w:r>
            <w:r>
              <w:rPr>
                <w:sz w:val="19"/>
              </w:rPr>
              <w:t>s. 3</w:t>
            </w:r>
          </w:p>
        </w:tc>
        <w:tc>
          <w:tcPr>
            <w:tcW w:w="1129" w:type="dxa"/>
            <w:gridSpan w:val="2"/>
          </w:tcPr>
          <w:p>
            <w:pPr>
              <w:pStyle w:val="nTable"/>
              <w:spacing w:after="40"/>
              <w:rPr>
                <w:sz w:val="19"/>
              </w:rPr>
            </w:pPr>
            <w:r>
              <w:rPr>
                <w:sz w:val="19"/>
              </w:rPr>
              <w:t>98 of 1985</w:t>
            </w:r>
          </w:p>
        </w:tc>
        <w:tc>
          <w:tcPr>
            <w:tcW w:w="1129" w:type="dxa"/>
            <w:gridSpan w:val="2"/>
          </w:tcPr>
          <w:p>
            <w:pPr>
              <w:pStyle w:val="nTable"/>
              <w:spacing w:after="40"/>
              <w:rPr>
                <w:sz w:val="19"/>
              </w:rPr>
            </w:pPr>
            <w:r>
              <w:rPr>
                <w:sz w:val="19"/>
              </w:rPr>
              <w:t>4 Dec 1985</w:t>
            </w:r>
          </w:p>
        </w:tc>
        <w:tc>
          <w:tcPr>
            <w:tcW w:w="2537"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54" w:type="dxa"/>
          <w:cantSplit/>
        </w:trPr>
        <w:tc>
          <w:tcPr>
            <w:tcW w:w="2259" w:type="dxa"/>
          </w:tcPr>
          <w:p>
            <w:pPr>
              <w:pStyle w:val="nTable"/>
              <w:keepNext/>
              <w:spacing w:after="40"/>
              <w:rPr>
                <w:sz w:val="19"/>
              </w:rPr>
            </w:pPr>
            <w:r>
              <w:rPr>
                <w:i/>
                <w:sz w:val="19"/>
              </w:rPr>
              <w:t>Acts Amendment and Repeal (Environmental Protection) Act 1986</w:t>
            </w:r>
            <w:r>
              <w:rPr>
                <w:sz w:val="19"/>
              </w:rPr>
              <w:t xml:space="preserve"> Pt. IX</w:t>
            </w:r>
          </w:p>
        </w:tc>
        <w:tc>
          <w:tcPr>
            <w:tcW w:w="1129" w:type="dxa"/>
            <w:gridSpan w:val="2"/>
          </w:tcPr>
          <w:p>
            <w:pPr>
              <w:pStyle w:val="nTable"/>
              <w:keepNext/>
              <w:spacing w:after="40"/>
              <w:rPr>
                <w:sz w:val="19"/>
              </w:rPr>
            </w:pPr>
            <w:r>
              <w:rPr>
                <w:sz w:val="19"/>
              </w:rPr>
              <w:t>77 of 1986</w:t>
            </w:r>
          </w:p>
        </w:tc>
        <w:tc>
          <w:tcPr>
            <w:tcW w:w="1129" w:type="dxa"/>
            <w:gridSpan w:val="2"/>
          </w:tcPr>
          <w:p>
            <w:pPr>
              <w:pStyle w:val="nTable"/>
              <w:keepNext/>
              <w:spacing w:after="40"/>
              <w:rPr>
                <w:sz w:val="19"/>
              </w:rPr>
            </w:pPr>
            <w:r>
              <w:rPr>
                <w:sz w:val="19"/>
              </w:rPr>
              <w:t>4 Dec 1986</w:t>
            </w:r>
          </w:p>
        </w:tc>
        <w:tc>
          <w:tcPr>
            <w:tcW w:w="2537" w:type="dxa"/>
            <w:gridSpan w:val="2"/>
          </w:tcPr>
          <w:p>
            <w:pPr>
              <w:pStyle w:val="nTable"/>
              <w:keepNext/>
              <w:spacing w:after="40"/>
              <w:rPr>
                <w:sz w:val="19"/>
              </w:rPr>
            </w:pPr>
            <w:r>
              <w:rPr>
                <w:sz w:val="19"/>
              </w:rPr>
              <w:t xml:space="preserve">20 Feb 1987 (see s. 2 and </w:t>
            </w:r>
            <w:r>
              <w:rPr>
                <w:i/>
                <w:sz w:val="19"/>
              </w:rPr>
              <w:t>Gazette</w:t>
            </w:r>
            <w:r>
              <w:rPr>
                <w:sz w:val="19"/>
              </w:rPr>
              <w:t xml:space="preserve"> 20 Feb 1987 p. 440)</w:t>
            </w:r>
          </w:p>
        </w:tc>
      </w:tr>
      <w:tr>
        <w:trPr>
          <w:gridAfter w:val="2"/>
          <w:wAfter w:w="54" w:type="dxa"/>
          <w:cantSplit/>
        </w:trPr>
        <w:tc>
          <w:tcPr>
            <w:tcW w:w="2259" w:type="dxa"/>
          </w:tcPr>
          <w:p>
            <w:pPr>
              <w:pStyle w:val="nTable"/>
              <w:spacing w:after="40"/>
              <w:rPr>
                <w:sz w:val="19"/>
              </w:rPr>
            </w:pPr>
            <w:r>
              <w:rPr>
                <w:i/>
                <w:sz w:val="19"/>
              </w:rPr>
              <w:t xml:space="preserve">Acts Amendment (Public Service) Act 1987 </w:t>
            </w:r>
            <w:r>
              <w:rPr>
                <w:sz w:val="19"/>
              </w:rPr>
              <w:t>s. 32</w:t>
            </w:r>
          </w:p>
        </w:tc>
        <w:tc>
          <w:tcPr>
            <w:tcW w:w="1129" w:type="dxa"/>
            <w:gridSpan w:val="2"/>
          </w:tcPr>
          <w:p>
            <w:pPr>
              <w:pStyle w:val="nTable"/>
              <w:spacing w:after="40"/>
              <w:rPr>
                <w:sz w:val="19"/>
              </w:rPr>
            </w:pPr>
            <w:r>
              <w:rPr>
                <w:sz w:val="19"/>
              </w:rPr>
              <w:t>113 of 1987</w:t>
            </w:r>
          </w:p>
        </w:tc>
        <w:tc>
          <w:tcPr>
            <w:tcW w:w="1129" w:type="dxa"/>
            <w:gridSpan w:val="2"/>
          </w:tcPr>
          <w:p>
            <w:pPr>
              <w:pStyle w:val="nTable"/>
              <w:spacing w:after="40"/>
              <w:rPr>
                <w:sz w:val="19"/>
              </w:rPr>
            </w:pPr>
            <w:r>
              <w:rPr>
                <w:sz w:val="19"/>
              </w:rPr>
              <w:t>31 Dec 1987</w:t>
            </w:r>
          </w:p>
        </w:tc>
        <w:tc>
          <w:tcPr>
            <w:tcW w:w="2537" w:type="dxa"/>
            <w:gridSpan w:val="2"/>
          </w:tcPr>
          <w:p>
            <w:pPr>
              <w:pStyle w:val="nTable"/>
              <w:spacing w:after="40"/>
              <w:rPr>
                <w:sz w:val="19"/>
              </w:rPr>
            </w:pPr>
            <w:r>
              <w:rPr>
                <w:sz w:val="19"/>
              </w:rPr>
              <w:t xml:space="preserve">16 Mar 1988 (see s. 2 and </w:t>
            </w:r>
            <w:r>
              <w:rPr>
                <w:i/>
                <w:sz w:val="19"/>
              </w:rPr>
              <w:t xml:space="preserve">Gazette </w:t>
            </w:r>
            <w:r>
              <w:rPr>
                <w:sz w:val="19"/>
              </w:rPr>
              <w:t>16 Mar 1988 p. 813)</w:t>
            </w:r>
          </w:p>
        </w:tc>
      </w:tr>
      <w:tr>
        <w:trPr>
          <w:gridAfter w:val="2"/>
          <w:wAfter w:w="54" w:type="dxa"/>
          <w:cantSplit/>
        </w:trPr>
        <w:tc>
          <w:tcPr>
            <w:tcW w:w="2259" w:type="dxa"/>
          </w:tcPr>
          <w:p>
            <w:pPr>
              <w:pStyle w:val="nTable"/>
              <w:spacing w:after="40"/>
              <w:rPr>
                <w:sz w:val="19"/>
              </w:rPr>
            </w:pPr>
            <w:r>
              <w:rPr>
                <w:i/>
                <w:sz w:val="19"/>
              </w:rPr>
              <w:t>Acts Amendment (Swan River Trust) Act 1988</w:t>
            </w:r>
            <w:r>
              <w:rPr>
                <w:sz w:val="19"/>
              </w:rPr>
              <w:t xml:space="preserve"> Pt. 10</w:t>
            </w:r>
          </w:p>
        </w:tc>
        <w:tc>
          <w:tcPr>
            <w:tcW w:w="1129" w:type="dxa"/>
            <w:gridSpan w:val="2"/>
          </w:tcPr>
          <w:p>
            <w:pPr>
              <w:pStyle w:val="nTable"/>
              <w:spacing w:after="40"/>
              <w:rPr>
                <w:sz w:val="19"/>
              </w:rPr>
            </w:pPr>
            <w:r>
              <w:rPr>
                <w:sz w:val="19"/>
              </w:rPr>
              <w:t>21 of 1988</w:t>
            </w:r>
          </w:p>
        </w:tc>
        <w:tc>
          <w:tcPr>
            <w:tcW w:w="1129" w:type="dxa"/>
            <w:gridSpan w:val="2"/>
          </w:tcPr>
          <w:p>
            <w:pPr>
              <w:pStyle w:val="nTable"/>
              <w:spacing w:after="40"/>
              <w:rPr>
                <w:sz w:val="19"/>
              </w:rPr>
            </w:pPr>
            <w:r>
              <w:rPr>
                <w:sz w:val="19"/>
              </w:rPr>
              <w:t>5 Oct 1988</w:t>
            </w:r>
          </w:p>
        </w:tc>
        <w:tc>
          <w:tcPr>
            <w:tcW w:w="2537" w:type="dxa"/>
            <w:gridSpan w:val="2"/>
          </w:tcPr>
          <w:p>
            <w:pPr>
              <w:pStyle w:val="nTable"/>
              <w:spacing w:after="40"/>
              <w:rPr>
                <w:sz w:val="19"/>
              </w:rPr>
            </w:pPr>
            <w:r>
              <w:rPr>
                <w:sz w:val="19"/>
              </w:rPr>
              <w:t xml:space="preserve">1 Mar 1989 (see s. 2 and </w:t>
            </w:r>
            <w:r>
              <w:rPr>
                <w:i/>
                <w:sz w:val="19"/>
              </w:rPr>
              <w:t xml:space="preserve">Gazette </w:t>
            </w:r>
            <w:r>
              <w:rPr>
                <w:sz w:val="19"/>
              </w:rPr>
              <w:t>27 Jan 1989 p. 264)</w:t>
            </w:r>
          </w:p>
        </w:tc>
      </w:tr>
      <w:tr>
        <w:trPr>
          <w:gridAfter w:val="2"/>
          <w:wAfter w:w="54" w:type="dxa"/>
          <w:cantSplit/>
        </w:trPr>
        <w:tc>
          <w:tcPr>
            <w:tcW w:w="2259" w:type="dxa"/>
          </w:tcPr>
          <w:p>
            <w:pPr>
              <w:pStyle w:val="nTable"/>
              <w:spacing w:after="40"/>
              <w:rPr>
                <w:sz w:val="19"/>
              </w:rPr>
            </w:pPr>
            <w:r>
              <w:rPr>
                <w:i/>
                <w:sz w:val="19"/>
              </w:rPr>
              <w:t xml:space="preserve">Guardianship and Administration Act 1990 </w:t>
            </w:r>
            <w:r>
              <w:rPr>
                <w:sz w:val="19"/>
              </w:rPr>
              <w:t>s. 123</w:t>
            </w:r>
          </w:p>
        </w:tc>
        <w:tc>
          <w:tcPr>
            <w:tcW w:w="1129" w:type="dxa"/>
            <w:gridSpan w:val="2"/>
          </w:tcPr>
          <w:p>
            <w:pPr>
              <w:pStyle w:val="nTable"/>
              <w:spacing w:after="40"/>
              <w:rPr>
                <w:sz w:val="19"/>
              </w:rPr>
            </w:pPr>
            <w:r>
              <w:rPr>
                <w:sz w:val="19"/>
              </w:rPr>
              <w:t>24 of 1990</w:t>
            </w:r>
          </w:p>
        </w:tc>
        <w:tc>
          <w:tcPr>
            <w:tcW w:w="1129" w:type="dxa"/>
            <w:gridSpan w:val="2"/>
          </w:tcPr>
          <w:p>
            <w:pPr>
              <w:pStyle w:val="nTable"/>
              <w:spacing w:after="40"/>
              <w:rPr>
                <w:sz w:val="19"/>
              </w:rPr>
            </w:pPr>
            <w:r>
              <w:rPr>
                <w:sz w:val="19"/>
              </w:rPr>
              <w:t>7 Sep 1990</w:t>
            </w:r>
          </w:p>
        </w:tc>
        <w:tc>
          <w:tcPr>
            <w:tcW w:w="2537" w:type="dxa"/>
            <w:gridSpan w:val="2"/>
          </w:tcPr>
          <w:p>
            <w:pPr>
              <w:pStyle w:val="nTable"/>
              <w:spacing w:after="40"/>
              <w:rPr>
                <w:sz w:val="19"/>
              </w:rPr>
            </w:pPr>
            <w:r>
              <w:rPr>
                <w:sz w:val="19"/>
              </w:rPr>
              <w:t xml:space="preserve">20 Oct 1992 (see s. 2 and </w:t>
            </w:r>
            <w:r>
              <w:rPr>
                <w:i/>
                <w:sz w:val="19"/>
              </w:rPr>
              <w:t xml:space="preserve">Gazette </w:t>
            </w:r>
            <w:r>
              <w:rPr>
                <w:sz w:val="19"/>
              </w:rPr>
              <w:t>2 Oct 1992 p. 4811)</w:t>
            </w:r>
          </w:p>
        </w:tc>
      </w:tr>
      <w:tr>
        <w:trPr>
          <w:gridAfter w:val="2"/>
          <w:wAfter w:w="54" w:type="dxa"/>
          <w:cantSplit/>
        </w:trPr>
        <w:tc>
          <w:tcPr>
            <w:tcW w:w="2259" w:type="dxa"/>
          </w:tcPr>
          <w:p>
            <w:pPr>
              <w:pStyle w:val="nTable"/>
              <w:spacing w:after="40"/>
              <w:rPr>
                <w:sz w:val="19"/>
              </w:rPr>
            </w:pPr>
            <w:r>
              <w:rPr>
                <w:i/>
                <w:sz w:val="19"/>
              </w:rPr>
              <w:t xml:space="preserve">Financial Administration Legislation Amendment Act 1993 </w:t>
            </w:r>
            <w:r>
              <w:rPr>
                <w:sz w:val="19"/>
              </w:rPr>
              <w:t>s. 11</w:t>
            </w:r>
          </w:p>
        </w:tc>
        <w:tc>
          <w:tcPr>
            <w:tcW w:w="1129" w:type="dxa"/>
            <w:gridSpan w:val="2"/>
          </w:tcPr>
          <w:p>
            <w:pPr>
              <w:pStyle w:val="nTable"/>
              <w:spacing w:after="40"/>
              <w:rPr>
                <w:sz w:val="19"/>
              </w:rPr>
            </w:pPr>
            <w:r>
              <w:rPr>
                <w:sz w:val="19"/>
              </w:rPr>
              <w:t>6 of 1993</w:t>
            </w:r>
          </w:p>
        </w:tc>
        <w:tc>
          <w:tcPr>
            <w:tcW w:w="1129" w:type="dxa"/>
            <w:gridSpan w:val="2"/>
          </w:tcPr>
          <w:p>
            <w:pPr>
              <w:pStyle w:val="nTable"/>
              <w:spacing w:after="40"/>
              <w:rPr>
                <w:sz w:val="19"/>
              </w:rPr>
            </w:pPr>
            <w:r>
              <w:rPr>
                <w:sz w:val="19"/>
              </w:rPr>
              <w:t>27 Aug 1993</w:t>
            </w:r>
          </w:p>
        </w:tc>
        <w:tc>
          <w:tcPr>
            <w:tcW w:w="2537" w:type="dxa"/>
            <w:gridSpan w:val="2"/>
          </w:tcPr>
          <w:p>
            <w:pPr>
              <w:pStyle w:val="nTable"/>
              <w:spacing w:after="40"/>
              <w:rPr>
                <w:sz w:val="19"/>
              </w:rPr>
            </w:pPr>
            <w:r>
              <w:rPr>
                <w:sz w:val="19"/>
              </w:rPr>
              <w:t>1 Jul 1993 (see s. 2(1))</w:t>
            </w:r>
          </w:p>
        </w:tc>
      </w:tr>
      <w:tr>
        <w:trPr>
          <w:gridAfter w:val="2"/>
          <w:wAfter w:w="54" w:type="dxa"/>
          <w:cantSplit/>
        </w:trPr>
        <w:tc>
          <w:tcPr>
            <w:tcW w:w="2259" w:type="dxa"/>
          </w:tcPr>
          <w:p>
            <w:pPr>
              <w:pStyle w:val="nTable"/>
              <w:spacing w:after="40"/>
              <w:rPr>
                <w:sz w:val="19"/>
              </w:rPr>
            </w:pPr>
            <w:r>
              <w:rPr>
                <w:i/>
                <w:sz w:val="19"/>
              </w:rPr>
              <w:t xml:space="preserve">Acts Amendment (Public Sector Management) Act 1994 </w:t>
            </w:r>
            <w:r>
              <w:rPr>
                <w:sz w:val="19"/>
              </w:rPr>
              <w:t>s. 19</w:t>
            </w:r>
          </w:p>
        </w:tc>
        <w:tc>
          <w:tcPr>
            <w:tcW w:w="1129" w:type="dxa"/>
            <w:gridSpan w:val="2"/>
          </w:tcPr>
          <w:p>
            <w:pPr>
              <w:pStyle w:val="nTable"/>
              <w:spacing w:after="40"/>
              <w:rPr>
                <w:sz w:val="19"/>
              </w:rPr>
            </w:pPr>
            <w:r>
              <w:rPr>
                <w:sz w:val="19"/>
              </w:rPr>
              <w:t>32 of 1994</w:t>
            </w:r>
          </w:p>
        </w:tc>
        <w:tc>
          <w:tcPr>
            <w:tcW w:w="1129" w:type="dxa"/>
            <w:gridSpan w:val="2"/>
          </w:tcPr>
          <w:p>
            <w:pPr>
              <w:pStyle w:val="nTable"/>
              <w:spacing w:after="40"/>
              <w:rPr>
                <w:sz w:val="19"/>
              </w:rPr>
            </w:pPr>
            <w:r>
              <w:rPr>
                <w:sz w:val="19"/>
              </w:rPr>
              <w:t>29 Jun 1994</w:t>
            </w:r>
          </w:p>
        </w:tc>
        <w:tc>
          <w:tcPr>
            <w:tcW w:w="2537" w:type="dxa"/>
            <w:gridSpan w:val="2"/>
          </w:tcPr>
          <w:p>
            <w:pPr>
              <w:pStyle w:val="nTable"/>
              <w:spacing w:after="40"/>
              <w:rPr>
                <w:sz w:val="19"/>
              </w:rPr>
            </w:pPr>
            <w:r>
              <w:rPr>
                <w:sz w:val="19"/>
              </w:rPr>
              <w:t xml:space="preserve">1 Oct 1994 (see s. 2 and </w:t>
            </w:r>
            <w:r>
              <w:rPr>
                <w:i/>
                <w:sz w:val="19"/>
              </w:rPr>
              <w:t xml:space="preserve">Gazette </w:t>
            </w:r>
            <w:r>
              <w:rPr>
                <w:sz w:val="19"/>
              </w:rPr>
              <w:t>30 Sep 1994 p. 4948)</w:t>
            </w:r>
          </w:p>
        </w:tc>
      </w:tr>
      <w:tr>
        <w:trPr>
          <w:gridAfter w:val="2"/>
          <w:wAfter w:w="54" w:type="dxa"/>
          <w:cantSplit/>
        </w:trPr>
        <w:tc>
          <w:tcPr>
            <w:tcW w:w="2259" w:type="dxa"/>
          </w:tcPr>
          <w:p>
            <w:pPr>
              <w:pStyle w:val="nTable"/>
              <w:spacing w:after="40"/>
              <w:rPr>
                <w:sz w:val="19"/>
              </w:rPr>
            </w:pPr>
            <w:r>
              <w:rPr>
                <w:i/>
                <w:sz w:val="19"/>
              </w:rPr>
              <w:t xml:space="preserve">Fish Resources Management Act 1994 </w:t>
            </w:r>
            <w:r>
              <w:rPr>
                <w:sz w:val="19"/>
              </w:rPr>
              <w:t>s. 264</w:t>
            </w:r>
          </w:p>
        </w:tc>
        <w:tc>
          <w:tcPr>
            <w:tcW w:w="1129" w:type="dxa"/>
            <w:gridSpan w:val="2"/>
          </w:tcPr>
          <w:p>
            <w:pPr>
              <w:pStyle w:val="nTable"/>
              <w:spacing w:after="40"/>
              <w:rPr>
                <w:sz w:val="19"/>
              </w:rPr>
            </w:pPr>
            <w:r>
              <w:rPr>
                <w:sz w:val="19"/>
              </w:rPr>
              <w:t>53 of 1994</w:t>
            </w:r>
          </w:p>
        </w:tc>
        <w:tc>
          <w:tcPr>
            <w:tcW w:w="1129" w:type="dxa"/>
            <w:gridSpan w:val="2"/>
          </w:tcPr>
          <w:p>
            <w:pPr>
              <w:pStyle w:val="nTable"/>
              <w:spacing w:after="40"/>
              <w:rPr>
                <w:sz w:val="19"/>
              </w:rPr>
            </w:pPr>
            <w:r>
              <w:rPr>
                <w:sz w:val="19"/>
              </w:rPr>
              <w:t>2 Nov 1994</w:t>
            </w:r>
          </w:p>
        </w:tc>
        <w:tc>
          <w:tcPr>
            <w:tcW w:w="2537" w:type="dxa"/>
            <w:gridSpan w:val="2"/>
          </w:tcPr>
          <w:p>
            <w:pPr>
              <w:pStyle w:val="nTable"/>
              <w:spacing w:after="40"/>
              <w:rPr>
                <w:sz w:val="19"/>
              </w:rPr>
            </w:pPr>
            <w:r>
              <w:rPr>
                <w:sz w:val="19"/>
              </w:rPr>
              <w:t xml:space="preserve">1 Oct 1995 (see s. 2 and </w:t>
            </w:r>
            <w:r>
              <w:rPr>
                <w:i/>
                <w:sz w:val="19"/>
              </w:rPr>
              <w:t xml:space="preserve">Gazette </w:t>
            </w:r>
            <w:r>
              <w:rPr>
                <w:sz w:val="19"/>
              </w:rPr>
              <w:t>29 Sep 1995 p. 4649)</w:t>
            </w:r>
          </w:p>
        </w:tc>
      </w:tr>
      <w:tr>
        <w:trPr>
          <w:gridAfter w:val="2"/>
          <w:wAfter w:w="54" w:type="dxa"/>
          <w:cantSplit/>
        </w:trPr>
        <w:tc>
          <w:tcPr>
            <w:tcW w:w="2259" w:type="dxa"/>
          </w:tcPr>
          <w:p>
            <w:pPr>
              <w:pStyle w:val="nTable"/>
              <w:spacing w:after="40"/>
              <w:rPr>
                <w:sz w:val="19"/>
              </w:rPr>
            </w:pPr>
            <w:r>
              <w:rPr>
                <w:i/>
                <w:sz w:val="19"/>
              </w:rPr>
              <w:t xml:space="preserve">Planning Legislation Amendment Act (No. 2) 1994 </w:t>
            </w:r>
            <w:r>
              <w:rPr>
                <w:sz w:val="19"/>
              </w:rPr>
              <w:t>s. 46(13)</w:t>
            </w:r>
          </w:p>
        </w:tc>
        <w:tc>
          <w:tcPr>
            <w:tcW w:w="1129" w:type="dxa"/>
            <w:gridSpan w:val="2"/>
          </w:tcPr>
          <w:p>
            <w:pPr>
              <w:pStyle w:val="nTable"/>
              <w:spacing w:after="40"/>
              <w:rPr>
                <w:sz w:val="19"/>
              </w:rPr>
            </w:pPr>
            <w:r>
              <w:rPr>
                <w:sz w:val="19"/>
              </w:rPr>
              <w:t>84 of 1994</w:t>
            </w:r>
          </w:p>
        </w:tc>
        <w:tc>
          <w:tcPr>
            <w:tcW w:w="1129" w:type="dxa"/>
            <w:gridSpan w:val="2"/>
          </w:tcPr>
          <w:p>
            <w:pPr>
              <w:pStyle w:val="nTable"/>
              <w:spacing w:after="40"/>
              <w:rPr>
                <w:sz w:val="19"/>
              </w:rPr>
            </w:pPr>
            <w:r>
              <w:rPr>
                <w:sz w:val="19"/>
              </w:rPr>
              <w:t>13 Jan 1995</w:t>
            </w:r>
          </w:p>
        </w:tc>
        <w:tc>
          <w:tcPr>
            <w:tcW w:w="2537" w:type="dxa"/>
            <w:gridSpan w:val="2"/>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gridAfter w:val="2"/>
          <w:wAfter w:w="54" w:type="dxa"/>
          <w:cantSplit/>
        </w:trPr>
        <w:tc>
          <w:tcPr>
            <w:tcW w:w="2259" w:type="dxa"/>
          </w:tcPr>
          <w:p>
            <w:pPr>
              <w:pStyle w:val="nTable"/>
              <w:keepNext/>
              <w:spacing w:after="40"/>
              <w:rPr>
                <w:sz w:val="19"/>
              </w:rPr>
            </w:pPr>
            <w:r>
              <w:rPr>
                <w:i/>
                <w:sz w:val="19"/>
              </w:rPr>
              <w:t xml:space="preserve">Industrial Legislation Amendment Act 1995 </w:t>
            </w:r>
            <w:r>
              <w:rPr>
                <w:sz w:val="19"/>
              </w:rPr>
              <w:t>s. 35</w:t>
            </w:r>
          </w:p>
        </w:tc>
        <w:tc>
          <w:tcPr>
            <w:tcW w:w="1129" w:type="dxa"/>
            <w:gridSpan w:val="2"/>
          </w:tcPr>
          <w:p>
            <w:pPr>
              <w:pStyle w:val="nTable"/>
              <w:keepNext/>
              <w:spacing w:after="40"/>
              <w:rPr>
                <w:sz w:val="19"/>
              </w:rPr>
            </w:pPr>
            <w:r>
              <w:rPr>
                <w:sz w:val="19"/>
              </w:rPr>
              <w:t>1 of 1995</w:t>
            </w:r>
          </w:p>
        </w:tc>
        <w:tc>
          <w:tcPr>
            <w:tcW w:w="1129" w:type="dxa"/>
            <w:gridSpan w:val="2"/>
          </w:tcPr>
          <w:p>
            <w:pPr>
              <w:pStyle w:val="nTable"/>
              <w:keepNext/>
              <w:spacing w:after="40"/>
              <w:rPr>
                <w:sz w:val="19"/>
              </w:rPr>
            </w:pPr>
            <w:r>
              <w:rPr>
                <w:sz w:val="19"/>
              </w:rPr>
              <w:t>9 May 1995</w:t>
            </w:r>
          </w:p>
        </w:tc>
        <w:tc>
          <w:tcPr>
            <w:tcW w:w="2537" w:type="dxa"/>
            <w:gridSpan w:val="2"/>
          </w:tcPr>
          <w:p>
            <w:pPr>
              <w:pStyle w:val="nTable"/>
              <w:keepNext/>
              <w:spacing w:after="40"/>
              <w:rPr>
                <w:sz w:val="19"/>
              </w:rPr>
            </w:pPr>
            <w:r>
              <w:rPr>
                <w:sz w:val="19"/>
              </w:rPr>
              <w:t xml:space="preserve">1 Jan 1996 (see s. 2(2) and </w:t>
            </w:r>
            <w:r>
              <w:rPr>
                <w:i/>
                <w:sz w:val="19"/>
              </w:rPr>
              <w:t>Gazette</w:t>
            </w:r>
            <w:r>
              <w:rPr>
                <w:sz w:val="19"/>
              </w:rPr>
              <w:t xml:space="preserve"> 24 Nov 1995 p. 5389)</w:t>
            </w:r>
          </w:p>
        </w:tc>
      </w:tr>
      <w:tr>
        <w:trPr>
          <w:gridAfter w:val="2"/>
          <w:wAfter w:w="54" w:type="dxa"/>
          <w:cantSplit/>
        </w:trPr>
        <w:tc>
          <w:tcPr>
            <w:tcW w:w="2259" w:type="dxa"/>
          </w:tcPr>
          <w:p>
            <w:pPr>
              <w:pStyle w:val="nTable"/>
              <w:keepNext/>
              <w:spacing w:after="40"/>
              <w:rPr>
                <w:sz w:val="19"/>
                <w:vertAlign w:val="superscript"/>
              </w:rPr>
            </w:pPr>
            <w:r>
              <w:rPr>
                <w:i/>
                <w:sz w:val="19"/>
              </w:rPr>
              <w:t>Water Agencies Restructure (Transitional and Consequential Provisions) Act 1995</w:t>
            </w:r>
            <w:r>
              <w:rPr>
                <w:sz w:val="19"/>
              </w:rPr>
              <w:t xml:space="preserve"> Pt. 12</w:t>
            </w:r>
            <w:r>
              <w:rPr>
                <w:sz w:val="19"/>
                <w:vertAlign w:val="superscript"/>
              </w:rPr>
              <w:t xml:space="preserve"> 8</w:t>
            </w:r>
          </w:p>
        </w:tc>
        <w:tc>
          <w:tcPr>
            <w:tcW w:w="1129" w:type="dxa"/>
            <w:gridSpan w:val="2"/>
          </w:tcPr>
          <w:p>
            <w:pPr>
              <w:pStyle w:val="nTable"/>
              <w:keepNext/>
              <w:spacing w:after="40"/>
              <w:rPr>
                <w:sz w:val="19"/>
              </w:rPr>
            </w:pPr>
            <w:r>
              <w:rPr>
                <w:sz w:val="19"/>
              </w:rPr>
              <w:t>73 of 1995</w:t>
            </w:r>
          </w:p>
        </w:tc>
        <w:tc>
          <w:tcPr>
            <w:tcW w:w="1129" w:type="dxa"/>
            <w:gridSpan w:val="2"/>
          </w:tcPr>
          <w:p>
            <w:pPr>
              <w:pStyle w:val="nTable"/>
              <w:keepNext/>
              <w:spacing w:after="40"/>
              <w:rPr>
                <w:sz w:val="19"/>
              </w:rPr>
            </w:pPr>
            <w:r>
              <w:rPr>
                <w:sz w:val="19"/>
              </w:rPr>
              <w:t>27 Dec 1995</w:t>
            </w:r>
          </w:p>
        </w:tc>
        <w:tc>
          <w:tcPr>
            <w:tcW w:w="2537" w:type="dxa"/>
            <w:gridSpan w:val="2"/>
          </w:tcPr>
          <w:p>
            <w:pPr>
              <w:pStyle w:val="nTable"/>
              <w:keepNext/>
              <w:spacing w:after="40"/>
              <w:rPr>
                <w:sz w:val="19"/>
              </w:rPr>
            </w:pPr>
            <w:r>
              <w:rPr>
                <w:sz w:val="19"/>
              </w:rPr>
              <w:t>1 Jan 1996 (see s. 2(2) and </w:t>
            </w:r>
            <w:r>
              <w:rPr>
                <w:i/>
                <w:sz w:val="19"/>
              </w:rPr>
              <w:t>Gazette</w:t>
            </w:r>
            <w:r>
              <w:rPr>
                <w:sz w:val="19"/>
              </w:rPr>
              <w:t xml:space="preserve"> 29 Dec 1995 p. 6291)</w:t>
            </w:r>
          </w:p>
        </w:tc>
      </w:tr>
      <w:tr>
        <w:trPr>
          <w:gridAfter w:val="2"/>
          <w:wAfter w:w="54" w:type="dxa"/>
          <w:cantSplit/>
        </w:trPr>
        <w:tc>
          <w:tcPr>
            <w:tcW w:w="2259" w:type="dxa"/>
          </w:tcPr>
          <w:p>
            <w:pPr>
              <w:pStyle w:val="nTable"/>
              <w:spacing w:after="40"/>
              <w:rPr>
                <w:sz w:val="19"/>
              </w:rPr>
            </w:pPr>
            <w:r>
              <w:rPr>
                <w:i/>
                <w:sz w:val="19"/>
              </w:rPr>
              <w:t xml:space="preserve">Sentencing (Consequential Provisions) Act 1995 </w:t>
            </w:r>
            <w:r>
              <w:rPr>
                <w:sz w:val="19"/>
              </w:rPr>
              <w:t>Pt. 82</w:t>
            </w:r>
          </w:p>
        </w:tc>
        <w:tc>
          <w:tcPr>
            <w:tcW w:w="1129" w:type="dxa"/>
            <w:gridSpan w:val="2"/>
          </w:tcPr>
          <w:p>
            <w:pPr>
              <w:pStyle w:val="nTable"/>
              <w:spacing w:after="40"/>
              <w:rPr>
                <w:sz w:val="19"/>
              </w:rPr>
            </w:pPr>
            <w:r>
              <w:rPr>
                <w:sz w:val="19"/>
              </w:rPr>
              <w:t>78 of 1995</w:t>
            </w:r>
          </w:p>
        </w:tc>
        <w:tc>
          <w:tcPr>
            <w:tcW w:w="1129" w:type="dxa"/>
            <w:gridSpan w:val="2"/>
          </w:tcPr>
          <w:p>
            <w:pPr>
              <w:pStyle w:val="nTable"/>
              <w:spacing w:after="40"/>
              <w:rPr>
                <w:sz w:val="19"/>
              </w:rPr>
            </w:pPr>
            <w:r>
              <w:rPr>
                <w:sz w:val="19"/>
              </w:rPr>
              <w:t>16 Jan 1996</w:t>
            </w:r>
          </w:p>
        </w:tc>
        <w:tc>
          <w:tcPr>
            <w:tcW w:w="2537"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gridAfter w:val="2"/>
          <w:wAfter w:w="54" w:type="dxa"/>
          <w:cantSplit/>
        </w:trPr>
        <w:tc>
          <w:tcPr>
            <w:tcW w:w="7054" w:type="dxa"/>
            <w:gridSpan w:val="7"/>
          </w:tcPr>
          <w:p>
            <w:pPr>
              <w:pStyle w:val="nTable"/>
              <w:spacing w:after="40"/>
              <w:rPr>
                <w:b/>
                <w:sz w:val="19"/>
              </w:rPr>
            </w:pPr>
            <w:r>
              <w:rPr>
                <w:b/>
                <w:sz w:val="19"/>
              </w:rPr>
              <w:t xml:space="preserve">Reprint of the </w:t>
            </w:r>
            <w:r>
              <w:rPr>
                <w:b/>
                <w:i/>
                <w:sz w:val="19"/>
              </w:rPr>
              <w:t>Waterways Conservation Act 1976</w:t>
            </w:r>
            <w:r>
              <w:rPr>
                <w:b/>
                <w:sz w:val="19"/>
              </w:rPr>
              <w:t xml:space="preserve"> as at 1 Mar 1996 </w:t>
            </w:r>
            <w:r>
              <w:rPr>
                <w:sz w:val="19"/>
              </w:rPr>
              <w:t>(includes amendments listed above except those in the</w:t>
            </w:r>
            <w:r>
              <w:rPr>
                <w:i/>
                <w:sz w:val="19"/>
              </w:rPr>
              <w:t xml:space="preserve"> Sentencing (Consequential Provisions) Act 1995</w:t>
            </w:r>
            <w:r>
              <w:rPr>
                <w:sz w:val="19"/>
              </w:rPr>
              <w:t>)</w:t>
            </w:r>
          </w:p>
        </w:tc>
      </w:tr>
      <w:tr>
        <w:trPr>
          <w:gridAfter w:val="2"/>
          <w:wAfter w:w="54" w:type="dxa"/>
          <w:cantSplit/>
        </w:trPr>
        <w:tc>
          <w:tcPr>
            <w:tcW w:w="2259" w:type="dxa"/>
          </w:tcPr>
          <w:p>
            <w:pPr>
              <w:pStyle w:val="nTable"/>
              <w:spacing w:after="40"/>
              <w:rPr>
                <w:sz w:val="19"/>
              </w:rPr>
            </w:pPr>
            <w:r>
              <w:rPr>
                <w:i/>
                <w:sz w:val="19"/>
              </w:rPr>
              <w:t xml:space="preserve">Local Government (Consequential Amendments) Act 1996 </w:t>
            </w:r>
            <w:r>
              <w:rPr>
                <w:sz w:val="19"/>
              </w:rPr>
              <w:t>s. 4</w:t>
            </w:r>
          </w:p>
        </w:tc>
        <w:tc>
          <w:tcPr>
            <w:tcW w:w="1129" w:type="dxa"/>
            <w:gridSpan w:val="2"/>
          </w:tcPr>
          <w:p>
            <w:pPr>
              <w:pStyle w:val="nTable"/>
              <w:spacing w:after="40"/>
              <w:rPr>
                <w:sz w:val="19"/>
              </w:rPr>
            </w:pPr>
            <w:r>
              <w:rPr>
                <w:sz w:val="19"/>
              </w:rPr>
              <w:t>14 of 1996</w:t>
            </w:r>
          </w:p>
        </w:tc>
        <w:tc>
          <w:tcPr>
            <w:tcW w:w="1129" w:type="dxa"/>
            <w:gridSpan w:val="2"/>
          </w:tcPr>
          <w:p>
            <w:pPr>
              <w:pStyle w:val="nTable"/>
              <w:spacing w:after="40"/>
              <w:rPr>
                <w:sz w:val="19"/>
              </w:rPr>
            </w:pPr>
            <w:r>
              <w:rPr>
                <w:sz w:val="19"/>
              </w:rPr>
              <w:t>28 Jun 1996</w:t>
            </w:r>
          </w:p>
        </w:tc>
        <w:tc>
          <w:tcPr>
            <w:tcW w:w="2537" w:type="dxa"/>
            <w:gridSpan w:val="2"/>
          </w:tcPr>
          <w:p>
            <w:pPr>
              <w:pStyle w:val="nTable"/>
              <w:spacing w:after="40"/>
              <w:rPr>
                <w:sz w:val="19"/>
              </w:rPr>
            </w:pPr>
            <w:r>
              <w:rPr>
                <w:sz w:val="19"/>
              </w:rPr>
              <w:t>1 Jul 1996 (see s. 2)</w:t>
            </w:r>
          </w:p>
        </w:tc>
      </w:tr>
      <w:tr>
        <w:trPr>
          <w:gridAfter w:val="2"/>
          <w:wAfter w:w="54" w:type="dxa"/>
          <w:cantSplit/>
        </w:trPr>
        <w:tc>
          <w:tcPr>
            <w:tcW w:w="2259" w:type="dxa"/>
          </w:tcPr>
          <w:p>
            <w:pPr>
              <w:pStyle w:val="nTable"/>
              <w:spacing w:after="40"/>
              <w:rPr>
                <w:sz w:val="19"/>
              </w:rPr>
            </w:pPr>
            <w:r>
              <w:rPr>
                <w:i/>
                <w:sz w:val="19"/>
              </w:rPr>
              <w:t>Acts Amendment (Land Administration) Act 1997</w:t>
            </w:r>
            <w:r>
              <w:rPr>
                <w:sz w:val="19"/>
              </w:rPr>
              <w:t xml:space="preserve"> Pt. 66 and s. 141</w:t>
            </w:r>
          </w:p>
        </w:tc>
        <w:tc>
          <w:tcPr>
            <w:tcW w:w="1129" w:type="dxa"/>
            <w:gridSpan w:val="2"/>
          </w:tcPr>
          <w:p>
            <w:pPr>
              <w:pStyle w:val="nTable"/>
              <w:spacing w:after="40"/>
              <w:rPr>
                <w:sz w:val="19"/>
              </w:rPr>
            </w:pPr>
            <w:r>
              <w:rPr>
                <w:sz w:val="19"/>
              </w:rPr>
              <w:t>31 of 1997</w:t>
            </w:r>
          </w:p>
        </w:tc>
        <w:tc>
          <w:tcPr>
            <w:tcW w:w="1129" w:type="dxa"/>
            <w:gridSpan w:val="2"/>
          </w:tcPr>
          <w:p>
            <w:pPr>
              <w:pStyle w:val="nTable"/>
              <w:spacing w:after="40"/>
              <w:rPr>
                <w:sz w:val="19"/>
              </w:rPr>
            </w:pPr>
            <w:r>
              <w:rPr>
                <w:sz w:val="19"/>
              </w:rPr>
              <w:t>3 Oct 1997</w:t>
            </w:r>
          </w:p>
        </w:tc>
        <w:tc>
          <w:tcPr>
            <w:tcW w:w="2537" w:type="dxa"/>
            <w:gridSpan w:val="2"/>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gridAfter w:val="2"/>
          <w:wAfter w:w="54" w:type="dxa"/>
          <w:cantSplit/>
        </w:trPr>
        <w:tc>
          <w:tcPr>
            <w:tcW w:w="2259" w:type="dxa"/>
          </w:tcPr>
          <w:p>
            <w:pPr>
              <w:pStyle w:val="nTable"/>
              <w:spacing w:after="40"/>
              <w:rPr>
                <w:sz w:val="19"/>
              </w:rPr>
            </w:pPr>
            <w:r>
              <w:rPr>
                <w:i/>
                <w:sz w:val="19"/>
              </w:rPr>
              <w:t xml:space="preserve">Statutes (Repeals and Minor Amendments) Act 1997 </w:t>
            </w:r>
            <w:r>
              <w:rPr>
                <w:sz w:val="19"/>
              </w:rPr>
              <w:t>s. 127</w:t>
            </w:r>
          </w:p>
        </w:tc>
        <w:tc>
          <w:tcPr>
            <w:tcW w:w="1129" w:type="dxa"/>
            <w:gridSpan w:val="2"/>
          </w:tcPr>
          <w:p>
            <w:pPr>
              <w:pStyle w:val="nTable"/>
              <w:spacing w:after="40"/>
              <w:rPr>
                <w:sz w:val="19"/>
              </w:rPr>
            </w:pPr>
            <w:r>
              <w:rPr>
                <w:sz w:val="19"/>
              </w:rPr>
              <w:t>57 of 1997</w:t>
            </w:r>
          </w:p>
        </w:tc>
        <w:tc>
          <w:tcPr>
            <w:tcW w:w="1129" w:type="dxa"/>
            <w:gridSpan w:val="2"/>
          </w:tcPr>
          <w:p>
            <w:pPr>
              <w:pStyle w:val="nTable"/>
              <w:spacing w:after="40"/>
              <w:rPr>
                <w:sz w:val="19"/>
              </w:rPr>
            </w:pPr>
            <w:r>
              <w:rPr>
                <w:sz w:val="19"/>
              </w:rPr>
              <w:t>15 Dec 1997</w:t>
            </w:r>
          </w:p>
        </w:tc>
        <w:tc>
          <w:tcPr>
            <w:tcW w:w="2537" w:type="dxa"/>
            <w:gridSpan w:val="2"/>
          </w:tcPr>
          <w:p>
            <w:pPr>
              <w:pStyle w:val="nTable"/>
              <w:spacing w:after="40"/>
              <w:rPr>
                <w:sz w:val="19"/>
              </w:rPr>
            </w:pPr>
            <w:r>
              <w:rPr>
                <w:sz w:val="19"/>
              </w:rPr>
              <w:t>15 Dec 1997 (see s. 2(1))</w:t>
            </w:r>
          </w:p>
        </w:tc>
      </w:tr>
      <w:tr>
        <w:trPr>
          <w:gridAfter w:val="2"/>
          <w:wAfter w:w="54" w:type="dxa"/>
          <w:cantSplit/>
        </w:trPr>
        <w:tc>
          <w:tcPr>
            <w:tcW w:w="2259" w:type="dxa"/>
          </w:tcPr>
          <w:p>
            <w:pPr>
              <w:pStyle w:val="nTable"/>
              <w:spacing w:after="40"/>
              <w:rPr>
                <w:sz w:val="19"/>
              </w:rPr>
            </w:pPr>
            <w:r>
              <w:rPr>
                <w:i/>
                <w:sz w:val="19"/>
              </w:rPr>
              <w:t xml:space="preserve">Criminal Investigation (Identifying People) Act 2002 </w:t>
            </w:r>
            <w:r>
              <w:rPr>
                <w:sz w:val="19"/>
              </w:rPr>
              <w:t>s. 96</w:t>
            </w:r>
          </w:p>
        </w:tc>
        <w:tc>
          <w:tcPr>
            <w:tcW w:w="1129" w:type="dxa"/>
            <w:gridSpan w:val="2"/>
          </w:tcPr>
          <w:p>
            <w:pPr>
              <w:pStyle w:val="nTable"/>
              <w:spacing w:after="40"/>
              <w:rPr>
                <w:sz w:val="19"/>
              </w:rPr>
            </w:pPr>
            <w:r>
              <w:rPr>
                <w:sz w:val="19"/>
              </w:rPr>
              <w:t>6 of 2002</w:t>
            </w:r>
          </w:p>
        </w:tc>
        <w:tc>
          <w:tcPr>
            <w:tcW w:w="1129" w:type="dxa"/>
            <w:gridSpan w:val="2"/>
          </w:tcPr>
          <w:p>
            <w:pPr>
              <w:pStyle w:val="nTable"/>
              <w:spacing w:after="40"/>
              <w:rPr>
                <w:sz w:val="19"/>
              </w:rPr>
            </w:pPr>
            <w:r>
              <w:rPr>
                <w:sz w:val="19"/>
              </w:rPr>
              <w:t>4 Jun 2002</w:t>
            </w:r>
          </w:p>
        </w:tc>
        <w:tc>
          <w:tcPr>
            <w:tcW w:w="2537" w:type="dxa"/>
            <w:gridSpan w:val="2"/>
          </w:tcPr>
          <w:p>
            <w:pPr>
              <w:pStyle w:val="nTable"/>
              <w:spacing w:after="40"/>
              <w:rPr>
                <w:sz w:val="19"/>
              </w:rPr>
            </w:pPr>
            <w:r>
              <w:rPr>
                <w:sz w:val="19"/>
              </w:rPr>
              <w:t xml:space="preserve">29 Jun 2002 (see s. 2 and </w:t>
            </w:r>
            <w:r>
              <w:rPr>
                <w:i/>
                <w:sz w:val="19"/>
              </w:rPr>
              <w:t xml:space="preserve">Gazette </w:t>
            </w:r>
            <w:r>
              <w:rPr>
                <w:sz w:val="19"/>
              </w:rPr>
              <w:t>28 Jun 2002 p. 3037)</w:t>
            </w:r>
          </w:p>
        </w:tc>
      </w:tr>
      <w:tr>
        <w:trPr>
          <w:gridAfter w:val="2"/>
          <w:wAfter w:w="54" w:type="dxa"/>
          <w:cantSplit/>
        </w:trPr>
        <w:tc>
          <w:tcPr>
            <w:tcW w:w="7054" w:type="dxa"/>
            <w:gridSpan w:val="7"/>
          </w:tcPr>
          <w:p>
            <w:pPr>
              <w:pStyle w:val="nTable"/>
              <w:spacing w:after="40"/>
              <w:rPr>
                <w:sz w:val="19"/>
              </w:rPr>
            </w:pPr>
            <w:r>
              <w:rPr>
                <w:b/>
                <w:sz w:val="19"/>
              </w:rPr>
              <w:t xml:space="preserve">Reprint of the </w:t>
            </w:r>
            <w:r>
              <w:rPr>
                <w:b/>
                <w:i/>
                <w:sz w:val="19"/>
              </w:rPr>
              <w:t>Waterways Conservation Act 1976</w:t>
            </w:r>
            <w:r>
              <w:rPr>
                <w:b/>
                <w:sz w:val="19"/>
              </w:rPr>
              <w:t xml:space="preserve"> as at 20 Sep 2002 </w:t>
            </w:r>
            <w:r>
              <w:rPr>
                <w:sz w:val="19"/>
              </w:rPr>
              <w:t>(includes amendments listed above)</w:t>
            </w:r>
          </w:p>
        </w:tc>
      </w:tr>
      <w:tr>
        <w:trPr>
          <w:gridAfter w:val="2"/>
          <w:wAfter w:w="54" w:type="dxa"/>
          <w:cantSplit/>
        </w:trPr>
        <w:tc>
          <w:tcPr>
            <w:tcW w:w="2259"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29" w:type="dxa"/>
            <w:gridSpan w:val="2"/>
          </w:tcPr>
          <w:p>
            <w:pPr>
              <w:pStyle w:val="nTable"/>
              <w:spacing w:after="40"/>
              <w:rPr>
                <w:sz w:val="19"/>
              </w:rPr>
            </w:pPr>
            <w:r>
              <w:rPr>
                <w:snapToGrid w:val="0"/>
                <w:sz w:val="19"/>
                <w:lang w:val="en-US"/>
              </w:rPr>
              <w:t>59 of 2004</w:t>
            </w:r>
          </w:p>
        </w:tc>
        <w:tc>
          <w:tcPr>
            <w:tcW w:w="1129" w:type="dxa"/>
            <w:gridSpan w:val="2"/>
          </w:tcPr>
          <w:p>
            <w:pPr>
              <w:pStyle w:val="nTable"/>
              <w:spacing w:after="40"/>
              <w:rPr>
                <w:sz w:val="19"/>
              </w:rPr>
            </w:pPr>
            <w:r>
              <w:rPr>
                <w:sz w:val="19"/>
              </w:rPr>
              <w:t>23 Nov 2004</w:t>
            </w:r>
          </w:p>
        </w:tc>
        <w:tc>
          <w:tcPr>
            <w:tcW w:w="2537" w:type="dxa"/>
            <w:gridSpan w:val="2"/>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gridAfter w:val="2"/>
          <w:wAfter w:w="54" w:type="dxa"/>
          <w:cantSplit/>
        </w:trPr>
        <w:tc>
          <w:tcPr>
            <w:tcW w:w="2259" w:type="dxa"/>
          </w:tcPr>
          <w:p>
            <w:pPr>
              <w:pStyle w:val="nTable"/>
              <w:spacing w:after="40"/>
              <w:rPr>
                <w:sz w:val="19"/>
              </w:rPr>
            </w:pPr>
            <w:r>
              <w:rPr>
                <w:i/>
                <w:sz w:val="19"/>
              </w:rPr>
              <w:t>State Administrative Tribunal (Conferral of Jurisdiction) Amendment and Repeal Act 2004</w:t>
            </w:r>
            <w:r>
              <w:rPr>
                <w:iCs/>
                <w:sz w:val="19"/>
              </w:rPr>
              <w:t xml:space="preserve"> Pt. 2 Div. 134</w:t>
            </w:r>
            <w:r>
              <w:rPr>
                <w:iCs/>
                <w:sz w:val="19"/>
                <w:vertAlign w:val="superscript"/>
              </w:rPr>
              <w:t> 9</w:t>
            </w:r>
          </w:p>
        </w:tc>
        <w:tc>
          <w:tcPr>
            <w:tcW w:w="1129" w:type="dxa"/>
            <w:gridSpan w:val="2"/>
          </w:tcPr>
          <w:p>
            <w:pPr>
              <w:pStyle w:val="nTable"/>
              <w:spacing w:after="40"/>
              <w:rPr>
                <w:sz w:val="19"/>
              </w:rPr>
            </w:pPr>
            <w:r>
              <w:rPr>
                <w:sz w:val="19"/>
              </w:rPr>
              <w:t>55 of 2004</w:t>
            </w:r>
          </w:p>
        </w:tc>
        <w:tc>
          <w:tcPr>
            <w:tcW w:w="1129" w:type="dxa"/>
            <w:gridSpan w:val="2"/>
          </w:tcPr>
          <w:p>
            <w:pPr>
              <w:pStyle w:val="nTable"/>
              <w:spacing w:after="40"/>
              <w:rPr>
                <w:sz w:val="19"/>
              </w:rPr>
            </w:pPr>
            <w:r>
              <w:rPr>
                <w:sz w:val="19"/>
              </w:rPr>
              <w:t>24 Nov 2004</w:t>
            </w:r>
          </w:p>
        </w:tc>
        <w:tc>
          <w:tcPr>
            <w:tcW w:w="2537" w:type="dxa"/>
            <w:gridSpan w:val="2"/>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gridAfter w:val="2"/>
          <w:wAfter w:w="54" w:type="dxa"/>
          <w:cantSplit/>
        </w:trPr>
        <w:tc>
          <w:tcPr>
            <w:tcW w:w="2259" w:type="dxa"/>
          </w:tcPr>
          <w:p>
            <w:pPr>
              <w:pStyle w:val="nTable"/>
              <w:spacing w:after="40"/>
              <w:rPr>
                <w:i/>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80 and 82</w:t>
            </w:r>
          </w:p>
        </w:tc>
        <w:tc>
          <w:tcPr>
            <w:tcW w:w="1129" w:type="dxa"/>
            <w:gridSpan w:val="2"/>
          </w:tcPr>
          <w:p>
            <w:pPr>
              <w:pStyle w:val="nTable"/>
              <w:spacing w:after="40"/>
              <w:rPr>
                <w:snapToGrid w:val="0"/>
                <w:sz w:val="19"/>
                <w:lang w:val="en-US"/>
              </w:rPr>
            </w:pPr>
            <w:r>
              <w:rPr>
                <w:snapToGrid w:val="0"/>
                <w:sz w:val="19"/>
                <w:lang w:val="en-US"/>
              </w:rPr>
              <w:t>84 of 2004</w:t>
            </w:r>
          </w:p>
        </w:tc>
        <w:tc>
          <w:tcPr>
            <w:tcW w:w="1129" w:type="dxa"/>
            <w:gridSpan w:val="2"/>
          </w:tcPr>
          <w:p>
            <w:pPr>
              <w:pStyle w:val="nTable"/>
              <w:spacing w:after="40"/>
              <w:rPr>
                <w:sz w:val="19"/>
              </w:rPr>
            </w:pPr>
            <w:r>
              <w:rPr>
                <w:sz w:val="19"/>
              </w:rPr>
              <w:t>16 Dec 2004</w:t>
            </w:r>
          </w:p>
        </w:tc>
        <w:tc>
          <w:tcPr>
            <w:tcW w:w="2537" w:type="dxa"/>
            <w:gridSpan w:val="2"/>
          </w:tcPr>
          <w:p>
            <w:pPr>
              <w:pStyle w:val="nTable"/>
              <w:spacing w:after="40"/>
              <w:rPr>
                <w:snapToGrid w:val="0"/>
                <w:sz w:val="19"/>
                <w:lang w:val="en-US"/>
              </w:rPr>
            </w:pPr>
            <w:r>
              <w:rPr>
                <w:snapToGrid w:val="0"/>
                <w:sz w:val="19"/>
                <w:lang w:val="en-US"/>
              </w:rPr>
              <w:t xml:space="preserve">2 May 2005 (see s. 2 and </w:t>
            </w:r>
            <w:r>
              <w:rPr>
                <w:i/>
                <w:iCs/>
                <w:snapToGrid w:val="0"/>
                <w:sz w:val="19"/>
                <w:lang w:val="en-US"/>
              </w:rPr>
              <w:t xml:space="preserve">Gazette </w:t>
            </w:r>
            <w:r>
              <w:rPr>
                <w:snapToGrid w:val="0"/>
                <w:sz w:val="19"/>
                <w:lang w:val="en-US"/>
              </w:rPr>
              <w:t xml:space="preserve">31 Dec 2004 p. 7129 (correction in </w:t>
            </w:r>
            <w:r>
              <w:rPr>
                <w:i/>
                <w:iCs/>
                <w:snapToGrid w:val="0"/>
                <w:sz w:val="19"/>
                <w:lang w:val="en-US"/>
              </w:rPr>
              <w:t xml:space="preserve">Gazette </w:t>
            </w:r>
            <w:r>
              <w:rPr>
                <w:snapToGrid w:val="0"/>
                <w:sz w:val="19"/>
                <w:lang w:val="en-US"/>
              </w:rPr>
              <w:t>7 Jan 2005 p. 53))</w:t>
            </w:r>
          </w:p>
        </w:tc>
      </w:tr>
      <w:tr>
        <w:trPr>
          <w:gridAfter w:val="2"/>
          <w:wAfter w:w="54" w:type="dxa"/>
          <w:cantSplit/>
        </w:trPr>
        <w:tc>
          <w:tcPr>
            <w:tcW w:w="2259" w:type="dxa"/>
          </w:tcPr>
          <w:p>
            <w:pPr>
              <w:pStyle w:val="nTable"/>
              <w:spacing w:after="40"/>
              <w:rPr>
                <w:i/>
                <w:iCs/>
                <w:snapToGrid w:val="0"/>
                <w:sz w:val="19"/>
                <w:lang w:val="en-US"/>
              </w:rPr>
            </w:pPr>
            <w:r>
              <w:rPr>
                <w:i/>
                <w:iCs/>
                <w:snapToGrid w:val="0"/>
                <w:sz w:val="19"/>
                <w:lang w:val="en-US"/>
              </w:rPr>
              <w:t>Planning and Development (Consequential and Transitional Provisions) Act 2005</w:t>
            </w:r>
            <w:r>
              <w:rPr>
                <w:snapToGrid w:val="0"/>
                <w:sz w:val="19"/>
                <w:lang w:val="en-US"/>
              </w:rPr>
              <w:t xml:space="preserve"> s. 15</w:t>
            </w:r>
          </w:p>
        </w:tc>
        <w:tc>
          <w:tcPr>
            <w:tcW w:w="1129" w:type="dxa"/>
            <w:gridSpan w:val="2"/>
          </w:tcPr>
          <w:p>
            <w:pPr>
              <w:pStyle w:val="nTable"/>
              <w:spacing w:after="40"/>
              <w:rPr>
                <w:snapToGrid w:val="0"/>
                <w:sz w:val="19"/>
                <w:lang w:val="en-US"/>
              </w:rPr>
            </w:pPr>
            <w:r>
              <w:rPr>
                <w:snapToGrid w:val="0"/>
                <w:sz w:val="19"/>
                <w:lang w:val="en-US"/>
              </w:rPr>
              <w:t>38 of 2005</w:t>
            </w:r>
          </w:p>
        </w:tc>
        <w:tc>
          <w:tcPr>
            <w:tcW w:w="1129" w:type="dxa"/>
            <w:gridSpan w:val="2"/>
          </w:tcPr>
          <w:p>
            <w:pPr>
              <w:pStyle w:val="nTable"/>
              <w:spacing w:after="40"/>
              <w:rPr>
                <w:sz w:val="19"/>
              </w:rPr>
            </w:pPr>
            <w:r>
              <w:rPr>
                <w:sz w:val="19"/>
              </w:rPr>
              <w:t>12 Dec 2005</w:t>
            </w:r>
          </w:p>
        </w:tc>
        <w:tc>
          <w:tcPr>
            <w:tcW w:w="2537" w:type="dxa"/>
            <w:gridSpan w:val="2"/>
          </w:tcPr>
          <w:p>
            <w:pPr>
              <w:pStyle w:val="nTable"/>
              <w:spacing w:after="40"/>
              <w:rPr>
                <w:snapToGrid w:val="0"/>
                <w:sz w:val="19"/>
                <w:lang w:val="en-US"/>
              </w:rPr>
            </w:pPr>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p>
        </w:tc>
      </w:tr>
      <w:tr>
        <w:trPr>
          <w:gridAfter w:val="1"/>
          <w:wAfter w:w="21" w:type="dxa"/>
          <w:cantSplit/>
        </w:trPr>
        <w:tc>
          <w:tcPr>
            <w:tcW w:w="2259" w:type="dxa"/>
          </w:tcPr>
          <w:p>
            <w:pPr>
              <w:pStyle w:val="nTable"/>
              <w:spacing w:after="40"/>
              <w:ind w:left="-28"/>
              <w:rPr>
                <w:i/>
                <w:snapToGrid w:val="0"/>
                <w:sz w:val="19"/>
                <w:lang w:val="en-US"/>
              </w:rPr>
            </w:pPr>
            <w:r>
              <w:rPr>
                <w:i/>
                <w:iCs/>
                <w:snapToGrid w:val="0"/>
                <w:lang w:val="en-US"/>
              </w:rPr>
              <w:t xml:space="preserve">Swan and Canning Rivers (Consequential and Transitional Provisions) Act 2006 </w:t>
            </w:r>
            <w:r>
              <w:rPr>
                <w:snapToGrid w:val="0"/>
                <w:lang w:val="en-US"/>
              </w:rPr>
              <w:t>s. 6</w:t>
            </w:r>
          </w:p>
        </w:tc>
        <w:tc>
          <w:tcPr>
            <w:tcW w:w="1129" w:type="dxa"/>
            <w:gridSpan w:val="2"/>
          </w:tcPr>
          <w:p>
            <w:pPr>
              <w:pStyle w:val="nTable"/>
              <w:spacing w:after="40"/>
              <w:rPr>
                <w:snapToGrid w:val="0"/>
                <w:sz w:val="19"/>
                <w:lang w:val="en-US"/>
              </w:rPr>
            </w:pPr>
            <w:r>
              <w:rPr>
                <w:snapToGrid w:val="0"/>
                <w:lang w:val="en-US"/>
              </w:rPr>
              <w:t>52 of 2006</w:t>
            </w:r>
          </w:p>
        </w:tc>
        <w:tc>
          <w:tcPr>
            <w:tcW w:w="1129" w:type="dxa"/>
            <w:gridSpan w:val="2"/>
          </w:tcPr>
          <w:p>
            <w:pPr>
              <w:pStyle w:val="nTable"/>
              <w:spacing w:after="40"/>
              <w:rPr>
                <w:snapToGrid w:val="0"/>
                <w:sz w:val="19"/>
                <w:lang w:val="en-US"/>
              </w:rPr>
            </w:pPr>
            <w:r>
              <w:rPr>
                <w:snapToGrid w:val="0"/>
                <w:lang w:val="en-US"/>
              </w:rPr>
              <w:t>6 Oct 2006</w:t>
            </w:r>
          </w:p>
        </w:tc>
        <w:tc>
          <w:tcPr>
            <w:tcW w:w="2570" w:type="dxa"/>
            <w:gridSpan w:val="3"/>
          </w:tcPr>
          <w:p>
            <w:pPr>
              <w:pStyle w:val="nTable"/>
              <w:spacing w:after="40"/>
              <w:rPr>
                <w:snapToGrid w:val="0"/>
                <w:sz w:val="19"/>
                <w:lang w:val="en-US"/>
              </w:rPr>
            </w:pPr>
            <w:r>
              <w:rPr>
                <w:snapToGrid w:val="0"/>
                <w:lang w:val="en-US"/>
              </w:rPr>
              <w:t xml:space="preserve">25 Sep 2007 (see s. 2 and </w:t>
            </w:r>
            <w:r>
              <w:rPr>
                <w:i/>
                <w:iCs/>
                <w:snapToGrid w:val="0"/>
                <w:lang w:val="en-US"/>
              </w:rPr>
              <w:t xml:space="preserve">Gazette </w:t>
            </w:r>
            <w:r>
              <w:rPr>
                <w:snapToGrid w:val="0"/>
                <w:lang w:val="en-US"/>
              </w:rPr>
              <w:t>25 Sep 2007 p. 4835)</w:t>
            </w:r>
          </w:p>
        </w:tc>
      </w:tr>
      <w:tr>
        <w:trPr>
          <w:cantSplit/>
        </w:trPr>
        <w:tc>
          <w:tcPr>
            <w:tcW w:w="2259" w:type="dxa"/>
          </w:tcPr>
          <w:p>
            <w:pPr>
              <w:pStyle w:val="nTable"/>
              <w:spacing w:after="40"/>
              <w:rPr>
                <w:i/>
                <w:iCs/>
                <w:snapToGrid w:val="0"/>
                <w:sz w:val="19"/>
                <w:lang w:val="en-US"/>
              </w:rPr>
            </w:pPr>
            <w:r>
              <w:rPr>
                <w:i/>
                <w:iCs/>
                <w:snapToGrid w:val="0"/>
                <w:sz w:val="19"/>
                <w:lang w:val="en-US"/>
              </w:rPr>
              <w:t>Financial Legislation Amendment and Repeal Act 2006</w:t>
            </w:r>
            <w:r>
              <w:rPr>
                <w:snapToGrid w:val="0"/>
                <w:sz w:val="19"/>
                <w:lang w:val="en-US"/>
              </w:rPr>
              <w:t xml:space="preserve"> s. 17</w:t>
            </w:r>
          </w:p>
        </w:tc>
        <w:tc>
          <w:tcPr>
            <w:tcW w:w="1129" w:type="dxa"/>
            <w:gridSpan w:val="2"/>
          </w:tcPr>
          <w:p>
            <w:pPr>
              <w:pStyle w:val="nTable"/>
              <w:spacing w:after="40"/>
              <w:rPr>
                <w:snapToGrid w:val="0"/>
                <w:sz w:val="19"/>
                <w:lang w:val="en-US"/>
              </w:rPr>
            </w:pPr>
            <w:r>
              <w:rPr>
                <w:snapToGrid w:val="0"/>
                <w:sz w:val="19"/>
                <w:lang w:val="en-US"/>
              </w:rPr>
              <w:t>77 of 2006</w:t>
            </w:r>
          </w:p>
        </w:tc>
        <w:tc>
          <w:tcPr>
            <w:tcW w:w="1129" w:type="dxa"/>
            <w:gridSpan w:val="2"/>
          </w:tcPr>
          <w:p>
            <w:pPr>
              <w:pStyle w:val="nTable"/>
              <w:spacing w:after="40"/>
              <w:rPr>
                <w:sz w:val="19"/>
              </w:rPr>
            </w:pPr>
            <w:r>
              <w:rPr>
                <w:sz w:val="19"/>
              </w:rPr>
              <w:t>21 Dec 2006</w:t>
            </w:r>
          </w:p>
        </w:tc>
        <w:tc>
          <w:tcPr>
            <w:tcW w:w="2591" w:type="dxa"/>
            <w:gridSpan w:val="4"/>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108" w:type="dxa"/>
            <w:gridSpan w:val="9"/>
          </w:tcPr>
          <w:p>
            <w:pPr>
              <w:pStyle w:val="nTable"/>
              <w:spacing w:after="40"/>
              <w:rPr>
                <w:snapToGrid w:val="0"/>
                <w:sz w:val="19"/>
                <w:lang w:val="en-US"/>
              </w:rPr>
            </w:pPr>
            <w:r>
              <w:rPr>
                <w:b/>
                <w:sz w:val="19"/>
              </w:rPr>
              <w:t xml:space="preserve">Reprint 3:  The </w:t>
            </w:r>
            <w:r>
              <w:rPr>
                <w:b/>
                <w:i/>
                <w:sz w:val="19"/>
              </w:rPr>
              <w:t>Waterways Conservation Act 1976</w:t>
            </w:r>
            <w:r>
              <w:rPr>
                <w:b/>
                <w:sz w:val="19"/>
              </w:rPr>
              <w:t xml:space="preserve"> as at 6 Apr 2007 </w:t>
            </w:r>
            <w:r>
              <w:rPr>
                <w:sz w:val="19"/>
              </w:rPr>
              <w:t xml:space="preserve">(includes amendments listed above except those in the </w:t>
            </w:r>
            <w:r>
              <w:rPr>
                <w:i/>
                <w:iCs/>
                <w:snapToGrid w:val="0"/>
                <w:lang w:val="en-US"/>
              </w:rPr>
              <w:t>Swan and Canning Rivers (Consequential and Transitional Provisions) Act 2006</w:t>
            </w:r>
            <w:r>
              <w:rPr>
                <w:sz w:val="19"/>
              </w:rPr>
              <w:t>)</w:t>
            </w:r>
          </w:p>
        </w:tc>
      </w:tr>
      <w:tr>
        <w:trPr>
          <w:gridAfter w:val="1"/>
          <w:wAfter w:w="21" w:type="dxa"/>
          <w:cantSplit/>
        </w:trPr>
        <w:tc>
          <w:tcPr>
            <w:tcW w:w="2272" w:type="dxa"/>
            <w:gridSpan w:val="2"/>
          </w:tcPr>
          <w:p>
            <w:pPr>
              <w:pStyle w:val="nTable"/>
              <w:spacing w:after="40"/>
              <w:rPr>
                <w:i/>
                <w:snapToGrid w:val="0"/>
                <w:sz w:val="19"/>
                <w:lang w:val="en-US"/>
              </w:rPr>
            </w:pPr>
            <w:r>
              <w:rPr>
                <w:i/>
                <w:snapToGrid w:val="0"/>
                <w:sz w:val="19"/>
              </w:rPr>
              <w:t>Petroleum Amendment Act 2007</w:t>
            </w:r>
            <w:r>
              <w:rPr>
                <w:iCs/>
                <w:snapToGrid w:val="0"/>
                <w:sz w:val="19"/>
              </w:rPr>
              <w:t xml:space="preserve"> s. 108</w:t>
            </w:r>
          </w:p>
        </w:tc>
        <w:tc>
          <w:tcPr>
            <w:tcW w:w="1133" w:type="dxa"/>
            <w:gridSpan w:val="2"/>
          </w:tcPr>
          <w:p>
            <w:pPr>
              <w:pStyle w:val="nTable"/>
              <w:keepNext/>
              <w:spacing w:after="40"/>
              <w:rPr>
                <w:snapToGrid w:val="0"/>
                <w:sz w:val="19"/>
                <w:lang w:val="en-US"/>
              </w:rPr>
            </w:pPr>
            <w:r>
              <w:rPr>
                <w:sz w:val="19"/>
              </w:rPr>
              <w:t>35 of 2007</w:t>
            </w:r>
          </w:p>
        </w:tc>
        <w:tc>
          <w:tcPr>
            <w:tcW w:w="1133" w:type="dxa"/>
            <w:gridSpan w:val="2"/>
          </w:tcPr>
          <w:p>
            <w:pPr>
              <w:pStyle w:val="nTable"/>
              <w:spacing w:after="40"/>
              <w:rPr>
                <w:snapToGrid w:val="0"/>
                <w:sz w:val="19"/>
                <w:lang w:val="en-US"/>
              </w:rPr>
            </w:pPr>
            <w:r>
              <w:rPr>
                <w:sz w:val="19"/>
              </w:rPr>
              <w:t>21 Dec 2007</w:t>
            </w:r>
          </w:p>
        </w:tc>
        <w:tc>
          <w:tcPr>
            <w:tcW w:w="2549" w:type="dxa"/>
            <w:gridSpan w:val="2"/>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gridAfter w:val="1"/>
          <w:wAfter w:w="21" w:type="dxa"/>
          <w:cantSplit/>
        </w:trPr>
        <w:tc>
          <w:tcPr>
            <w:tcW w:w="2272" w:type="dxa"/>
            <w:gridSpan w:val="2"/>
            <w:tcBorders>
              <w:bottom w:val="single" w:sz="4" w:space="0" w:color="auto"/>
            </w:tcBorders>
          </w:tcPr>
          <w:p>
            <w:pPr>
              <w:pStyle w:val="nTable"/>
              <w:spacing w:after="40"/>
              <w:rPr>
                <w:i/>
                <w:snapToGrid w:val="0"/>
                <w:sz w:val="19"/>
              </w:rPr>
            </w:pPr>
            <w:r>
              <w:rPr>
                <w:i/>
                <w:snapToGrid w:val="0"/>
                <w:sz w:val="19"/>
              </w:rPr>
              <w:t>Water Resources Legislation Amendment Act 2007</w:t>
            </w:r>
            <w:r>
              <w:rPr>
                <w:iCs/>
                <w:snapToGrid w:val="0"/>
                <w:sz w:val="19"/>
              </w:rPr>
              <w:t xml:space="preserve"> Pt. 8 </w:t>
            </w:r>
          </w:p>
        </w:tc>
        <w:tc>
          <w:tcPr>
            <w:tcW w:w="1133" w:type="dxa"/>
            <w:gridSpan w:val="2"/>
            <w:tcBorders>
              <w:bottom w:val="single" w:sz="4" w:space="0" w:color="auto"/>
            </w:tcBorders>
          </w:tcPr>
          <w:p>
            <w:pPr>
              <w:pStyle w:val="nTable"/>
              <w:keepNext/>
              <w:spacing w:after="40"/>
              <w:rPr>
                <w:sz w:val="19"/>
              </w:rPr>
            </w:pPr>
            <w:r>
              <w:rPr>
                <w:snapToGrid w:val="0"/>
                <w:sz w:val="19"/>
                <w:lang w:val="en-US"/>
              </w:rPr>
              <w:t>38 of 2007</w:t>
            </w:r>
          </w:p>
        </w:tc>
        <w:tc>
          <w:tcPr>
            <w:tcW w:w="1133" w:type="dxa"/>
            <w:gridSpan w:val="2"/>
            <w:tcBorders>
              <w:bottom w:val="single" w:sz="4" w:space="0" w:color="auto"/>
            </w:tcBorders>
          </w:tcPr>
          <w:p>
            <w:pPr>
              <w:pStyle w:val="nTable"/>
              <w:spacing w:after="40"/>
              <w:rPr>
                <w:sz w:val="19"/>
              </w:rPr>
            </w:pPr>
            <w:r>
              <w:rPr>
                <w:sz w:val="19"/>
              </w:rPr>
              <w:t>21 Dec 2007</w:t>
            </w:r>
          </w:p>
        </w:tc>
        <w:tc>
          <w:tcPr>
            <w:tcW w:w="2549" w:type="dxa"/>
            <w:gridSpan w:val="2"/>
            <w:tcBorders>
              <w:bottom w:val="single" w:sz="4" w:space="0" w:color="auto"/>
            </w:tcBorders>
          </w:tcPr>
          <w:p>
            <w:pPr>
              <w:pStyle w:val="nTable"/>
              <w:spacing w:after="40"/>
              <w:rPr>
                <w:sz w:val="19"/>
              </w:rPr>
            </w:pPr>
            <w:r>
              <w:rPr>
                <w:sz w:val="19"/>
              </w:rPr>
              <w:t xml:space="preserve">1 Feb 2008 (see s. 2(2) and </w:t>
            </w:r>
            <w:r>
              <w:rPr>
                <w:i/>
                <w:iCs/>
                <w:sz w:val="19"/>
              </w:rPr>
              <w:t>Gazette</w:t>
            </w:r>
            <w:r>
              <w:rPr>
                <w:sz w:val="19"/>
              </w:rPr>
              <w:t xml:space="preserve"> 31 Jan 2008 p. 251)</w:t>
            </w:r>
          </w:p>
        </w:tc>
      </w:tr>
    </w:tbl>
    <w:p>
      <w:pPr>
        <w:pStyle w:val="nSubsection"/>
        <w:rPr>
          <w:i/>
          <w:snapToGrid w:val="0"/>
        </w:rPr>
      </w:pPr>
      <w:r>
        <w:rPr>
          <w:snapToGrid w:val="0"/>
          <w:vertAlign w:val="superscript"/>
        </w:rPr>
        <w:t>2</w:t>
      </w:r>
      <w:r>
        <w:rPr>
          <w:snapToGrid w:val="0"/>
        </w:rPr>
        <w:tab/>
        <w:t xml:space="preserve">Repealed by the </w:t>
      </w:r>
      <w:r>
        <w:rPr>
          <w:i/>
          <w:snapToGrid w:val="0"/>
        </w:rPr>
        <w:t>Interpretation Act 1984.</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Repealed by the </w:t>
      </w:r>
      <w:r>
        <w:rPr>
          <w:i/>
          <w:snapToGrid w:val="0"/>
        </w:rPr>
        <w:t>Industrial Relations Act 1979</w:t>
      </w:r>
      <w:r>
        <w:rPr>
          <w:snapToGrid w:val="0"/>
        </w:rPr>
        <w:t>.</w:t>
      </w:r>
    </w:p>
    <w:p>
      <w:pPr>
        <w:pStyle w:val="nSubsection"/>
        <w:rPr>
          <w:snapToGrid w:val="0"/>
        </w:rPr>
      </w:pPr>
      <w:r>
        <w:rPr>
          <w:snapToGrid w:val="0"/>
          <w:vertAlign w:val="superscript"/>
        </w:rPr>
        <w:t>6, 7</w:t>
      </w:r>
      <w:r>
        <w:rPr>
          <w:snapToGrid w:val="0"/>
          <w:vertAlign w:val="superscript"/>
        </w:rPr>
        <w:tab/>
      </w:r>
      <w:r>
        <w:rPr>
          <w:snapToGrid w:val="0"/>
        </w:rPr>
        <w:t>Foot note no longer applicable.</w:t>
      </w:r>
    </w:p>
    <w:p>
      <w:pPr>
        <w:pStyle w:val="nSubsection"/>
        <w:rPr>
          <w:snapToGrid w:val="0"/>
        </w:rPr>
      </w:pPr>
      <w:r>
        <w:rPr>
          <w:snapToGrid w:val="0"/>
          <w:vertAlign w:val="superscript"/>
        </w:rPr>
        <w:t>8</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MiscOpen"/>
        <w:rPr>
          <w:snapToGrid w:val="0"/>
        </w:rPr>
      </w:pPr>
      <w:r>
        <w:rPr>
          <w:snapToGrid w:val="0"/>
        </w:rPr>
        <w:t>“</w:t>
      </w: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rPr>
          <w:snapToGrid w:val="0"/>
        </w:rPr>
      </w:pPr>
      <w:r>
        <w:rPr>
          <w:snapToGrid w:val="0"/>
        </w:rPr>
        <w:tab/>
        <w:t>(i)</w:t>
      </w:r>
      <w:r>
        <w:rPr>
          <w:snapToGrid w:val="0"/>
        </w:rPr>
        <w:tab/>
        <w:t>the Authority;</w:t>
      </w:r>
    </w:p>
    <w:p>
      <w:pPr>
        <w:pStyle w:val="nzDefsubpara"/>
        <w:rPr>
          <w:snapToGrid w:val="0"/>
        </w:rPr>
      </w:pPr>
      <w:r>
        <w:rPr>
          <w:snapToGrid w:val="0"/>
        </w:rPr>
        <w:tab/>
        <w:t>(ii)</w:t>
      </w:r>
      <w:r>
        <w:rPr>
          <w:snapToGrid w:val="0"/>
        </w:rPr>
        <w:tab/>
        <w:t>the Waterways Commission; or</w:t>
      </w:r>
    </w:p>
    <w:p>
      <w:pPr>
        <w:pStyle w:val="nzDefsubpara"/>
        <w:rPr>
          <w:snapToGrid w:val="0"/>
        </w:rPr>
      </w:pPr>
      <w:r>
        <w:rPr>
          <w:snapToGrid w:val="0"/>
        </w:rPr>
        <w:tab/>
        <w:t>(iii)</w:t>
      </w:r>
      <w:r>
        <w:rPr>
          <w:snapToGrid w:val="0"/>
        </w:rP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MiscClose"/>
      </w:pPr>
      <w:r>
        <w:rPr>
          <w:snapToGrid w:val="0"/>
        </w:rPr>
        <w:t>”.</w:t>
      </w:r>
    </w:p>
    <w:p>
      <w:pPr>
        <w:pStyle w:val="nSubsection"/>
        <w:keepLines/>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keepNext/>
        <w:rPr>
          <w:snapToGrid w:val="0"/>
        </w:rPr>
      </w:pPr>
      <w:bookmarkStart w:id="77" w:name="AutoSch"/>
      <w:bookmarkEnd w:id="77"/>
      <w:r>
        <w:rPr>
          <w:snapToGrid w:val="0"/>
          <w:vertAlign w:val="superscript"/>
        </w:rPr>
        <w:t>10</w:t>
      </w:r>
      <w:r>
        <w:rPr>
          <w:snapToGrid w:val="0"/>
        </w:rPr>
        <w:tab/>
        <w:t xml:space="preserve">The </w:t>
      </w:r>
      <w:r>
        <w:rPr>
          <w:i/>
          <w:snapToGrid w:val="0"/>
          <w:sz w:val="19"/>
        </w:rPr>
        <w:t>Water Resources Legislation Amendment Act 2007</w:t>
      </w:r>
      <w:r>
        <w:rPr>
          <w:iCs/>
          <w:snapToGrid w:val="0"/>
          <w:sz w:val="19"/>
        </w:rPr>
        <w:t xml:space="preserve"> Pt. 11 </w:t>
      </w:r>
      <w:r>
        <w:rPr>
          <w:snapToGrid w:val="0"/>
        </w:rPr>
        <w:t>deals with certain transitional issues some of which may be relevant for this Act.</w:t>
      </w:r>
    </w:p>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Waterways Conservation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434ADC"/>
    <w:multiLevelType w:val="multilevel"/>
    <w:tmpl w:val="6B4A7E40"/>
    <w:name w:val="PartNumbers"/>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15690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AC8C7D8"/>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noProof w:val="0"/>
      <w:sz w:val="22"/>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noProof w:val="0"/>
      <w:sz w:val="22"/>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68</Pages>
  <Words>17603</Words>
  <Characters>83090</Characters>
  <Application>Microsoft Office Word</Application>
  <DocSecurity>0</DocSecurity>
  <Lines>2186</Lines>
  <Paragraphs>1106</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99587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1976 - 03-e0-06</dc:title>
  <dc:subject/>
  <dc:creator/>
  <cp:keywords/>
  <dc:description/>
  <cp:lastModifiedBy>svcMRProcess</cp:lastModifiedBy>
  <cp:revision>4</cp:revision>
  <cp:lastPrinted>2007-04-12T04:34:00Z</cp:lastPrinted>
  <dcterms:created xsi:type="dcterms:W3CDTF">2018-09-09T15:43:00Z</dcterms:created>
  <dcterms:modified xsi:type="dcterms:W3CDTF">2018-09-09T15:43:00Z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20080201</vt:lpwstr>
  </property>
  <property fmtid="{D5CDD505-2E9C-101B-9397-08002B2CF9AE}" pid="4" name="DocumentType">
    <vt:lpwstr>Act</vt:lpwstr>
  </property>
  <property fmtid="{D5CDD505-2E9C-101B-9397-08002B2CF9AE}" pid="5" name="OwlsUID">
    <vt:i4>872</vt:i4>
  </property>
  <property fmtid="{D5CDD505-2E9C-101B-9397-08002B2CF9AE}" pid="6" name="ReprintedAsAt">
    <vt:filetime>2007-04-05T16:00:00Z</vt:filetime>
  </property>
  <property fmtid="{D5CDD505-2E9C-101B-9397-08002B2CF9AE}" pid="7" name="ReprintNo">
    <vt:lpwstr>3</vt:lpwstr>
  </property>
  <property fmtid="{D5CDD505-2E9C-101B-9397-08002B2CF9AE}" pid="8" name="AsAtDate">
    <vt:lpwstr>01 Feb 2008</vt:lpwstr>
  </property>
  <property fmtid="{D5CDD505-2E9C-101B-9397-08002B2CF9AE}" pid="9" name="Suffix">
    <vt:lpwstr>03-e0-06</vt:lpwstr>
  </property>
</Properties>
</file>