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Mines Safety and Inspection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Mines Safety and Inspection Act 1994</w:t>
      </w:r>
      <w:r>
        <w:fldChar w:fldCharType="end"/>
      </w:r>
    </w:p>
    <w:p>
      <w:pPr>
        <w:pStyle w:val="Arrangement"/>
        <w:spacing w:after="360"/>
        <w:ind w:left="2302" w:right="2302"/>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_Toc192041014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_Toc192041015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w:t>
      </w:r>
      <w:r>
        <w:tab/>
      </w:r>
      <w:r>
        <w:fldChar w:fldCharType="begin"/>
      </w:r>
      <w:r>
        <w:instrText xml:space="preserve"> PAGEREF _Toc192041016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_Toc192041017 \h </w:instrText>
      </w:r>
      <w:r>
        <w:fldChar w:fldCharType="separate"/>
      </w:r>
      <w:r>
        <w:t>3</w:t>
      </w:r>
      <w:r>
        <w:fldChar w:fldCharType="end"/>
      </w:r>
    </w:p>
    <w:p>
      <w:pPr>
        <w:pStyle w:val="TOC8"/>
        <w:rPr>
          <w:sz w:val="24"/>
          <w:szCs w:val="24"/>
        </w:rPr>
      </w:pPr>
      <w:r>
        <w:rPr>
          <w:szCs w:val="24"/>
        </w:rPr>
        <w:t>4A.</w:t>
      </w:r>
      <w:r>
        <w:rPr>
          <w:szCs w:val="24"/>
        </w:rPr>
        <w:tab/>
        <w:t>Penalty levels defined</w:t>
      </w:r>
      <w:r>
        <w:tab/>
      </w:r>
      <w:r>
        <w:fldChar w:fldCharType="begin"/>
      </w:r>
      <w:r>
        <w:instrText xml:space="preserve"> PAGEREF _Toc192041018 \h </w:instrText>
      </w:r>
      <w:r>
        <w:fldChar w:fldCharType="separate"/>
      </w:r>
      <w:r>
        <w:t>14</w:t>
      </w:r>
      <w:r>
        <w:fldChar w:fldCharType="end"/>
      </w:r>
    </w:p>
    <w:p>
      <w:pPr>
        <w:pStyle w:val="TOC8"/>
        <w:rPr>
          <w:sz w:val="24"/>
          <w:szCs w:val="24"/>
        </w:rPr>
      </w:pPr>
      <w:r>
        <w:rPr>
          <w:szCs w:val="24"/>
        </w:rPr>
        <w:t>4B.</w:t>
      </w:r>
      <w:r>
        <w:rPr>
          <w:szCs w:val="24"/>
        </w:rPr>
        <w:tab/>
        <w:t>Meaning of “</w:t>
      </w:r>
      <w:r>
        <w:rPr>
          <w:bCs/>
          <w:szCs w:val="24"/>
        </w:rPr>
        <w:t>first offence</w:t>
      </w:r>
      <w:r>
        <w:rPr>
          <w:szCs w:val="24"/>
        </w:rPr>
        <w:t>” and “</w:t>
      </w:r>
      <w:r>
        <w:rPr>
          <w:bCs/>
          <w:szCs w:val="24"/>
        </w:rPr>
        <w:t>subsequent offence</w:t>
      </w:r>
      <w:r>
        <w:rPr>
          <w:szCs w:val="24"/>
        </w:rPr>
        <w:t>”</w:t>
      </w:r>
      <w:r>
        <w:tab/>
      </w:r>
      <w:r>
        <w:fldChar w:fldCharType="begin"/>
      </w:r>
      <w:r>
        <w:instrText xml:space="preserve"> PAGEREF _Toc192041019 \h </w:instrText>
      </w:r>
      <w:r>
        <w:fldChar w:fldCharType="separate"/>
      </w:r>
      <w:r>
        <w:t>16</w:t>
      </w:r>
      <w:r>
        <w:fldChar w:fldCharType="end"/>
      </w:r>
    </w:p>
    <w:p>
      <w:pPr>
        <w:pStyle w:val="TOC8"/>
        <w:rPr>
          <w:sz w:val="24"/>
          <w:szCs w:val="24"/>
        </w:rPr>
      </w:pPr>
      <w:r>
        <w:rPr>
          <w:szCs w:val="24"/>
        </w:rPr>
        <w:t>5</w:t>
      </w:r>
      <w:r>
        <w:rPr>
          <w:snapToGrid w:val="0"/>
          <w:szCs w:val="24"/>
        </w:rPr>
        <w:t>.</w:t>
      </w:r>
      <w:r>
        <w:rPr>
          <w:snapToGrid w:val="0"/>
          <w:szCs w:val="24"/>
        </w:rPr>
        <w:tab/>
        <w:t>Crown bound</w:t>
      </w:r>
      <w:r>
        <w:tab/>
      </w:r>
      <w:r>
        <w:fldChar w:fldCharType="begin"/>
      </w:r>
      <w:r>
        <w:instrText xml:space="preserve"> PAGEREF _Toc192041020 \h </w:instrText>
      </w:r>
      <w:r>
        <w:fldChar w:fldCharType="separate"/>
      </w:r>
      <w:r>
        <w:t>16</w:t>
      </w:r>
      <w:r>
        <w:fldChar w:fldCharType="end"/>
      </w:r>
    </w:p>
    <w:p>
      <w:pPr>
        <w:pStyle w:val="TOC8"/>
        <w:rPr>
          <w:sz w:val="24"/>
          <w:szCs w:val="24"/>
        </w:rPr>
      </w:pPr>
      <w:r>
        <w:rPr>
          <w:szCs w:val="24"/>
        </w:rPr>
        <w:t>6</w:t>
      </w:r>
      <w:r>
        <w:rPr>
          <w:snapToGrid w:val="0"/>
          <w:szCs w:val="24"/>
        </w:rPr>
        <w:t>.</w:t>
      </w:r>
      <w:r>
        <w:rPr>
          <w:snapToGrid w:val="0"/>
          <w:szCs w:val="24"/>
        </w:rPr>
        <w:tab/>
        <w:t>Application to certain excavations, shafts, or tunnels</w:t>
      </w:r>
      <w:r>
        <w:tab/>
      </w:r>
      <w:r>
        <w:fldChar w:fldCharType="begin"/>
      </w:r>
      <w:r>
        <w:instrText xml:space="preserve"> PAGEREF _Toc192041021 \h </w:instrText>
      </w:r>
      <w:r>
        <w:fldChar w:fldCharType="separate"/>
      </w:r>
      <w:r>
        <w:t>16</w:t>
      </w:r>
      <w:r>
        <w:fldChar w:fldCharType="end"/>
      </w:r>
    </w:p>
    <w:p>
      <w:pPr>
        <w:pStyle w:val="TOC8"/>
        <w:rPr>
          <w:sz w:val="24"/>
          <w:szCs w:val="24"/>
        </w:rPr>
      </w:pPr>
      <w:r>
        <w:rPr>
          <w:szCs w:val="24"/>
        </w:rPr>
        <w:t>6A.</w:t>
      </w:r>
      <w:r>
        <w:rPr>
          <w:szCs w:val="24"/>
        </w:rPr>
        <w:tab/>
        <w:t xml:space="preserve">Application of this Act to a workplace under the </w:t>
      </w:r>
      <w:r>
        <w:rPr>
          <w:i/>
          <w:szCs w:val="24"/>
        </w:rPr>
        <w:t>Occupational Safety and Health Act 1984</w:t>
      </w:r>
      <w:r>
        <w:tab/>
      </w:r>
      <w:r>
        <w:fldChar w:fldCharType="begin"/>
      </w:r>
      <w:r>
        <w:instrText xml:space="preserve"> PAGEREF _Toc192041022 \h </w:instrText>
      </w:r>
      <w:r>
        <w:fldChar w:fldCharType="separate"/>
      </w:r>
      <w:r>
        <w:t>17</w:t>
      </w:r>
      <w:r>
        <w:fldChar w:fldCharType="end"/>
      </w:r>
    </w:p>
    <w:p>
      <w:pPr>
        <w:pStyle w:val="TOC8"/>
        <w:rPr>
          <w:sz w:val="24"/>
          <w:szCs w:val="24"/>
        </w:rPr>
      </w:pPr>
      <w:r>
        <w:rPr>
          <w:szCs w:val="24"/>
        </w:rPr>
        <w:t>7</w:t>
      </w:r>
      <w:r>
        <w:rPr>
          <w:snapToGrid w:val="0"/>
          <w:szCs w:val="24"/>
        </w:rPr>
        <w:t>.</w:t>
      </w:r>
      <w:r>
        <w:rPr>
          <w:snapToGrid w:val="0"/>
          <w:szCs w:val="24"/>
        </w:rPr>
        <w:tab/>
        <w:t>Relationship with other Acts</w:t>
      </w:r>
      <w:r>
        <w:tab/>
      </w:r>
      <w:r>
        <w:fldChar w:fldCharType="begin"/>
      </w:r>
      <w:r>
        <w:instrText xml:space="preserve"> PAGEREF _Toc192041023 \h </w:instrText>
      </w:r>
      <w:r>
        <w:fldChar w:fldCharType="separate"/>
      </w:r>
      <w:r>
        <w:t>18</w:t>
      </w:r>
      <w:r>
        <w:fldChar w:fldCharType="end"/>
      </w:r>
    </w:p>
    <w:p>
      <w:pPr>
        <w:pStyle w:val="TOC8"/>
        <w:rPr>
          <w:sz w:val="24"/>
          <w:szCs w:val="24"/>
        </w:rPr>
      </w:pPr>
      <w:r>
        <w:rPr>
          <w:szCs w:val="24"/>
        </w:rPr>
        <w:t>8</w:t>
      </w:r>
      <w:r>
        <w:rPr>
          <w:snapToGrid w:val="0"/>
          <w:szCs w:val="24"/>
        </w:rPr>
        <w:t>.</w:t>
      </w:r>
      <w:r>
        <w:rPr>
          <w:snapToGrid w:val="0"/>
          <w:szCs w:val="24"/>
        </w:rPr>
        <w:tab/>
        <w:t>Power to exempt</w:t>
      </w:r>
      <w:r>
        <w:tab/>
      </w:r>
      <w:r>
        <w:fldChar w:fldCharType="begin"/>
      </w:r>
      <w:r>
        <w:instrText xml:space="preserve"> PAGEREF _Toc192041024 \h </w:instrText>
      </w:r>
      <w:r>
        <w:fldChar w:fldCharType="separate"/>
      </w:r>
      <w:r>
        <w:t>18</w:t>
      </w:r>
      <w:r>
        <w:fldChar w:fldCharType="end"/>
      </w:r>
    </w:p>
    <w:p>
      <w:pPr>
        <w:pStyle w:val="TOC2"/>
        <w:tabs>
          <w:tab w:val="right" w:leader="dot" w:pos="7086"/>
        </w:tabs>
        <w:rPr>
          <w:b w:val="0"/>
          <w:sz w:val="24"/>
          <w:szCs w:val="24"/>
        </w:rPr>
      </w:pPr>
      <w:r>
        <w:rPr>
          <w:szCs w:val="30"/>
        </w:rPr>
        <w:t>Part 2 — General duties relating to occupational safety and health</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8A.</w:t>
      </w:r>
      <w:r>
        <w:rPr>
          <w:szCs w:val="24"/>
        </w:rPr>
        <w:tab/>
        <w:t>General and particular duties</w:t>
      </w:r>
      <w:r>
        <w:tab/>
      </w:r>
      <w:r>
        <w:fldChar w:fldCharType="begin"/>
      </w:r>
      <w:r>
        <w:instrText xml:space="preserve"> PAGEREF _Toc192041027 \h </w:instrText>
      </w:r>
      <w:r>
        <w:fldChar w:fldCharType="separate"/>
      </w:r>
      <w:r>
        <w:t>19</w:t>
      </w:r>
      <w:r>
        <w:fldChar w:fldCharType="end"/>
      </w:r>
    </w:p>
    <w:p>
      <w:pPr>
        <w:pStyle w:val="TOC8"/>
        <w:rPr>
          <w:sz w:val="24"/>
          <w:szCs w:val="24"/>
        </w:rPr>
      </w:pPr>
      <w:r>
        <w:rPr>
          <w:szCs w:val="24"/>
        </w:rPr>
        <w:t>8B.</w:t>
      </w:r>
      <w:r>
        <w:rPr>
          <w:szCs w:val="24"/>
        </w:rPr>
        <w:tab/>
        <w:t>Meaning of gross negligence in relation to certain breaches of this Part</w:t>
      </w:r>
      <w:r>
        <w:tab/>
      </w:r>
      <w:r>
        <w:fldChar w:fldCharType="begin"/>
      </w:r>
      <w:r>
        <w:instrText xml:space="preserve"> PAGEREF _Toc192041028 \h </w:instrText>
      </w:r>
      <w:r>
        <w:fldChar w:fldCharType="separate"/>
      </w:r>
      <w:r>
        <w:t>19</w:t>
      </w:r>
      <w:r>
        <w:fldChar w:fldCharType="end"/>
      </w:r>
    </w:p>
    <w:p>
      <w:pPr>
        <w:pStyle w:val="TOC4"/>
        <w:tabs>
          <w:tab w:val="right" w:leader="dot" w:pos="7086"/>
        </w:tabs>
        <w:rPr>
          <w:b w:val="0"/>
          <w:sz w:val="24"/>
          <w:szCs w:val="24"/>
        </w:rPr>
      </w:pPr>
      <w:r>
        <w:rPr>
          <w:szCs w:val="26"/>
        </w:rPr>
        <w:t>Division 2 — General duties</w:t>
      </w:r>
    </w:p>
    <w:p>
      <w:pPr>
        <w:pStyle w:val="TOC8"/>
        <w:rPr>
          <w:sz w:val="24"/>
          <w:szCs w:val="24"/>
        </w:rPr>
      </w:pPr>
      <w:r>
        <w:rPr>
          <w:szCs w:val="24"/>
        </w:rPr>
        <w:t>9</w:t>
      </w:r>
      <w:r>
        <w:rPr>
          <w:snapToGrid w:val="0"/>
          <w:szCs w:val="24"/>
        </w:rPr>
        <w:t>.</w:t>
      </w:r>
      <w:r>
        <w:rPr>
          <w:snapToGrid w:val="0"/>
          <w:szCs w:val="24"/>
        </w:rPr>
        <w:tab/>
        <w:t>Duties of employers</w:t>
      </w:r>
      <w:r>
        <w:tab/>
      </w:r>
      <w:r>
        <w:fldChar w:fldCharType="begin"/>
      </w:r>
      <w:r>
        <w:instrText xml:space="preserve"> PAGEREF _Toc192041030 \h </w:instrText>
      </w:r>
      <w:r>
        <w:fldChar w:fldCharType="separate"/>
      </w:r>
      <w:r>
        <w:t>20</w:t>
      </w:r>
      <w:r>
        <w:fldChar w:fldCharType="end"/>
      </w:r>
    </w:p>
    <w:p>
      <w:pPr>
        <w:pStyle w:val="TOC8"/>
        <w:rPr>
          <w:sz w:val="24"/>
          <w:szCs w:val="24"/>
        </w:rPr>
      </w:pPr>
      <w:r>
        <w:rPr>
          <w:szCs w:val="24"/>
        </w:rPr>
        <w:t>9A.</w:t>
      </w:r>
      <w:r>
        <w:rPr>
          <w:szCs w:val="24"/>
        </w:rPr>
        <w:tab/>
        <w:t>Breaches of section 9(1)</w:t>
      </w:r>
      <w:r>
        <w:tab/>
      </w:r>
      <w:r>
        <w:fldChar w:fldCharType="begin"/>
      </w:r>
      <w:r>
        <w:instrText xml:space="preserve"> PAGEREF _Toc192041031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Duties of employees</w:t>
      </w:r>
      <w:r>
        <w:tab/>
      </w:r>
      <w:r>
        <w:fldChar w:fldCharType="begin"/>
      </w:r>
      <w:r>
        <w:instrText xml:space="preserve"> PAGEREF _Toc192041032 \h </w:instrText>
      </w:r>
      <w:r>
        <w:fldChar w:fldCharType="separate"/>
      </w:r>
      <w:r>
        <w:t>22</w:t>
      </w:r>
      <w:r>
        <w:fldChar w:fldCharType="end"/>
      </w:r>
    </w:p>
    <w:p>
      <w:pPr>
        <w:pStyle w:val="TOC8"/>
        <w:rPr>
          <w:sz w:val="24"/>
          <w:szCs w:val="24"/>
        </w:rPr>
      </w:pPr>
      <w:r>
        <w:rPr>
          <w:szCs w:val="24"/>
        </w:rPr>
        <w:t>10A.</w:t>
      </w:r>
      <w:r>
        <w:rPr>
          <w:szCs w:val="24"/>
        </w:rPr>
        <w:tab/>
        <w:t>Breaches of section 10(1) or (3)</w:t>
      </w:r>
      <w:r>
        <w:tab/>
      </w:r>
      <w:r>
        <w:fldChar w:fldCharType="begin"/>
      </w:r>
      <w:r>
        <w:instrText xml:space="preserve"> PAGEREF _Toc192041033 \h </w:instrText>
      </w:r>
      <w:r>
        <w:fldChar w:fldCharType="separate"/>
      </w:r>
      <w:r>
        <w:t>23</w:t>
      </w:r>
      <w:r>
        <w:fldChar w:fldCharType="end"/>
      </w:r>
    </w:p>
    <w:p>
      <w:pPr>
        <w:pStyle w:val="TOC8"/>
        <w:rPr>
          <w:sz w:val="24"/>
          <w:szCs w:val="24"/>
        </w:rPr>
      </w:pPr>
      <w:r>
        <w:rPr>
          <w:szCs w:val="24"/>
        </w:rPr>
        <w:t>11</w:t>
      </w:r>
      <w:r>
        <w:rPr>
          <w:snapToGrid w:val="0"/>
          <w:szCs w:val="24"/>
        </w:rPr>
        <w:t>.</w:t>
      </w:r>
      <w:r>
        <w:rPr>
          <w:snapToGrid w:val="0"/>
          <w:szCs w:val="24"/>
        </w:rPr>
        <w:tab/>
        <w:t>Reporting of dangerous situations or occurrences</w:t>
      </w:r>
      <w:r>
        <w:tab/>
      </w:r>
      <w:r>
        <w:fldChar w:fldCharType="begin"/>
      </w:r>
      <w:r>
        <w:instrText xml:space="preserve"> PAGEREF _Toc192041034 \h </w:instrText>
      </w:r>
      <w:r>
        <w:fldChar w:fldCharType="separate"/>
      </w:r>
      <w:r>
        <w:t>24</w:t>
      </w:r>
      <w:r>
        <w:fldChar w:fldCharType="end"/>
      </w:r>
    </w:p>
    <w:p>
      <w:pPr>
        <w:pStyle w:val="TOC8"/>
        <w:rPr>
          <w:sz w:val="24"/>
          <w:szCs w:val="24"/>
        </w:rPr>
      </w:pPr>
      <w:r>
        <w:rPr>
          <w:szCs w:val="24"/>
        </w:rPr>
        <w:t>11A.</w:t>
      </w:r>
      <w:r>
        <w:rPr>
          <w:szCs w:val="24"/>
        </w:rPr>
        <w:tab/>
        <w:t>Duty of manager to inform person who makes a report under section 11</w:t>
      </w:r>
      <w:r>
        <w:tab/>
      </w:r>
      <w:r>
        <w:fldChar w:fldCharType="begin"/>
      </w:r>
      <w:r>
        <w:instrText xml:space="preserve"> PAGEREF _Toc192041035 \h </w:instrText>
      </w:r>
      <w:r>
        <w:fldChar w:fldCharType="separate"/>
      </w:r>
      <w:r>
        <w:t>25</w:t>
      </w:r>
      <w:r>
        <w:fldChar w:fldCharType="end"/>
      </w:r>
    </w:p>
    <w:p>
      <w:pPr>
        <w:pStyle w:val="TOC8"/>
        <w:rPr>
          <w:sz w:val="24"/>
          <w:szCs w:val="24"/>
        </w:rPr>
      </w:pPr>
      <w:r>
        <w:rPr>
          <w:szCs w:val="24"/>
        </w:rPr>
        <w:t>12</w:t>
      </w:r>
      <w:r>
        <w:rPr>
          <w:snapToGrid w:val="0"/>
          <w:szCs w:val="24"/>
        </w:rPr>
        <w:t>.</w:t>
      </w:r>
      <w:r>
        <w:rPr>
          <w:snapToGrid w:val="0"/>
          <w:szCs w:val="24"/>
        </w:rPr>
        <w:tab/>
        <w:t>Duties of employers and self</w:t>
      </w:r>
      <w:r>
        <w:rPr>
          <w:snapToGrid w:val="0"/>
          <w:szCs w:val="24"/>
        </w:rPr>
        <w:noBreakHyphen/>
        <w:t>employed persons</w:t>
      </w:r>
      <w:r>
        <w:tab/>
      </w:r>
      <w:r>
        <w:fldChar w:fldCharType="begin"/>
      </w:r>
      <w:r>
        <w:instrText xml:space="preserve"> PAGEREF _Toc192041036 \h </w:instrText>
      </w:r>
      <w:r>
        <w:fldChar w:fldCharType="separate"/>
      </w:r>
      <w:r>
        <w:t>25</w:t>
      </w:r>
      <w:r>
        <w:fldChar w:fldCharType="end"/>
      </w:r>
    </w:p>
    <w:p>
      <w:pPr>
        <w:pStyle w:val="TOC8"/>
        <w:rPr>
          <w:sz w:val="24"/>
          <w:szCs w:val="24"/>
        </w:rPr>
      </w:pPr>
      <w:r>
        <w:rPr>
          <w:szCs w:val="24"/>
        </w:rPr>
        <w:t>12A.</w:t>
      </w:r>
      <w:r>
        <w:rPr>
          <w:szCs w:val="24"/>
        </w:rPr>
        <w:tab/>
        <w:t>Breaches of section 12</w:t>
      </w:r>
      <w:r>
        <w:tab/>
      </w:r>
      <w:r>
        <w:fldChar w:fldCharType="begin"/>
      </w:r>
      <w:r>
        <w:instrText xml:space="preserve"> PAGEREF _Toc192041037 \h </w:instrText>
      </w:r>
      <w:r>
        <w:fldChar w:fldCharType="separate"/>
      </w:r>
      <w:r>
        <w:t>26</w:t>
      </w:r>
      <w:r>
        <w:fldChar w:fldCharType="end"/>
      </w:r>
    </w:p>
    <w:p>
      <w:pPr>
        <w:pStyle w:val="TOC8"/>
        <w:rPr>
          <w:sz w:val="24"/>
          <w:szCs w:val="24"/>
        </w:rPr>
      </w:pPr>
      <w:r>
        <w:rPr>
          <w:szCs w:val="24"/>
        </w:rPr>
        <w:t>12B.</w:t>
      </w:r>
      <w:r>
        <w:rPr>
          <w:szCs w:val="24"/>
        </w:rPr>
        <w:tab/>
        <w:t>Duties placed on corporation to which section 15A, 15B or 15C applies</w:t>
      </w:r>
      <w:r>
        <w:tab/>
      </w:r>
      <w:r>
        <w:fldChar w:fldCharType="begin"/>
      </w:r>
      <w:r>
        <w:instrText xml:space="preserve"> PAGEREF _Toc192041038 \h </w:instrText>
      </w:r>
      <w:r>
        <w:fldChar w:fldCharType="separate"/>
      </w:r>
      <w:r>
        <w:t>27</w:t>
      </w:r>
      <w:r>
        <w:fldChar w:fldCharType="end"/>
      </w:r>
    </w:p>
    <w:p>
      <w:pPr>
        <w:pStyle w:val="TOC8"/>
        <w:rPr>
          <w:sz w:val="24"/>
          <w:szCs w:val="24"/>
        </w:rPr>
      </w:pPr>
      <w:r>
        <w:rPr>
          <w:szCs w:val="24"/>
        </w:rPr>
        <w:t>12C.</w:t>
      </w:r>
      <w:r>
        <w:rPr>
          <w:szCs w:val="24"/>
        </w:rPr>
        <w:tab/>
        <w:t>Breaches of section 12B</w:t>
      </w:r>
      <w:r>
        <w:tab/>
      </w:r>
      <w:r>
        <w:fldChar w:fldCharType="begin"/>
      </w:r>
      <w:r>
        <w:instrText xml:space="preserve"> PAGEREF _Toc192041039 \h </w:instrText>
      </w:r>
      <w:r>
        <w:fldChar w:fldCharType="separate"/>
      </w:r>
      <w:r>
        <w:t>27</w:t>
      </w:r>
      <w:r>
        <w:fldChar w:fldCharType="end"/>
      </w:r>
    </w:p>
    <w:p>
      <w:pPr>
        <w:pStyle w:val="TOC8"/>
        <w:rPr>
          <w:sz w:val="24"/>
          <w:szCs w:val="24"/>
        </w:rPr>
      </w:pPr>
      <w:r>
        <w:rPr>
          <w:szCs w:val="24"/>
        </w:rPr>
        <w:t>13</w:t>
      </w:r>
      <w:r>
        <w:rPr>
          <w:snapToGrid w:val="0"/>
          <w:szCs w:val="24"/>
        </w:rPr>
        <w:t>.</w:t>
      </w:r>
      <w:r>
        <w:rPr>
          <w:snapToGrid w:val="0"/>
          <w:szCs w:val="24"/>
        </w:rPr>
        <w:tab/>
        <w:t>Duties of principal employers and managers</w:t>
      </w:r>
      <w:r>
        <w:tab/>
      </w:r>
      <w:r>
        <w:fldChar w:fldCharType="begin"/>
      </w:r>
      <w:r>
        <w:instrText xml:space="preserve"> PAGEREF _Toc192041040 \h </w:instrText>
      </w:r>
      <w:r>
        <w:fldChar w:fldCharType="separate"/>
      </w:r>
      <w:r>
        <w:t>28</w:t>
      </w:r>
      <w:r>
        <w:fldChar w:fldCharType="end"/>
      </w:r>
    </w:p>
    <w:p>
      <w:pPr>
        <w:pStyle w:val="TOC8"/>
        <w:rPr>
          <w:sz w:val="24"/>
          <w:szCs w:val="24"/>
        </w:rPr>
      </w:pPr>
      <w:r>
        <w:rPr>
          <w:szCs w:val="24"/>
        </w:rPr>
        <w:t>13A.</w:t>
      </w:r>
      <w:r>
        <w:rPr>
          <w:szCs w:val="24"/>
        </w:rPr>
        <w:tab/>
        <w:t>Breaches of section 13</w:t>
      </w:r>
      <w:r>
        <w:tab/>
      </w:r>
      <w:r>
        <w:fldChar w:fldCharType="begin"/>
      </w:r>
      <w:r>
        <w:instrText xml:space="preserve"> PAGEREF _Toc192041041 \h </w:instrText>
      </w:r>
      <w:r>
        <w:fldChar w:fldCharType="separate"/>
      </w:r>
      <w:r>
        <w:t>29</w:t>
      </w:r>
      <w:r>
        <w:fldChar w:fldCharType="end"/>
      </w:r>
    </w:p>
    <w:p>
      <w:pPr>
        <w:pStyle w:val="TOC8"/>
        <w:rPr>
          <w:sz w:val="24"/>
          <w:szCs w:val="24"/>
        </w:rPr>
      </w:pPr>
      <w:r>
        <w:rPr>
          <w:szCs w:val="24"/>
        </w:rPr>
        <w:t>14</w:t>
      </w:r>
      <w:r>
        <w:rPr>
          <w:snapToGrid w:val="0"/>
          <w:szCs w:val="24"/>
        </w:rPr>
        <w:t>.</w:t>
      </w:r>
      <w:r>
        <w:rPr>
          <w:snapToGrid w:val="0"/>
          <w:szCs w:val="24"/>
        </w:rPr>
        <w:tab/>
        <w:t>Duties of manufacturers etc.</w:t>
      </w:r>
      <w:r>
        <w:tab/>
      </w:r>
      <w:r>
        <w:fldChar w:fldCharType="begin"/>
      </w:r>
      <w:r>
        <w:instrText xml:space="preserve"> PAGEREF _Toc192041042 \h </w:instrText>
      </w:r>
      <w:r>
        <w:fldChar w:fldCharType="separate"/>
      </w:r>
      <w:r>
        <w:t>30</w:t>
      </w:r>
      <w:r>
        <w:fldChar w:fldCharType="end"/>
      </w:r>
    </w:p>
    <w:p>
      <w:pPr>
        <w:pStyle w:val="TOC8"/>
        <w:rPr>
          <w:sz w:val="24"/>
          <w:szCs w:val="24"/>
        </w:rPr>
      </w:pPr>
      <w:r>
        <w:rPr>
          <w:szCs w:val="24"/>
        </w:rPr>
        <w:t>15.</w:t>
      </w:r>
      <w:r>
        <w:rPr>
          <w:szCs w:val="24"/>
        </w:rPr>
        <w:tab/>
        <w:t>Breaches of section 14</w:t>
      </w:r>
      <w:r>
        <w:tab/>
      </w:r>
      <w:r>
        <w:fldChar w:fldCharType="begin"/>
      </w:r>
      <w:r>
        <w:instrText xml:space="preserve"> PAGEREF _Toc192041043 \h </w:instrText>
      </w:r>
      <w:r>
        <w:fldChar w:fldCharType="separate"/>
      </w:r>
      <w:r>
        <w:t>31</w:t>
      </w:r>
      <w:r>
        <w:fldChar w:fldCharType="end"/>
      </w:r>
    </w:p>
    <w:p>
      <w:pPr>
        <w:pStyle w:val="TOC4"/>
        <w:tabs>
          <w:tab w:val="right" w:leader="dot" w:pos="7086"/>
        </w:tabs>
        <w:rPr>
          <w:b w:val="0"/>
          <w:sz w:val="24"/>
          <w:szCs w:val="24"/>
        </w:rPr>
      </w:pPr>
      <w:r>
        <w:rPr>
          <w:szCs w:val="26"/>
        </w:rPr>
        <w:t>Division 3 — Certain workplace situations to be treated as employment</w:t>
      </w:r>
    </w:p>
    <w:p>
      <w:pPr>
        <w:pStyle w:val="TOC8"/>
        <w:rPr>
          <w:sz w:val="24"/>
          <w:szCs w:val="24"/>
        </w:rPr>
      </w:pPr>
      <w:r>
        <w:rPr>
          <w:szCs w:val="24"/>
        </w:rPr>
        <w:t>15A.</w:t>
      </w:r>
      <w:r>
        <w:rPr>
          <w:szCs w:val="24"/>
        </w:rPr>
        <w:tab/>
        <w:t>Contract work arrangements</w:t>
      </w:r>
      <w:r>
        <w:tab/>
      </w:r>
      <w:r>
        <w:fldChar w:fldCharType="begin"/>
      </w:r>
      <w:r>
        <w:instrText xml:space="preserve"> PAGEREF _Toc192041045 \h </w:instrText>
      </w:r>
      <w:r>
        <w:fldChar w:fldCharType="separate"/>
      </w:r>
      <w:r>
        <w:t>32</w:t>
      </w:r>
      <w:r>
        <w:fldChar w:fldCharType="end"/>
      </w:r>
    </w:p>
    <w:p>
      <w:pPr>
        <w:pStyle w:val="TOC8"/>
        <w:rPr>
          <w:sz w:val="24"/>
          <w:szCs w:val="24"/>
        </w:rPr>
      </w:pPr>
      <w:r>
        <w:rPr>
          <w:szCs w:val="24"/>
        </w:rPr>
        <w:t>15B.</w:t>
      </w:r>
      <w:r>
        <w:rPr>
          <w:szCs w:val="24"/>
        </w:rPr>
        <w:tab/>
        <w:t>Labour arrangements in general</w:t>
      </w:r>
      <w:r>
        <w:tab/>
      </w:r>
      <w:r>
        <w:fldChar w:fldCharType="begin"/>
      </w:r>
      <w:r>
        <w:instrText xml:space="preserve"> PAGEREF _Toc192041046 \h </w:instrText>
      </w:r>
      <w:r>
        <w:fldChar w:fldCharType="separate"/>
      </w:r>
      <w:r>
        <w:t>34</w:t>
      </w:r>
      <w:r>
        <w:fldChar w:fldCharType="end"/>
      </w:r>
    </w:p>
    <w:p>
      <w:pPr>
        <w:pStyle w:val="TOC8"/>
        <w:rPr>
          <w:sz w:val="24"/>
          <w:szCs w:val="24"/>
        </w:rPr>
      </w:pPr>
      <w:r>
        <w:rPr>
          <w:szCs w:val="24"/>
        </w:rPr>
        <w:t>15C.</w:t>
      </w:r>
      <w:r>
        <w:rPr>
          <w:szCs w:val="24"/>
        </w:rPr>
        <w:tab/>
        <w:t>Labour hire arrangements</w:t>
      </w:r>
      <w:r>
        <w:tab/>
      </w:r>
      <w:r>
        <w:fldChar w:fldCharType="begin"/>
      </w:r>
      <w:r>
        <w:instrText xml:space="preserve"> PAGEREF _Toc192041047 \h </w:instrText>
      </w:r>
      <w:r>
        <w:fldChar w:fldCharType="separate"/>
      </w:r>
      <w:r>
        <w:t>35</w:t>
      </w:r>
      <w:r>
        <w:fldChar w:fldCharType="end"/>
      </w:r>
    </w:p>
    <w:p>
      <w:pPr>
        <w:pStyle w:val="TOC4"/>
        <w:tabs>
          <w:tab w:val="right" w:leader="dot" w:pos="7086"/>
        </w:tabs>
        <w:rPr>
          <w:b w:val="0"/>
          <w:sz w:val="24"/>
          <w:szCs w:val="24"/>
        </w:rPr>
      </w:pPr>
      <w:r>
        <w:rPr>
          <w:szCs w:val="26"/>
        </w:rPr>
        <w:t>Division 4 — Other duties</w:t>
      </w:r>
    </w:p>
    <w:p>
      <w:pPr>
        <w:pStyle w:val="TOC8"/>
        <w:rPr>
          <w:sz w:val="24"/>
          <w:szCs w:val="24"/>
        </w:rPr>
      </w:pPr>
      <w:r>
        <w:rPr>
          <w:szCs w:val="24"/>
        </w:rPr>
        <w:t>15D.</w:t>
      </w:r>
      <w:r>
        <w:rPr>
          <w:szCs w:val="24"/>
        </w:rPr>
        <w:tab/>
        <w:t>Duty of employer in respect of certain residential accommodation</w:t>
      </w:r>
      <w:r>
        <w:tab/>
      </w:r>
      <w:r>
        <w:fldChar w:fldCharType="begin"/>
      </w:r>
      <w:r>
        <w:instrText xml:space="preserve"> PAGEREF _Toc192041049 \h </w:instrText>
      </w:r>
      <w:r>
        <w:fldChar w:fldCharType="separate"/>
      </w:r>
      <w:r>
        <w:t>36</w:t>
      </w:r>
      <w:r>
        <w:fldChar w:fldCharType="end"/>
      </w:r>
    </w:p>
    <w:p>
      <w:pPr>
        <w:pStyle w:val="TOC8"/>
        <w:rPr>
          <w:sz w:val="24"/>
          <w:szCs w:val="24"/>
        </w:rPr>
      </w:pPr>
      <w:r>
        <w:rPr>
          <w:szCs w:val="24"/>
        </w:rPr>
        <w:t>15E.</w:t>
      </w:r>
      <w:r>
        <w:rPr>
          <w:szCs w:val="24"/>
        </w:rPr>
        <w:tab/>
        <w:t>Breaches of section 15D</w:t>
      </w:r>
      <w:r>
        <w:tab/>
      </w:r>
      <w:r>
        <w:fldChar w:fldCharType="begin"/>
      </w:r>
      <w:r>
        <w:instrText xml:space="preserve"> PAGEREF _Toc192041050 \h </w:instrText>
      </w:r>
      <w:r>
        <w:fldChar w:fldCharType="separate"/>
      </w:r>
      <w:r>
        <w:t>38</w:t>
      </w:r>
      <w:r>
        <w:fldChar w:fldCharType="end"/>
      </w:r>
    </w:p>
    <w:p>
      <w:pPr>
        <w:pStyle w:val="TOC8"/>
        <w:rPr>
          <w:sz w:val="24"/>
          <w:szCs w:val="24"/>
        </w:rPr>
      </w:pPr>
      <w:r>
        <w:rPr>
          <w:szCs w:val="24"/>
        </w:rPr>
        <w:t>15F.</w:t>
      </w:r>
      <w:r>
        <w:rPr>
          <w:szCs w:val="24"/>
        </w:rPr>
        <w:tab/>
        <w:t>Notification of hazard to the principal employer and manager</w:t>
      </w:r>
      <w:r>
        <w:tab/>
      </w:r>
      <w:r>
        <w:fldChar w:fldCharType="begin"/>
      </w:r>
      <w:r>
        <w:instrText xml:space="preserve"> PAGEREF _Toc192041051 \h </w:instrText>
      </w:r>
      <w:r>
        <w:fldChar w:fldCharType="separate"/>
      </w:r>
      <w:r>
        <w:t>39</w:t>
      </w:r>
      <w:r>
        <w:fldChar w:fldCharType="end"/>
      </w:r>
    </w:p>
    <w:p>
      <w:pPr>
        <w:pStyle w:val="TOC2"/>
        <w:tabs>
          <w:tab w:val="right" w:leader="dot" w:pos="7086"/>
        </w:tabs>
        <w:rPr>
          <w:b w:val="0"/>
          <w:sz w:val="24"/>
          <w:szCs w:val="24"/>
        </w:rPr>
      </w:pPr>
      <w:r>
        <w:rPr>
          <w:szCs w:val="30"/>
        </w:rPr>
        <w:t>Part 3 — Administration of Act</w:t>
      </w:r>
    </w:p>
    <w:p>
      <w:pPr>
        <w:pStyle w:val="TOC4"/>
        <w:tabs>
          <w:tab w:val="right" w:leader="dot" w:pos="7086"/>
        </w:tabs>
        <w:rPr>
          <w:b w:val="0"/>
          <w:sz w:val="24"/>
          <w:szCs w:val="24"/>
        </w:rPr>
      </w:pPr>
      <w:r>
        <w:rPr>
          <w:szCs w:val="26"/>
        </w:rPr>
        <w:t>Division 1</w:t>
      </w:r>
      <w:r>
        <w:rPr>
          <w:snapToGrid w:val="0"/>
          <w:szCs w:val="26"/>
        </w:rPr>
        <w:t> — </w:t>
      </w:r>
      <w:r>
        <w:rPr>
          <w:szCs w:val="26"/>
        </w:rPr>
        <w:t>Inspectors of mines</w:t>
      </w:r>
    </w:p>
    <w:p>
      <w:pPr>
        <w:pStyle w:val="TOC8"/>
        <w:rPr>
          <w:sz w:val="24"/>
          <w:szCs w:val="24"/>
        </w:rPr>
      </w:pPr>
      <w:r>
        <w:rPr>
          <w:szCs w:val="24"/>
        </w:rPr>
        <w:t>16</w:t>
      </w:r>
      <w:r>
        <w:rPr>
          <w:snapToGrid w:val="0"/>
          <w:szCs w:val="24"/>
        </w:rPr>
        <w:t>.</w:t>
      </w:r>
      <w:r>
        <w:rPr>
          <w:snapToGrid w:val="0"/>
          <w:szCs w:val="24"/>
        </w:rPr>
        <w:tab/>
        <w:t>State mining engineer and State coal mining engineer</w:t>
      </w:r>
      <w:r>
        <w:tab/>
      </w:r>
      <w:r>
        <w:fldChar w:fldCharType="begin"/>
      </w:r>
      <w:r>
        <w:instrText xml:space="preserve"> PAGEREF _Toc192041054 \h </w:instrText>
      </w:r>
      <w:r>
        <w:fldChar w:fldCharType="separate"/>
      </w:r>
      <w:r>
        <w:t>40</w:t>
      </w:r>
      <w:r>
        <w:fldChar w:fldCharType="end"/>
      </w:r>
    </w:p>
    <w:p>
      <w:pPr>
        <w:pStyle w:val="TOC8"/>
        <w:rPr>
          <w:sz w:val="24"/>
          <w:szCs w:val="24"/>
        </w:rPr>
      </w:pPr>
      <w:r>
        <w:rPr>
          <w:szCs w:val="24"/>
        </w:rPr>
        <w:t>17</w:t>
      </w:r>
      <w:r>
        <w:rPr>
          <w:snapToGrid w:val="0"/>
          <w:szCs w:val="24"/>
        </w:rPr>
        <w:t>.</w:t>
      </w:r>
      <w:r>
        <w:rPr>
          <w:snapToGrid w:val="0"/>
          <w:szCs w:val="24"/>
        </w:rPr>
        <w:tab/>
        <w:t>Appointment of inspectors of mines</w:t>
      </w:r>
      <w:r>
        <w:tab/>
      </w:r>
      <w:r>
        <w:fldChar w:fldCharType="begin"/>
      </w:r>
      <w:r>
        <w:instrText xml:space="preserve"> PAGEREF _Toc192041055 \h </w:instrText>
      </w:r>
      <w:r>
        <w:fldChar w:fldCharType="separate"/>
      </w:r>
      <w:r>
        <w:t>40</w:t>
      </w:r>
      <w:r>
        <w:fldChar w:fldCharType="end"/>
      </w:r>
    </w:p>
    <w:p>
      <w:pPr>
        <w:pStyle w:val="TOC8"/>
        <w:rPr>
          <w:sz w:val="24"/>
          <w:szCs w:val="24"/>
        </w:rPr>
      </w:pPr>
      <w:r>
        <w:rPr>
          <w:szCs w:val="24"/>
        </w:rPr>
        <w:t>18</w:t>
      </w:r>
      <w:r>
        <w:rPr>
          <w:snapToGrid w:val="0"/>
          <w:szCs w:val="24"/>
        </w:rPr>
        <w:t>.</w:t>
      </w:r>
      <w:r>
        <w:rPr>
          <w:snapToGrid w:val="0"/>
          <w:szCs w:val="24"/>
        </w:rPr>
        <w:tab/>
        <w:t>District and special inspectors</w:t>
      </w:r>
      <w:r>
        <w:tab/>
      </w:r>
      <w:r>
        <w:fldChar w:fldCharType="begin"/>
      </w:r>
      <w:r>
        <w:instrText xml:space="preserve"> PAGEREF _Toc192041056 \h </w:instrText>
      </w:r>
      <w:r>
        <w:fldChar w:fldCharType="separate"/>
      </w:r>
      <w:r>
        <w:t>41</w:t>
      </w:r>
      <w:r>
        <w:fldChar w:fldCharType="end"/>
      </w:r>
    </w:p>
    <w:p>
      <w:pPr>
        <w:pStyle w:val="TOC8"/>
        <w:rPr>
          <w:sz w:val="24"/>
          <w:szCs w:val="24"/>
        </w:rPr>
      </w:pPr>
      <w:r>
        <w:rPr>
          <w:szCs w:val="24"/>
        </w:rPr>
        <w:t>19</w:t>
      </w:r>
      <w:r>
        <w:rPr>
          <w:snapToGrid w:val="0"/>
          <w:szCs w:val="24"/>
        </w:rPr>
        <w:t>.</w:t>
      </w:r>
      <w:r>
        <w:rPr>
          <w:snapToGrid w:val="0"/>
          <w:szCs w:val="24"/>
        </w:rPr>
        <w:tab/>
        <w:t>Employee’s inspectors</w:t>
      </w:r>
      <w:r>
        <w:tab/>
      </w:r>
      <w:r>
        <w:fldChar w:fldCharType="begin"/>
      </w:r>
      <w:r>
        <w:instrText xml:space="preserve"> PAGEREF _Toc192041057 \h </w:instrText>
      </w:r>
      <w:r>
        <w:fldChar w:fldCharType="separate"/>
      </w:r>
      <w:r>
        <w:t>41</w:t>
      </w:r>
      <w:r>
        <w:fldChar w:fldCharType="end"/>
      </w:r>
    </w:p>
    <w:p>
      <w:pPr>
        <w:pStyle w:val="TOC8"/>
        <w:rPr>
          <w:sz w:val="24"/>
          <w:szCs w:val="24"/>
        </w:rPr>
      </w:pPr>
      <w:r>
        <w:rPr>
          <w:szCs w:val="24"/>
        </w:rPr>
        <w:t>20</w:t>
      </w:r>
      <w:r>
        <w:rPr>
          <w:snapToGrid w:val="0"/>
          <w:szCs w:val="24"/>
        </w:rPr>
        <w:t>.</w:t>
      </w:r>
      <w:r>
        <w:rPr>
          <w:snapToGrid w:val="0"/>
          <w:szCs w:val="24"/>
        </w:rPr>
        <w:tab/>
        <w:t>Assistant inspectors</w:t>
      </w:r>
      <w:r>
        <w:tab/>
      </w:r>
      <w:r>
        <w:fldChar w:fldCharType="begin"/>
      </w:r>
      <w:r>
        <w:instrText xml:space="preserve"> PAGEREF _Toc192041058 \h </w:instrText>
      </w:r>
      <w:r>
        <w:fldChar w:fldCharType="separate"/>
      </w:r>
      <w:r>
        <w:t>42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Inspections</w:t>
      </w:r>
    </w:p>
    <w:p>
      <w:pPr>
        <w:pStyle w:val="TOC8"/>
        <w:rPr>
          <w:sz w:val="24"/>
          <w:szCs w:val="24"/>
        </w:rPr>
      </w:pPr>
      <w:r>
        <w:rPr>
          <w:szCs w:val="24"/>
        </w:rPr>
        <w:t>20A.</w:t>
      </w:r>
      <w:r>
        <w:rPr>
          <w:szCs w:val="24"/>
        </w:rPr>
        <w:tab/>
        <w:t>Extended meaning of “employer” and “employee”</w:t>
      </w:r>
      <w:r>
        <w:tab/>
      </w:r>
      <w:r>
        <w:fldChar w:fldCharType="begin"/>
      </w:r>
      <w:r>
        <w:instrText xml:space="preserve"> PAGEREF _Toc192041060 \h </w:instrText>
      </w:r>
      <w:r>
        <w:fldChar w:fldCharType="separate"/>
      </w:r>
      <w:r>
        <w:t>42</w:t>
      </w:r>
      <w:r>
        <w:fldChar w:fldCharType="end"/>
      </w:r>
    </w:p>
    <w:p>
      <w:pPr>
        <w:pStyle w:val="TOC8"/>
        <w:rPr>
          <w:sz w:val="24"/>
          <w:szCs w:val="24"/>
        </w:rPr>
      </w:pPr>
      <w:r>
        <w:rPr>
          <w:szCs w:val="24"/>
        </w:rPr>
        <w:t>21</w:t>
      </w:r>
      <w:r>
        <w:rPr>
          <w:snapToGrid w:val="0"/>
          <w:szCs w:val="24"/>
        </w:rPr>
        <w:t>.</w:t>
      </w:r>
      <w:r>
        <w:rPr>
          <w:snapToGrid w:val="0"/>
          <w:szCs w:val="24"/>
        </w:rPr>
        <w:tab/>
        <w:t>Powers of inspectors</w:t>
      </w:r>
      <w:r>
        <w:tab/>
      </w:r>
      <w:r>
        <w:fldChar w:fldCharType="begin"/>
      </w:r>
      <w:r>
        <w:instrText xml:space="preserve"> PAGEREF _Toc192041061 \h </w:instrText>
      </w:r>
      <w:r>
        <w:fldChar w:fldCharType="separate"/>
      </w:r>
      <w:r>
        <w:t>43</w:t>
      </w:r>
      <w:r>
        <w:fldChar w:fldCharType="end"/>
      </w:r>
    </w:p>
    <w:p>
      <w:pPr>
        <w:pStyle w:val="TOC8"/>
        <w:rPr>
          <w:sz w:val="24"/>
          <w:szCs w:val="24"/>
        </w:rPr>
      </w:pPr>
      <w:r>
        <w:rPr>
          <w:szCs w:val="24"/>
        </w:rPr>
        <w:t>23</w:t>
      </w:r>
      <w:r>
        <w:rPr>
          <w:snapToGrid w:val="0"/>
          <w:szCs w:val="24"/>
        </w:rPr>
        <w:t>.</w:t>
      </w:r>
      <w:r>
        <w:rPr>
          <w:snapToGrid w:val="0"/>
          <w:szCs w:val="24"/>
        </w:rPr>
        <w:tab/>
        <w:t>Notice of result of inspection</w:t>
      </w:r>
      <w:r>
        <w:tab/>
      </w:r>
      <w:r>
        <w:fldChar w:fldCharType="begin"/>
      </w:r>
      <w:r>
        <w:instrText xml:space="preserve"> PAGEREF _Toc192041062 \h </w:instrText>
      </w:r>
      <w:r>
        <w:fldChar w:fldCharType="separate"/>
      </w:r>
      <w:r>
        <w:t>47</w:t>
      </w:r>
      <w:r>
        <w:fldChar w:fldCharType="end"/>
      </w:r>
    </w:p>
    <w:p>
      <w:pPr>
        <w:pStyle w:val="TOC8"/>
        <w:rPr>
          <w:sz w:val="24"/>
          <w:szCs w:val="24"/>
        </w:rPr>
      </w:pPr>
      <w:r>
        <w:rPr>
          <w:szCs w:val="24"/>
        </w:rPr>
        <w:t>24</w:t>
      </w:r>
      <w:r>
        <w:rPr>
          <w:snapToGrid w:val="0"/>
          <w:szCs w:val="24"/>
        </w:rPr>
        <w:t>.</w:t>
      </w:r>
      <w:r>
        <w:rPr>
          <w:snapToGrid w:val="0"/>
          <w:szCs w:val="24"/>
        </w:rPr>
        <w:tab/>
        <w:t>Inspector must inquire into complaints</w:t>
      </w:r>
      <w:r>
        <w:tab/>
      </w:r>
      <w:r>
        <w:fldChar w:fldCharType="begin"/>
      </w:r>
      <w:r>
        <w:instrText xml:space="preserve"> PAGEREF _Toc192041063 \h </w:instrText>
      </w:r>
      <w:r>
        <w:fldChar w:fldCharType="separate"/>
      </w:r>
      <w:r>
        <w:t>48</w:t>
      </w:r>
      <w:r>
        <w:fldChar w:fldCharType="end"/>
      </w:r>
    </w:p>
    <w:p>
      <w:pPr>
        <w:pStyle w:val="TOC8"/>
        <w:rPr>
          <w:sz w:val="24"/>
          <w:szCs w:val="24"/>
        </w:rPr>
      </w:pPr>
      <w:r>
        <w:rPr>
          <w:szCs w:val="24"/>
        </w:rPr>
        <w:t>25</w:t>
      </w:r>
      <w:r>
        <w:rPr>
          <w:snapToGrid w:val="0"/>
          <w:szCs w:val="24"/>
        </w:rPr>
        <w:t>.</w:t>
      </w:r>
      <w:r>
        <w:rPr>
          <w:snapToGrid w:val="0"/>
          <w:szCs w:val="24"/>
        </w:rPr>
        <w:tab/>
        <w:t>Liaison between employee’s inspectors and safety and health representatives</w:t>
      </w:r>
      <w:r>
        <w:tab/>
      </w:r>
      <w:r>
        <w:fldChar w:fldCharType="begin"/>
      </w:r>
      <w:r>
        <w:instrText xml:space="preserve"> PAGEREF _Toc192041064 \h </w:instrText>
      </w:r>
      <w:r>
        <w:fldChar w:fldCharType="separate"/>
      </w:r>
      <w:r>
        <w:t>48</w:t>
      </w:r>
      <w:r>
        <w:fldChar w:fldCharType="end"/>
      </w:r>
    </w:p>
    <w:p>
      <w:pPr>
        <w:pStyle w:val="TOC8"/>
        <w:rPr>
          <w:sz w:val="24"/>
          <w:szCs w:val="24"/>
        </w:rPr>
      </w:pPr>
      <w:r>
        <w:rPr>
          <w:szCs w:val="24"/>
        </w:rPr>
        <w:t>26</w:t>
      </w:r>
      <w:r>
        <w:rPr>
          <w:snapToGrid w:val="0"/>
          <w:szCs w:val="24"/>
        </w:rPr>
        <w:t>.</w:t>
      </w:r>
      <w:r>
        <w:rPr>
          <w:snapToGrid w:val="0"/>
          <w:szCs w:val="24"/>
        </w:rPr>
        <w:tab/>
        <w:t>Use and misuse of information by inspectors and assistant inspectors</w:t>
      </w:r>
      <w:r>
        <w:tab/>
      </w:r>
      <w:r>
        <w:fldChar w:fldCharType="begin"/>
      </w:r>
      <w:r>
        <w:instrText xml:space="preserve"> PAGEREF _Toc192041065 \h </w:instrText>
      </w:r>
      <w:r>
        <w:fldChar w:fldCharType="separate"/>
      </w:r>
      <w:r>
        <w:t>49</w:t>
      </w:r>
      <w:r>
        <w:fldChar w:fldCharType="end"/>
      </w:r>
    </w:p>
    <w:p>
      <w:pPr>
        <w:pStyle w:val="TOC8"/>
        <w:rPr>
          <w:sz w:val="24"/>
          <w:szCs w:val="24"/>
        </w:rPr>
      </w:pPr>
      <w:r>
        <w:rPr>
          <w:szCs w:val="24"/>
        </w:rPr>
        <w:t>27</w:t>
      </w:r>
      <w:r>
        <w:rPr>
          <w:snapToGrid w:val="0"/>
          <w:szCs w:val="24"/>
        </w:rPr>
        <w:t>.</w:t>
      </w:r>
      <w:r>
        <w:rPr>
          <w:snapToGrid w:val="0"/>
          <w:szCs w:val="24"/>
        </w:rPr>
        <w:tab/>
        <w:t>Certificates of appointment</w:t>
      </w:r>
      <w:r>
        <w:tab/>
      </w:r>
      <w:r>
        <w:fldChar w:fldCharType="begin"/>
      </w:r>
      <w:r>
        <w:instrText xml:space="preserve"> PAGEREF _Toc192041066 \h </w:instrText>
      </w:r>
      <w:r>
        <w:fldChar w:fldCharType="separate"/>
      </w:r>
      <w:r>
        <w:t>50</w:t>
      </w:r>
      <w:r>
        <w:fldChar w:fldCharType="end"/>
      </w:r>
    </w:p>
    <w:p>
      <w:pPr>
        <w:pStyle w:val="TOC8"/>
        <w:rPr>
          <w:sz w:val="24"/>
          <w:szCs w:val="24"/>
        </w:rPr>
      </w:pPr>
      <w:r>
        <w:rPr>
          <w:szCs w:val="24"/>
        </w:rPr>
        <w:t>28</w:t>
      </w:r>
      <w:r>
        <w:rPr>
          <w:snapToGrid w:val="0"/>
          <w:szCs w:val="24"/>
        </w:rPr>
        <w:t>.</w:t>
      </w:r>
      <w:r>
        <w:rPr>
          <w:snapToGrid w:val="0"/>
          <w:szCs w:val="24"/>
        </w:rPr>
        <w:tab/>
        <w:t>Provision of facilities for inspection</w:t>
      </w:r>
      <w:r>
        <w:tab/>
      </w:r>
      <w:r>
        <w:fldChar w:fldCharType="begin"/>
      </w:r>
      <w:r>
        <w:instrText xml:space="preserve"> PAGEREF _Toc192041067 \h </w:instrText>
      </w:r>
      <w:r>
        <w:fldChar w:fldCharType="separate"/>
      </w:r>
      <w:r>
        <w:t>50</w:t>
      </w:r>
      <w:r>
        <w:fldChar w:fldCharType="end"/>
      </w:r>
    </w:p>
    <w:p>
      <w:pPr>
        <w:pStyle w:val="TOC8"/>
        <w:rPr>
          <w:sz w:val="24"/>
          <w:szCs w:val="24"/>
        </w:rPr>
      </w:pPr>
      <w:r>
        <w:rPr>
          <w:szCs w:val="24"/>
        </w:rPr>
        <w:t>29</w:t>
      </w:r>
      <w:r>
        <w:rPr>
          <w:snapToGrid w:val="0"/>
          <w:szCs w:val="24"/>
        </w:rPr>
        <w:t>.</w:t>
      </w:r>
      <w:r>
        <w:rPr>
          <w:snapToGrid w:val="0"/>
          <w:szCs w:val="24"/>
        </w:rPr>
        <w:tab/>
        <w:t>Obstruction</w:t>
      </w:r>
      <w:r>
        <w:tab/>
      </w:r>
      <w:r>
        <w:fldChar w:fldCharType="begin"/>
      </w:r>
      <w:r>
        <w:instrText xml:space="preserve"> PAGEREF _Toc192041068 \h </w:instrText>
      </w:r>
      <w:r>
        <w:fldChar w:fldCharType="separate"/>
      </w:r>
      <w:r>
        <w:t>51</w:t>
      </w:r>
      <w:r>
        <w:fldChar w:fldCharType="end"/>
      </w:r>
    </w:p>
    <w:p>
      <w:pPr>
        <w:pStyle w:val="TOC4"/>
        <w:tabs>
          <w:tab w:val="right" w:leader="dot" w:pos="7086"/>
        </w:tabs>
        <w:rPr>
          <w:b w:val="0"/>
          <w:sz w:val="24"/>
          <w:szCs w:val="24"/>
        </w:rPr>
      </w:pPr>
      <w:r>
        <w:rPr>
          <w:szCs w:val="26"/>
        </w:rPr>
        <w:t>Division 3 — Improvement notices and prohibition notices</w:t>
      </w:r>
    </w:p>
    <w:p>
      <w:pPr>
        <w:pStyle w:val="TOC6"/>
        <w:tabs>
          <w:tab w:val="right" w:leader="dot" w:pos="7086"/>
        </w:tabs>
        <w:rPr>
          <w:b w:val="0"/>
          <w:sz w:val="24"/>
          <w:szCs w:val="24"/>
        </w:rPr>
      </w:pPr>
      <w:r>
        <w:rPr>
          <w:szCs w:val="24"/>
        </w:rPr>
        <w:t>Subdivision 1 — Improvement notices</w:t>
      </w:r>
    </w:p>
    <w:p>
      <w:pPr>
        <w:pStyle w:val="TOC8"/>
        <w:rPr>
          <w:sz w:val="24"/>
          <w:szCs w:val="24"/>
        </w:rPr>
      </w:pPr>
      <w:r>
        <w:rPr>
          <w:szCs w:val="24"/>
        </w:rPr>
        <w:t>30.</w:t>
      </w:r>
      <w:r>
        <w:rPr>
          <w:szCs w:val="24"/>
        </w:rPr>
        <w:tab/>
        <w:t>Issue of improvement notice</w:t>
      </w:r>
      <w:r>
        <w:tab/>
      </w:r>
      <w:r>
        <w:fldChar w:fldCharType="begin"/>
      </w:r>
      <w:r>
        <w:instrText xml:space="preserve"> PAGEREF _Toc192041071 \h </w:instrText>
      </w:r>
      <w:r>
        <w:fldChar w:fldCharType="separate"/>
      </w:r>
      <w:r>
        <w:t>52</w:t>
      </w:r>
      <w:r>
        <w:fldChar w:fldCharType="end"/>
      </w:r>
    </w:p>
    <w:p>
      <w:pPr>
        <w:pStyle w:val="TOC8"/>
        <w:rPr>
          <w:sz w:val="24"/>
          <w:szCs w:val="24"/>
        </w:rPr>
      </w:pPr>
      <w:r>
        <w:rPr>
          <w:szCs w:val="24"/>
        </w:rPr>
        <w:t>31.</w:t>
      </w:r>
      <w:r>
        <w:rPr>
          <w:szCs w:val="24"/>
        </w:rPr>
        <w:tab/>
        <w:t>Contents of improvement notice</w:t>
      </w:r>
      <w:r>
        <w:tab/>
      </w:r>
      <w:r>
        <w:fldChar w:fldCharType="begin"/>
      </w:r>
      <w:r>
        <w:instrText xml:space="preserve"> PAGEREF _Toc192041072 \h </w:instrText>
      </w:r>
      <w:r>
        <w:fldChar w:fldCharType="separate"/>
      </w:r>
      <w:r>
        <w:t>53</w:t>
      </w:r>
      <w:r>
        <w:fldChar w:fldCharType="end"/>
      </w:r>
    </w:p>
    <w:p>
      <w:pPr>
        <w:pStyle w:val="TOC8"/>
        <w:rPr>
          <w:sz w:val="24"/>
          <w:szCs w:val="24"/>
        </w:rPr>
      </w:pPr>
      <w:r>
        <w:rPr>
          <w:szCs w:val="24"/>
        </w:rPr>
        <w:t>31A.</w:t>
      </w:r>
      <w:r>
        <w:rPr>
          <w:szCs w:val="24"/>
        </w:rPr>
        <w:tab/>
        <w:t>Failure to comply with improvement notice</w:t>
      </w:r>
      <w:r>
        <w:tab/>
      </w:r>
      <w:r>
        <w:fldChar w:fldCharType="begin"/>
      </w:r>
      <w:r>
        <w:instrText xml:space="preserve"> PAGEREF _Toc192041073 \h </w:instrText>
      </w:r>
      <w:r>
        <w:fldChar w:fldCharType="separate"/>
      </w:r>
      <w:r>
        <w:t>53</w:t>
      </w:r>
      <w:r>
        <w:fldChar w:fldCharType="end"/>
      </w:r>
    </w:p>
    <w:p>
      <w:pPr>
        <w:pStyle w:val="TOC8"/>
        <w:rPr>
          <w:sz w:val="24"/>
          <w:szCs w:val="24"/>
        </w:rPr>
      </w:pPr>
      <w:r>
        <w:rPr>
          <w:szCs w:val="24"/>
        </w:rPr>
        <w:t>31AA.</w:t>
      </w:r>
      <w:r>
        <w:rPr>
          <w:szCs w:val="24"/>
        </w:rPr>
        <w:tab/>
        <w:t>Notification of compliance</w:t>
      </w:r>
      <w:r>
        <w:tab/>
      </w:r>
      <w:r>
        <w:fldChar w:fldCharType="begin"/>
      </w:r>
      <w:r>
        <w:instrText xml:space="preserve"> PAGEREF _Toc192041074 \h </w:instrText>
      </w:r>
      <w:r>
        <w:fldChar w:fldCharType="separate"/>
      </w:r>
      <w:r>
        <w:t>54</w:t>
      </w:r>
      <w:r>
        <w:fldChar w:fldCharType="end"/>
      </w:r>
    </w:p>
    <w:p>
      <w:pPr>
        <w:pStyle w:val="TOC6"/>
        <w:tabs>
          <w:tab w:val="right" w:leader="dot" w:pos="7086"/>
        </w:tabs>
        <w:rPr>
          <w:b w:val="0"/>
          <w:sz w:val="24"/>
          <w:szCs w:val="24"/>
        </w:rPr>
      </w:pPr>
      <w:r>
        <w:rPr>
          <w:szCs w:val="24"/>
        </w:rPr>
        <w:t>Subdivision 2 — Prohibition notices in respect of mines</w:t>
      </w:r>
    </w:p>
    <w:p>
      <w:pPr>
        <w:pStyle w:val="TOC8"/>
        <w:rPr>
          <w:sz w:val="24"/>
          <w:szCs w:val="24"/>
        </w:rPr>
      </w:pPr>
      <w:r>
        <w:rPr>
          <w:szCs w:val="24"/>
        </w:rPr>
        <w:t>31AB.</w:t>
      </w:r>
      <w:r>
        <w:rPr>
          <w:szCs w:val="24"/>
        </w:rPr>
        <w:tab/>
        <w:t>Grounds for prohibition notice</w:t>
      </w:r>
      <w:r>
        <w:tab/>
      </w:r>
      <w:r>
        <w:fldChar w:fldCharType="begin"/>
      </w:r>
      <w:r>
        <w:instrText xml:space="preserve"> PAGEREF _Toc192041076 \h </w:instrText>
      </w:r>
      <w:r>
        <w:fldChar w:fldCharType="separate"/>
      </w:r>
      <w:r>
        <w:t>54</w:t>
      </w:r>
      <w:r>
        <w:fldChar w:fldCharType="end"/>
      </w:r>
    </w:p>
    <w:p>
      <w:pPr>
        <w:pStyle w:val="TOC8"/>
        <w:rPr>
          <w:sz w:val="24"/>
          <w:szCs w:val="24"/>
        </w:rPr>
      </w:pPr>
      <w:r>
        <w:rPr>
          <w:szCs w:val="24"/>
        </w:rPr>
        <w:t>31AC.</w:t>
      </w:r>
      <w:r>
        <w:rPr>
          <w:szCs w:val="24"/>
        </w:rPr>
        <w:tab/>
        <w:t>Issue of prohibition notice for hazard arising from breach of Act</w:t>
      </w:r>
      <w:r>
        <w:tab/>
      </w:r>
      <w:r>
        <w:fldChar w:fldCharType="begin"/>
      </w:r>
      <w:r>
        <w:instrText xml:space="preserve"> PAGEREF _Toc192041077 \h </w:instrText>
      </w:r>
      <w:r>
        <w:fldChar w:fldCharType="separate"/>
      </w:r>
      <w:r>
        <w:t>55</w:t>
      </w:r>
      <w:r>
        <w:fldChar w:fldCharType="end"/>
      </w:r>
    </w:p>
    <w:p>
      <w:pPr>
        <w:pStyle w:val="TOC8"/>
        <w:rPr>
          <w:sz w:val="24"/>
          <w:szCs w:val="24"/>
        </w:rPr>
      </w:pPr>
      <w:r>
        <w:rPr>
          <w:szCs w:val="24"/>
        </w:rPr>
        <w:t>31AD.</w:t>
      </w:r>
      <w:r>
        <w:rPr>
          <w:szCs w:val="24"/>
        </w:rPr>
        <w:tab/>
        <w:t>Issue of prohibition notice for other hazards</w:t>
      </w:r>
      <w:r>
        <w:tab/>
      </w:r>
      <w:r>
        <w:fldChar w:fldCharType="begin"/>
      </w:r>
      <w:r>
        <w:instrText xml:space="preserve"> PAGEREF _Toc192041078 \h </w:instrText>
      </w:r>
      <w:r>
        <w:fldChar w:fldCharType="separate"/>
      </w:r>
      <w:r>
        <w:t>56</w:t>
      </w:r>
      <w:r>
        <w:fldChar w:fldCharType="end"/>
      </w:r>
    </w:p>
    <w:p>
      <w:pPr>
        <w:pStyle w:val="TOC8"/>
        <w:rPr>
          <w:sz w:val="24"/>
          <w:szCs w:val="24"/>
        </w:rPr>
      </w:pPr>
      <w:r>
        <w:rPr>
          <w:szCs w:val="24"/>
        </w:rPr>
        <w:t>31AE.</w:t>
      </w:r>
      <w:r>
        <w:rPr>
          <w:szCs w:val="24"/>
        </w:rPr>
        <w:tab/>
        <w:t>Prohibition of mining operations</w:t>
      </w:r>
      <w:r>
        <w:tab/>
      </w:r>
      <w:r>
        <w:fldChar w:fldCharType="begin"/>
      </w:r>
      <w:r>
        <w:instrText xml:space="preserve"> PAGEREF _Toc192041079 \h </w:instrText>
      </w:r>
      <w:r>
        <w:fldChar w:fldCharType="separate"/>
      </w:r>
      <w:r>
        <w:t>56</w:t>
      </w:r>
      <w:r>
        <w:fldChar w:fldCharType="end"/>
      </w:r>
    </w:p>
    <w:p>
      <w:pPr>
        <w:pStyle w:val="TOC8"/>
        <w:rPr>
          <w:sz w:val="24"/>
          <w:szCs w:val="24"/>
        </w:rPr>
      </w:pPr>
      <w:r>
        <w:rPr>
          <w:szCs w:val="24"/>
        </w:rPr>
        <w:t>31AF.</w:t>
      </w:r>
      <w:r>
        <w:rPr>
          <w:szCs w:val="24"/>
        </w:rPr>
        <w:tab/>
        <w:t>Contents of prohibition notice under this Subdivision</w:t>
      </w:r>
      <w:r>
        <w:tab/>
      </w:r>
      <w:r>
        <w:fldChar w:fldCharType="begin"/>
      </w:r>
      <w:r>
        <w:instrText xml:space="preserve"> PAGEREF _Toc192041080 \h </w:instrText>
      </w:r>
      <w:r>
        <w:fldChar w:fldCharType="separate"/>
      </w:r>
      <w:r>
        <w:t>57</w:t>
      </w:r>
      <w:r>
        <w:fldChar w:fldCharType="end"/>
      </w:r>
    </w:p>
    <w:p>
      <w:pPr>
        <w:pStyle w:val="TOC8"/>
        <w:rPr>
          <w:sz w:val="24"/>
          <w:szCs w:val="24"/>
        </w:rPr>
      </w:pPr>
      <w:r>
        <w:rPr>
          <w:szCs w:val="24"/>
        </w:rPr>
        <w:t>31AG.</w:t>
      </w:r>
      <w:r>
        <w:rPr>
          <w:szCs w:val="24"/>
        </w:rPr>
        <w:tab/>
        <w:t>Failure to comply with prohibition notice</w:t>
      </w:r>
      <w:r>
        <w:tab/>
      </w:r>
      <w:r>
        <w:fldChar w:fldCharType="begin"/>
      </w:r>
      <w:r>
        <w:instrText xml:space="preserve"> PAGEREF _Toc192041081 \h </w:instrText>
      </w:r>
      <w:r>
        <w:fldChar w:fldCharType="separate"/>
      </w:r>
      <w:r>
        <w:t>57</w:t>
      </w:r>
      <w:r>
        <w:fldChar w:fldCharType="end"/>
      </w:r>
    </w:p>
    <w:p>
      <w:pPr>
        <w:pStyle w:val="TOC6"/>
        <w:tabs>
          <w:tab w:val="right" w:leader="dot" w:pos="7086"/>
        </w:tabs>
        <w:rPr>
          <w:b w:val="0"/>
          <w:sz w:val="24"/>
          <w:szCs w:val="24"/>
        </w:rPr>
      </w:pPr>
      <w:r>
        <w:rPr>
          <w:szCs w:val="24"/>
        </w:rPr>
        <w:t>Subdivision 3 — Prohibition notices in relation to occupation of residential premises by employee</w:t>
      </w:r>
    </w:p>
    <w:p>
      <w:pPr>
        <w:pStyle w:val="TOC8"/>
        <w:rPr>
          <w:sz w:val="24"/>
          <w:szCs w:val="24"/>
        </w:rPr>
      </w:pPr>
      <w:r>
        <w:rPr>
          <w:szCs w:val="24"/>
        </w:rPr>
        <w:t>31AH.</w:t>
      </w:r>
      <w:r>
        <w:rPr>
          <w:szCs w:val="24"/>
        </w:rPr>
        <w:tab/>
        <w:t>Issue of prohibition notice</w:t>
      </w:r>
      <w:r>
        <w:tab/>
      </w:r>
      <w:r>
        <w:fldChar w:fldCharType="begin"/>
      </w:r>
      <w:r>
        <w:instrText xml:space="preserve"> PAGEREF _Toc192041083 \h </w:instrText>
      </w:r>
      <w:r>
        <w:fldChar w:fldCharType="separate"/>
      </w:r>
      <w:r>
        <w:t>58</w:t>
      </w:r>
      <w:r>
        <w:fldChar w:fldCharType="end"/>
      </w:r>
    </w:p>
    <w:p>
      <w:pPr>
        <w:pStyle w:val="TOC8"/>
        <w:rPr>
          <w:sz w:val="24"/>
          <w:szCs w:val="24"/>
        </w:rPr>
      </w:pPr>
      <w:r>
        <w:rPr>
          <w:szCs w:val="24"/>
        </w:rPr>
        <w:t>31AI.</w:t>
      </w:r>
      <w:r>
        <w:rPr>
          <w:szCs w:val="24"/>
        </w:rPr>
        <w:tab/>
        <w:t>Contents of prohibition notice under this Subdivision</w:t>
      </w:r>
      <w:r>
        <w:tab/>
      </w:r>
      <w:r>
        <w:fldChar w:fldCharType="begin"/>
      </w:r>
      <w:r>
        <w:instrText xml:space="preserve"> PAGEREF _Toc192041084 \h </w:instrText>
      </w:r>
      <w:r>
        <w:fldChar w:fldCharType="separate"/>
      </w:r>
      <w:r>
        <w:t>59</w:t>
      </w:r>
      <w:r>
        <w:fldChar w:fldCharType="end"/>
      </w:r>
    </w:p>
    <w:p>
      <w:pPr>
        <w:pStyle w:val="TOC8"/>
        <w:rPr>
          <w:sz w:val="24"/>
          <w:szCs w:val="24"/>
        </w:rPr>
      </w:pPr>
      <w:r>
        <w:rPr>
          <w:szCs w:val="24"/>
        </w:rPr>
        <w:t>31AJ.</w:t>
      </w:r>
      <w:r>
        <w:rPr>
          <w:szCs w:val="24"/>
        </w:rPr>
        <w:tab/>
        <w:t>Failure to comply with prohibition notice</w:t>
      </w:r>
      <w:r>
        <w:tab/>
      </w:r>
      <w:r>
        <w:fldChar w:fldCharType="begin"/>
      </w:r>
      <w:r>
        <w:instrText xml:space="preserve"> PAGEREF _Toc192041085 \h </w:instrText>
      </w:r>
      <w:r>
        <w:fldChar w:fldCharType="separate"/>
      </w:r>
      <w:r>
        <w:t>59</w:t>
      </w:r>
      <w:r>
        <w:fldChar w:fldCharType="end"/>
      </w:r>
    </w:p>
    <w:p>
      <w:pPr>
        <w:pStyle w:val="TOC6"/>
        <w:tabs>
          <w:tab w:val="right" w:leader="dot" w:pos="7086"/>
        </w:tabs>
        <w:rPr>
          <w:b w:val="0"/>
          <w:sz w:val="24"/>
          <w:szCs w:val="24"/>
        </w:rPr>
      </w:pPr>
      <w:r>
        <w:rPr>
          <w:szCs w:val="24"/>
        </w:rPr>
        <w:t>Subdivision 4 — Display of improvement notices and prohibition notices</w:t>
      </w:r>
    </w:p>
    <w:p>
      <w:pPr>
        <w:pStyle w:val="TOC8"/>
        <w:rPr>
          <w:sz w:val="24"/>
          <w:szCs w:val="24"/>
        </w:rPr>
      </w:pPr>
      <w:r>
        <w:rPr>
          <w:szCs w:val="24"/>
        </w:rPr>
        <w:t>31AK.</w:t>
      </w:r>
      <w:r>
        <w:rPr>
          <w:szCs w:val="24"/>
        </w:rPr>
        <w:tab/>
        <w:t>Improvement notices</w:t>
      </w:r>
      <w:r>
        <w:tab/>
      </w:r>
      <w:r>
        <w:fldChar w:fldCharType="begin"/>
      </w:r>
      <w:r>
        <w:instrText xml:space="preserve"> PAGEREF _Toc192041087 \h </w:instrText>
      </w:r>
      <w:r>
        <w:fldChar w:fldCharType="separate"/>
      </w:r>
      <w:r>
        <w:t>60</w:t>
      </w:r>
      <w:r>
        <w:fldChar w:fldCharType="end"/>
      </w:r>
    </w:p>
    <w:p>
      <w:pPr>
        <w:pStyle w:val="TOC8"/>
        <w:rPr>
          <w:sz w:val="24"/>
          <w:szCs w:val="24"/>
        </w:rPr>
      </w:pPr>
      <w:r>
        <w:rPr>
          <w:szCs w:val="24"/>
        </w:rPr>
        <w:t>31AL.</w:t>
      </w:r>
      <w:r>
        <w:rPr>
          <w:szCs w:val="24"/>
        </w:rPr>
        <w:tab/>
        <w:t>Prohibition notices in respect of mines</w:t>
      </w:r>
      <w:r>
        <w:tab/>
      </w:r>
      <w:r>
        <w:fldChar w:fldCharType="begin"/>
      </w:r>
      <w:r>
        <w:instrText xml:space="preserve"> PAGEREF _Toc192041088 \h </w:instrText>
      </w:r>
      <w:r>
        <w:fldChar w:fldCharType="separate"/>
      </w:r>
      <w:r>
        <w:t>60</w:t>
      </w:r>
      <w:r>
        <w:fldChar w:fldCharType="end"/>
      </w:r>
    </w:p>
    <w:p>
      <w:pPr>
        <w:pStyle w:val="TOC8"/>
        <w:rPr>
          <w:sz w:val="24"/>
          <w:szCs w:val="24"/>
        </w:rPr>
      </w:pPr>
      <w:r>
        <w:rPr>
          <w:szCs w:val="24"/>
        </w:rPr>
        <w:t>31AM.</w:t>
      </w:r>
      <w:r>
        <w:rPr>
          <w:szCs w:val="24"/>
        </w:rPr>
        <w:tab/>
        <w:t>Prohibition notices in respect of residential premises</w:t>
      </w:r>
      <w:r>
        <w:tab/>
      </w:r>
      <w:r>
        <w:fldChar w:fldCharType="begin"/>
      </w:r>
      <w:r>
        <w:instrText xml:space="preserve"> PAGEREF _Toc192041089 \h </w:instrText>
      </w:r>
      <w:r>
        <w:fldChar w:fldCharType="separate"/>
      </w:r>
      <w:r>
        <w:t>60</w:t>
      </w:r>
      <w:r>
        <w:fldChar w:fldCharType="end"/>
      </w:r>
    </w:p>
    <w:p>
      <w:pPr>
        <w:pStyle w:val="TOC8"/>
        <w:rPr>
          <w:sz w:val="24"/>
          <w:szCs w:val="24"/>
        </w:rPr>
      </w:pPr>
      <w:r>
        <w:rPr>
          <w:szCs w:val="24"/>
        </w:rPr>
        <w:t>31AN.</w:t>
      </w:r>
      <w:r>
        <w:rPr>
          <w:szCs w:val="24"/>
        </w:rPr>
        <w:tab/>
        <w:t>Offence to remove displayed notice</w:t>
      </w:r>
      <w:r>
        <w:tab/>
      </w:r>
      <w:r>
        <w:fldChar w:fldCharType="begin"/>
      </w:r>
      <w:r>
        <w:instrText xml:space="preserve"> PAGEREF _Toc192041090 \h </w:instrText>
      </w:r>
      <w:r>
        <w:fldChar w:fldCharType="separate"/>
      </w:r>
      <w:r>
        <w:t>60</w:t>
      </w:r>
      <w:r>
        <w:fldChar w:fldCharType="end"/>
      </w:r>
    </w:p>
    <w:p>
      <w:pPr>
        <w:pStyle w:val="TOC8"/>
        <w:rPr>
          <w:sz w:val="24"/>
          <w:szCs w:val="24"/>
        </w:rPr>
      </w:pPr>
      <w:r>
        <w:rPr>
          <w:szCs w:val="24"/>
        </w:rPr>
        <w:t>31AO.</w:t>
      </w:r>
      <w:r>
        <w:rPr>
          <w:szCs w:val="24"/>
        </w:rPr>
        <w:tab/>
        <w:t>Modifications of notice to be displayed</w:t>
      </w:r>
      <w:r>
        <w:tab/>
      </w:r>
      <w:r>
        <w:fldChar w:fldCharType="begin"/>
      </w:r>
      <w:r>
        <w:instrText xml:space="preserve"> PAGEREF _Toc192041091 \h </w:instrText>
      </w:r>
      <w:r>
        <w:fldChar w:fldCharType="separate"/>
      </w:r>
      <w:r>
        <w:t>61</w:t>
      </w:r>
      <w:r>
        <w:fldChar w:fldCharType="end"/>
      </w:r>
    </w:p>
    <w:p>
      <w:pPr>
        <w:pStyle w:val="TOC8"/>
        <w:rPr>
          <w:sz w:val="24"/>
          <w:szCs w:val="24"/>
        </w:rPr>
      </w:pPr>
      <w:r>
        <w:rPr>
          <w:szCs w:val="24"/>
        </w:rPr>
        <w:t>31AP.</w:t>
      </w:r>
      <w:r>
        <w:rPr>
          <w:szCs w:val="24"/>
        </w:rPr>
        <w:tab/>
        <w:t>Failure to comply with provision of this Subdivision</w:t>
      </w:r>
      <w:r>
        <w:tab/>
      </w:r>
      <w:r>
        <w:fldChar w:fldCharType="begin"/>
      </w:r>
      <w:r>
        <w:instrText xml:space="preserve"> PAGEREF _Toc192041092 \h </w:instrText>
      </w:r>
      <w:r>
        <w:fldChar w:fldCharType="separate"/>
      </w:r>
      <w:r>
        <w:t>61</w:t>
      </w:r>
      <w:r>
        <w:fldChar w:fldCharType="end"/>
      </w:r>
    </w:p>
    <w:p>
      <w:pPr>
        <w:pStyle w:val="TOC6"/>
        <w:tabs>
          <w:tab w:val="right" w:leader="dot" w:pos="7086"/>
        </w:tabs>
        <w:rPr>
          <w:b w:val="0"/>
          <w:sz w:val="24"/>
          <w:szCs w:val="24"/>
        </w:rPr>
      </w:pPr>
      <w:r>
        <w:rPr>
          <w:szCs w:val="24"/>
        </w:rPr>
        <w:t>Subdivision 5 — General duty of principal employer and manager in respect of notices</w:t>
      </w:r>
    </w:p>
    <w:p>
      <w:pPr>
        <w:pStyle w:val="TOC8"/>
        <w:rPr>
          <w:sz w:val="24"/>
          <w:szCs w:val="24"/>
        </w:rPr>
      </w:pPr>
      <w:r>
        <w:rPr>
          <w:szCs w:val="24"/>
        </w:rPr>
        <w:t>31AQ.</w:t>
      </w:r>
      <w:r>
        <w:rPr>
          <w:szCs w:val="24"/>
        </w:rPr>
        <w:tab/>
        <w:t>General duty, improvement notices</w:t>
      </w:r>
      <w:r>
        <w:tab/>
      </w:r>
      <w:r>
        <w:fldChar w:fldCharType="begin"/>
      </w:r>
      <w:r>
        <w:instrText xml:space="preserve"> PAGEREF _Toc192041094 \h </w:instrText>
      </w:r>
      <w:r>
        <w:fldChar w:fldCharType="separate"/>
      </w:r>
      <w:r>
        <w:t>61</w:t>
      </w:r>
      <w:r>
        <w:fldChar w:fldCharType="end"/>
      </w:r>
    </w:p>
    <w:p>
      <w:pPr>
        <w:pStyle w:val="TOC8"/>
        <w:rPr>
          <w:sz w:val="24"/>
          <w:szCs w:val="24"/>
        </w:rPr>
      </w:pPr>
      <w:r>
        <w:rPr>
          <w:szCs w:val="24"/>
        </w:rPr>
        <w:t>31AR.</w:t>
      </w:r>
      <w:r>
        <w:rPr>
          <w:szCs w:val="24"/>
        </w:rPr>
        <w:tab/>
        <w:t>General duty, prohibition notices</w:t>
      </w:r>
      <w:r>
        <w:tab/>
      </w:r>
      <w:r>
        <w:fldChar w:fldCharType="begin"/>
      </w:r>
      <w:r>
        <w:instrText xml:space="preserve"> PAGEREF _Toc192041095 \h </w:instrText>
      </w:r>
      <w:r>
        <w:fldChar w:fldCharType="separate"/>
      </w:r>
      <w:r>
        <w:t>62</w:t>
      </w:r>
      <w:r>
        <w:fldChar w:fldCharType="end"/>
      </w:r>
    </w:p>
    <w:p>
      <w:pPr>
        <w:pStyle w:val="TOC8"/>
        <w:rPr>
          <w:sz w:val="24"/>
          <w:szCs w:val="24"/>
        </w:rPr>
      </w:pPr>
      <w:r>
        <w:rPr>
          <w:szCs w:val="24"/>
        </w:rPr>
        <w:t>31AS.</w:t>
      </w:r>
      <w:r>
        <w:rPr>
          <w:szCs w:val="24"/>
        </w:rPr>
        <w:tab/>
        <w:t>Other provisions relating to general duty</w:t>
      </w:r>
      <w:r>
        <w:tab/>
      </w:r>
      <w:r>
        <w:fldChar w:fldCharType="begin"/>
      </w:r>
      <w:r>
        <w:instrText xml:space="preserve"> PAGEREF _Toc192041096 \h </w:instrText>
      </w:r>
      <w:r>
        <w:fldChar w:fldCharType="separate"/>
      </w:r>
      <w:r>
        <w:t>62</w:t>
      </w:r>
      <w:r>
        <w:fldChar w:fldCharType="end"/>
      </w:r>
    </w:p>
    <w:p>
      <w:pPr>
        <w:pStyle w:val="TOC6"/>
        <w:tabs>
          <w:tab w:val="right" w:leader="dot" w:pos="7086"/>
        </w:tabs>
        <w:rPr>
          <w:b w:val="0"/>
          <w:sz w:val="24"/>
          <w:szCs w:val="24"/>
        </w:rPr>
      </w:pPr>
      <w:r>
        <w:rPr>
          <w:szCs w:val="24"/>
        </w:rPr>
        <w:t>Subdivision 6 — Entry of notices and related matters in mine record book</w:t>
      </w:r>
    </w:p>
    <w:p>
      <w:pPr>
        <w:pStyle w:val="TOC8"/>
        <w:rPr>
          <w:sz w:val="24"/>
          <w:szCs w:val="24"/>
        </w:rPr>
      </w:pPr>
      <w:r>
        <w:rPr>
          <w:szCs w:val="24"/>
        </w:rPr>
        <w:t>31AT.</w:t>
      </w:r>
      <w:r>
        <w:rPr>
          <w:szCs w:val="24"/>
        </w:rPr>
        <w:tab/>
        <w:t>Improvement and prohibition notices</w:t>
      </w:r>
      <w:r>
        <w:tab/>
      </w:r>
      <w:r>
        <w:fldChar w:fldCharType="begin"/>
      </w:r>
      <w:r>
        <w:instrText xml:space="preserve"> PAGEREF _Toc192041098 \h </w:instrText>
      </w:r>
      <w:r>
        <w:fldChar w:fldCharType="separate"/>
      </w:r>
      <w:r>
        <w:t>63</w:t>
      </w:r>
      <w:r>
        <w:fldChar w:fldCharType="end"/>
      </w:r>
    </w:p>
    <w:p>
      <w:pPr>
        <w:pStyle w:val="TOC8"/>
        <w:rPr>
          <w:sz w:val="24"/>
          <w:szCs w:val="24"/>
        </w:rPr>
      </w:pPr>
      <w:r>
        <w:rPr>
          <w:szCs w:val="24"/>
        </w:rPr>
        <w:t>31AU.</w:t>
      </w:r>
      <w:r>
        <w:rPr>
          <w:szCs w:val="24"/>
        </w:rPr>
        <w:tab/>
        <w:t>Referrals for review</w:t>
      </w:r>
      <w:r>
        <w:tab/>
      </w:r>
      <w:r>
        <w:fldChar w:fldCharType="begin"/>
      </w:r>
      <w:r>
        <w:instrText xml:space="preserve"> PAGEREF _Toc192041099 \h </w:instrText>
      </w:r>
      <w:r>
        <w:fldChar w:fldCharType="separate"/>
      </w:r>
      <w:r>
        <w:t>63</w:t>
      </w:r>
      <w:r>
        <w:fldChar w:fldCharType="end"/>
      </w:r>
    </w:p>
    <w:p>
      <w:pPr>
        <w:pStyle w:val="TOC8"/>
        <w:rPr>
          <w:sz w:val="24"/>
          <w:szCs w:val="24"/>
        </w:rPr>
      </w:pPr>
      <w:r>
        <w:rPr>
          <w:szCs w:val="24"/>
        </w:rPr>
        <w:t>31AV.</w:t>
      </w:r>
      <w:r>
        <w:rPr>
          <w:szCs w:val="24"/>
        </w:rPr>
        <w:tab/>
        <w:t>Decisions on review</w:t>
      </w:r>
      <w:r>
        <w:tab/>
      </w:r>
      <w:r>
        <w:fldChar w:fldCharType="begin"/>
      </w:r>
      <w:r>
        <w:instrText xml:space="preserve"> PAGEREF _Toc192041100 \h </w:instrText>
      </w:r>
      <w:r>
        <w:fldChar w:fldCharType="separate"/>
      </w:r>
      <w:r>
        <w:t>64</w:t>
      </w:r>
      <w:r>
        <w:fldChar w:fldCharType="end"/>
      </w:r>
    </w:p>
    <w:p>
      <w:pPr>
        <w:pStyle w:val="TOC8"/>
        <w:rPr>
          <w:sz w:val="24"/>
          <w:szCs w:val="24"/>
        </w:rPr>
      </w:pPr>
      <w:r>
        <w:rPr>
          <w:szCs w:val="24"/>
        </w:rPr>
        <w:t>31AW.</w:t>
      </w:r>
      <w:r>
        <w:rPr>
          <w:szCs w:val="24"/>
        </w:rPr>
        <w:tab/>
        <w:t>Permissions for continuation of work</w:t>
      </w:r>
      <w:r>
        <w:tab/>
      </w:r>
      <w:r>
        <w:fldChar w:fldCharType="begin"/>
      </w:r>
      <w:r>
        <w:instrText xml:space="preserve"> PAGEREF _Toc192041101 \h </w:instrText>
      </w:r>
      <w:r>
        <w:fldChar w:fldCharType="separate"/>
      </w:r>
      <w:r>
        <w:t>64</w:t>
      </w:r>
      <w:r>
        <w:fldChar w:fldCharType="end"/>
      </w:r>
    </w:p>
    <w:p>
      <w:pPr>
        <w:pStyle w:val="TOC8"/>
        <w:rPr>
          <w:sz w:val="24"/>
          <w:szCs w:val="24"/>
        </w:rPr>
      </w:pPr>
      <w:r>
        <w:rPr>
          <w:szCs w:val="24"/>
        </w:rPr>
        <w:t>31AX.</w:t>
      </w:r>
      <w:r>
        <w:rPr>
          <w:szCs w:val="24"/>
        </w:rPr>
        <w:tab/>
        <w:t>Failure to comply with provision of this Subdivision</w:t>
      </w:r>
      <w:r>
        <w:tab/>
      </w:r>
      <w:r>
        <w:fldChar w:fldCharType="begin"/>
      </w:r>
      <w:r>
        <w:instrText xml:space="preserve"> PAGEREF _Toc192041102 \h </w:instrText>
      </w:r>
      <w:r>
        <w:fldChar w:fldCharType="separate"/>
      </w:r>
      <w:r>
        <w:t>64</w:t>
      </w:r>
      <w:r>
        <w:fldChar w:fldCharType="end"/>
      </w:r>
    </w:p>
    <w:p>
      <w:pPr>
        <w:pStyle w:val="TOC6"/>
        <w:tabs>
          <w:tab w:val="right" w:leader="dot" w:pos="7086"/>
        </w:tabs>
        <w:rPr>
          <w:b w:val="0"/>
          <w:sz w:val="24"/>
          <w:szCs w:val="24"/>
        </w:rPr>
      </w:pPr>
      <w:r>
        <w:rPr>
          <w:szCs w:val="24"/>
        </w:rPr>
        <w:t>Subdivision 7 — Review of improvement notices and prohibition notices</w:t>
      </w:r>
    </w:p>
    <w:p>
      <w:pPr>
        <w:pStyle w:val="TOC8"/>
        <w:rPr>
          <w:sz w:val="24"/>
          <w:szCs w:val="24"/>
        </w:rPr>
      </w:pPr>
      <w:r>
        <w:rPr>
          <w:szCs w:val="24"/>
        </w:rPr>
        <w:t>31AY.</w:t>
      </w:r>
      <w:r>
        <w:rPr>
          <w:szCs w:val="24"/>
        </w:rPr>
        <w:tab/>
        <w:t>Notice may be referred for review</w:t>
      </w:r>
      <w:r>
        <w:tab/>
      </w:r>
      <w:r>
        <w:fldChar w:fldCharType="begin"/>
      </w:r>
      <w:r>
        <w:instrText xml:space="preserve"> PAGEREF _Toc192041104 \h </w:instrText>
      </w:r>
      <w:r>
        <w:fldChar w:fldCharType="separate"/>
      </w:r>
      <w:r>
        <w:t>64</w:t>
      </w:r>
      <w:r>
        <w:fldChar w:fldCharType="end"/>
      </w:r>
    </w:p>
    <w:p>
      <w:pPr>
        <w:pStyle w:val="TOC8"/>
        <w:rPr>
          <w:sz w:val="24"/>
          <w:szCs w:val="24"/>
        </w:rPr>
      </w:pPr>
      <w:r>
        <w:rPr>
          <w:szCs w:val="24"/>
        </w:rPr>
        <w:t>31AZ.</w:t>
      </w:r>
      <w:r>
        <w:rPr>
          <w:szCs w:val="24"/>
        </w:rPr>
        <w:tab/>
        <w:t>Review by State mining engineer</w:t>
      </w:r>
      <w:r>
        <w:tab/>
      </w:r>
      <w:r>
        <w:fldChar w:fldCharType="begin"/>
      </w:r>
      <w:r>
        <w:instrText xml:space="preserve"> PAGEREF _Toc192041105 \h </w:instrText>
      </w:r>
      <w:r>
        <w:fldChar w:fldCharType="separate"/>
      </w:r>
      <w:r>
        <w:t>65</w:t>
      </w:r>
      <w:r>
        <w:fldChar w:fldCharType="end"/>
      </w:r>
    </w:p>
    <w:p>
      <w:pPr>
        <w:pStyle w:val="TOC8"/>
        <w:rPr>
          <w:sz w:val="24"/>
          <w:szCs w:val="24"/>
        </w:rPr>
      </w:pPr>
      <w:r>
        <w:rPr>
          <w:szCs w:val="24"/>
        </w:rPr>
        <w:t>31B.</w:t>
      </w:r>
      <w:r>
        <w:rPr>
          <w:szCs w:val="24"/>
        </w:rPr>
        <w:tab/>
        <w:t>Effect of notice pending review by State mining engineer</w:t>
      </w:r>
      <w:r>
        <w:tab/>
      </w:r>
      <w:r>
        <w:fldChar w:fldCharType="begin"/>
      </w:r>
      <w:r>
        <w:instrText xml:space="preserve"> PAGEREF _Toc192041106 \h </w:instrText>
      </w:r>
      <w:r>
        <w:fldChar w:fldCharType="separate"/>
      </w:r>
      <w:r>
        <w:t>66</w:t>
      </w:r>
      <w:r>
        <w:fldChar w:fldCharType="end"/>
      </w:r>
    </w:p>
    <w:p>
      <w:pPr>
        <w:pStyle w:val="TOC8"/>
        <w:rPr>
          <w:sz w:val="24"/>
          <w:szCs w:val="24"/>
        </w:rPr>
      </w:pPr>
      <w:r>
        <w:rPr>
          <w:szCs w:val="24"/>
        </w:rPr>
        <w:t>31BA.</w:t>
      </w:r>
      <w:r>
        <w:rPr>
          <w:szCs w:val="24"/>
        </w:rPr>
        <w:tab/>
        <w:t>Decision may be referred to Tribunal</w:t>
      </w:r>
      <w:r>
        <w:tab/>
      </w:r>
      <w:r>
        <w:fldChar w:fldCharType="begin"/>
      </w:r>
      <w:r>
        <w:instrText xml:space="preserve"> PAGEREF _Toc192041107 \h </w:instrText>
      </w:r>
      <w:r>
        <w:fldChar w:fldCharType="separate"/>
      </w:r>
      <w:r>
        <w:t>67</w:t>
      </w:r>
      <w:r>
        <w:fldChar w:fldCharType="end"/>
      </w:r>
    </w:p>
    <w:p>
      <w:pPr>
        <w:pStyle w:val="TOC8"/>
        <w:rPr>
          <w:sz w:val="24"/>
          <w:szCs w:val="24"/>
        </w:rPr>
      </w:pPr>
      <w:r>
        <w:rPr>
          <w:szCs w:val="24"/>
        </w:rPr>
        <w:t>31BB.</w:t>
      </w:r>
      <w:r>
        <w:rPr>
          <w:szCs w:val="24"/>
        </w:rPr>
        <w:tab/>
        <w:t>Determination by Tribunal</w:t>
      </w:r>
      <w:r>
        <w:tab/>
      </w:r>
      <w:r>
        <w:fldChar w:fldCharType="begin"/>
      </w:r>
      <w:r>
        <w:instrText xml:space="preserve"> PAGEREF _Toc192041108 \h </w:instrText>
      </w:r>
      <w:r>
        <w:fldChar w:fldCharType="separate"/>
      </w:r>
      <w:r>
        <w:t>68</w:t>
      </w:r>
      <w:r>
        <w:fldChar w:fldCharType="end"/>
      </w:r>
    </w:p>
    <w:p>
      <w:pPr>
        <w:pStyle w:val="TOC8"/>
        <w:rPr>
          <w:sz w:val="24"/>
          <w:szCs w:val="24"/>
        </w:rPr>
      </w:pPr>
      <w:r>
        <w:rPr>
          <w:szCs w:val="24"/>
        </w:rPr>
        <w:t>31BC.</w:t>
      </w:r>
      <w:r>
        <w:rPr>
          <w:szCs w:val="24"/>
        </w:rPr>
        <w:tab/>
        <w:t>Effect of notice pending review by Tribunal</w:t>
      </w:r>
      <w:r>
        <w:tab/>
      </w:r>
      <w:r>
        <w:fldChar w:fldCharType="begin"/>
      </w:r>
      <w:r>
        <w:instrText xml:space="preserve"> PAGEREF _Toc192041109 \h </w:instrText>
      </w:r>
      <w:r>
        <w:fldChar w:fldCharType="separate"/>
      </w:r>
      <w:r>
        <w:t>69</w:t>
      </w:r>
      <w:r>
        <w:fldChar w:fldCharType="end"/>
      </w:r>
    </w:p>
    <w:p>
      <w:pPr>
        <w:pStyle w:val="TOC6"/>
        <w:tabs>
          <w:tab w:val="right" w:leader="dot" w:pos="7086"/>
        </w:tabs>
        <w:rPr>
          <w:b w:val="0"/>
          <w:sz w:val="24"/>
          <w:szCs w:val="24"/>
        </w:rPr>
      </w:pPr>
      <w:r>
        <w:rPr>
          <w:szCs w:val="24"/>
        </w:rPr>
        <w:t>Subdivision 8 — General</w:t>
      </w:r>
    </w:p>
    <w:p>
      <w:pPr>
        <w:pStyle w:val="TOC8"/>
        <w:rPr>
          <w:sz w:val="24"/>
          <w:szCs w:val="24"/>
        </w:rPr>
      </w:pPr>
      <w:r>
        <w:rPr>
          <w:szCs w:val="24"/>
        </w:rPr>
        <w:t>31BD.</w:t>
      </w:r>
      <w:r>
        <w:rPr>
          <w:szCs w:val="24"/>
        </w:rPr>
        <w:tab/>
        <w:t>Notices may include directions</w:t>
      </w:r>
      <w:r>
        <w:tab/>
      </w:r>
      <w:r>
        <w:fldChar w:fldCharType="begin"/>
      </w:r>
      <w:r>
        <w:instrText xml:space="preserve"> PAGEREF _Toc192041111 \h </w:instrText>
      </w:r>
      <w:r>
        <w:fldChar w:fldCharType="separate"/>
      </w:r>
      <w:r>
        <w:t>70</w:t>
      </w:r>
      <w:r>
        <w:fldChar w:fldCharType="end"/>
      </w:r>
    </w:p>
    <w:p>
      <w:pPr>
        <w:pStyle w:val="TOC8"/>
        <w:rPr>
          <w:sz w:val="24"/>
          <w:szCs w:val="24"/>
        </w:rPr>
      </w:pPr>
      <w:r>
        <w:rPr>
          <w:szCs w:val="24"/>
        </w:rPr>
        <w:t>31BE.</w:t>
      </w:r>
      <w:r>
        <w:rPr>
          <w:szCs w:val="24"/>
        </w:rPr>
        <w:tab/>
        <w:t>Further power of State mining engineer to cancel notice</w:t>
      </w:r>
      <w:r>
        <w:tab/>
      </w:r>
      <w:r>
        <w:fldChar w:fldCharType="begin"/>
      </w:r>
      <w:r>
        <w:instrText xml:space="preserve"> PAGEREF _Toc192041112 \h </w:instrText>
      </w:r>
      <w:r>
        <w:fldChar w:fldCharType="separate"/>
      </w:r>
      <w:r>
        <w:t>70</w:t>
      </w:r>
      <w:r>
        <w:fldChar w:fldCharType="end"/>
      </w:r>
    </w:p>
    <w:p>
      <w:pPr>
        <w:pStyle w:val="TOC4"/>
        <w:tabs>
          <w:tab w:val="right" w:leader="dot" w:pos="7086"/>
        </w:tabs>
        <w:rPr>
          <w:b w:val="0"/>
          <w:sz w:val="24"/>
          <w:szCs w:val="24"/>
        </w:rPr>
      </w:pPr>
      <w:r>
        <w:rPr>
          <w:szCs w:val="26"/>
        </w:rPr>
        <w:t>Division 4 — Issue of provisional improvement notices by safety and health representative</w:t>
      </w:r>
    </w:p>
    <w:p>
      <w:pPr>
        <w:pStyle w:val="TOC8"/>
        <w:rPr>
          <w:sz w:val="24"/>
          <w:szCs w:val="24"/>
        </w:rPr>
      </w:pPr>
      <w:r>
        <w:rPr>
          <w:szCs w:val="24"/>
        </w:rPr>
        <w:t>31BF.</w:t>
      </w:r>
      <w:r>
        <w:rPr>
          <w:szCs w:val="24"/>
        </w:rPr>
        <w:tab/>
        <w:t>Definition</w:t>
      </w:r>
      <w:r>
        <w:tab/>
      </w:r>
      <w:r>
        <w:fldChar w:fldCharType="begin"/>
      </w:r>
      <w:r>
        <w:instrText xml:space="preserve"> PAGEREF _Toc192041114 \h </w:instrText>
      </w:r>
      <w:r>
        <w:fldChar w:fldCharType="separate"/>
      </w:r>
      <w:r>
        <w:t>71</w:t>
      </w:r>
      <w:r>
        <w:fldChar w:fldCharType="end"/>
      </w:r>
    </w:p>
    <w:p>
      <w:pPr>
        <w:pStyle w:val="TOC8"/>
        <w:rPr>
          <w:sz w:val="24"/>
          <w:szCs w:val="24"/>
        </w:rPr>
      </w:pPr>
      <w:r>
        <w:rPr>
          <w:szCs w:val="24"/>
        </w:rPr>
        <w:t>31BG.</w:t>
      </w:r>
      <w:r>
        <w:rPr>
          <w:szCs w:val="24"/>
        </w:rPr>
        <w:tab/>
        <w:t>Issue of provisional improvement notices</w:t>
      </w:r>
      <w:r>
        <w:tab/>
      </w:r>
      <w:r>
        <w:fldChar w:fldCharType="begin"/>
      </w:r>
      <w:r>
        <w:instrText xml:space="preserve"> PAGEREF _Toc192041115 \h </w:instrText>
      </w:r>
      <w:r>
        <w:fldChar w:fldCharType="separate"/>
      </w:r>
      <w:r>
        <w:t>71</w:t>
      </w:r>
      <w:r>
        <w:fldChar w:fldCharType="end"/>
      </w:r>
    </w:p>
    <w:p>
      <w:pPr>
        <w:pStyle w:val="TOC8"/>
        <w:rPr>
          <w:sz w:val="24"/>
          <w:szCs w:val="24"/>
        </w:rPr>
      </w:pPr>
      <w:r>
        <w:rPr>
          <w:szCs w:val="24"/>
        </w:rPr>
        <w:t>31BH.</w:t>
      </w:r>
      <w:r>
        <w:rPr>
          <w:szCs w:val="24"/>
        </w:rPr>
        <w:tab/>
        <w:t>Consultation required before issue</w:t>
      </w:r>
      <w:r>
        <w:tab/>
      </w:r>
      <w:r>
        <w:fldChar w:fldCharType="begin"/>
      </w:r>
      <w:r>
        <w:instrText xml:space="preserve"> PAGEREF _Toc192041116 \h </w:instrText>
      </w:r>
      <w:r>
        <w:fldChar w:fldCharType="separate"/>
      </w:r>
      <w:r>
        <w:t>73</w:t>
      </w:r>
      <w:r>
        <w:fldChar w:fldCharType="end"/>
      </w:r>
    </w:p>
    <w:p>
      <w:pPr>
        <w:pStyle w:val="TOC8"/>
        <w:rPr>
          <w:sz w:val="24"/>
          <w:szCs w:val="24"/>
        </w:rPr>
      </w:pPr>
      <w:r>
        <w:rPr>
          <w:szCs w:val="24"/>
        </w:rPr>
        <w:t>31BI.</w:t>
      </w:r>
      <w:r>
        <w:rPr>
          <w:szCs w:val="24"/>
        </w:rPr>
        <w:tab/>
        <w:t>Contents of notice</w:t>
      </w:r>
      <w:r>
        <w:tab/>
      </w:r>
      <w:r>
        <w:fldChar w:fldCharType="begin"/>
      </w:r>
      <w:r>
        <w:instrText xml:space="preserve"> PAGEREF _Toc192041117 \h </w:instrText>
      </w:r>
      <w:r>
        <w:fldChar w:fldCharType="separate"/>
      </w:r>
      <w:r>
        <w:t>73</w:t>
      </w:r>
      <w:r>
        <w:fldChar w:fldCharType="end"/>
      </w:r>
    </w:p>
    <w:p>
      <w:pPr>
        <w:pStyle w:val="TOC8"/>
        <w:rPr>
          <w:sz w:val="24"/>
          <w:szCs w:val="24"/>
        </w:rPr>
      </w:pPr>
      <w:r>
        <w:rPr>
          <w:szCs w:val="24"/>
        </w:rPr>
        <w:t>31BJ.</w:t>
      </w:r>
      <w:r>
        <w:rPr>
          <w:szCs w:val="24"/>
        </w:rPr>
        <w:tab/>
        <w:t>Provisional improvement notices may include directions</w:t>
      </w:r>
      <w:r>
        <w:tab/>
      </w:r>
      <w:r>
        <w:fldChar w:fldCharType="begin"/>
      </w:r>
      <w:r>
        <w:instrText xml:space="preserve"> PAGEREF _Toc192041118 \h </w:instrText>
      </w:r>
      <w:r>
        <w:fldChar w:fldCharType="separate"/>
      </w:r>
      <w:r>
        <w:t>74</w:t>
      </w:r>
      <w:r>
        <w:fldChar w:fldCharType="end"/>
      </w:r>
    </w:p>
    <w:p>
      <w:pPr>
        <w:pStyle w:val="TOC8"/>
        <w:rPr>
          <w:sz w:val="24"/>
          <w:szCs w:val="24"/>
        </w:rPr>
      </w:pPr>
      <w:r>
        <w:rPr>
          <w:szCs w:val="24"/>
        </w:rPr>
        <w:t>31BK.</w:t>
      </w:r>
      <w:r>
        <w:rPr>
          <w:szCs w:val="24"/>
        </w:rPr>
        <w:tab/>
        <w:t>Display of provisional improvement notices</w:t>
      </w:r>
      <w:r>
        <w:tab/>
      </w:r>
      <w:r>
        <w:fldChar w:fldCharType="begin"/>
      </w:r>
      <w:r>
        <w:instrText xml:space="preserve"> PAGEREF _Toc192041119 \h </w:instrText>
      </w:r>
      <w:r>
        <w:fldChar w:fldCharType="separate"/>
      </w:r>
      <w:r>
        <w:t>75</w:t>
      </w:r>
      <w:r>
        <w:fldChar w:fldCharType="end"/>
      </w:r>
    </w:p>
    <w:p>
      <w:pPr>
        <w:pStyle w:val="TOC8"/>
        <w:rPr>
          <w:sz w:val="24"/>
          <w:szCs w:val="24"/>
        </w:rPr>
      </w:pPr>
      <w:r>
        <w:rPr>
          <w:szCs w:val="24"/>
        </w:rPr>
        <w:t>31BL.</w:t>
      </w:r>
      <w:r>
        <w:rPr>
          <w:szCs w:val="24"/>
        </w:rPr>
        <w:tab/>
        <w:t>Failure to comply with notice</w:t>
      </w:r>
      <w:r>
        <w:tab/>
      </w:r>
      <w:r>
        <w:fldChar w:fldCharType="begin"/>
      </w:r>
      <w:r>
        <w:instrText xml:space="preserve"> PAGEREF _Toc192041120 \h </w:instrText>
      </w:r>
      <w:r>
        <w:fldChar w:fldCharType="separate"/>
      </w:r>
      <w:r>
        <w:t>75</w:t>
      </w:r>
      <w:r>
        <w:fldChar w:fldCharType="end"/>
      </w:r>
    </w:p>
    <w:p>
      <w:pPr>
        <w:pStyle w:val="TOC8"/>
        <w:rPr>
          <w:sz w:val="24"/>
          <w:szCs w:val="24"/>
        </w:rPr>
      </w:pPr>
      <w:r>
        <w:rPr>
          <w:szCs w:val="24"/>
        </w:rPr>
        <w:t>31BM.</w:t>
      </w:r>
      <w:r>
        <w:rPr>
          <w:szCs w:val="24"/>
        </w:rPr>
        <w:tab/>
        <w:t>General duty of principal employer and manager in respect of provisional improvement notice</w:t>
      </w:r>
      <w:r>
        <w:tab/>
      </w:r>
      <w:r>
        <w:fldChar w:fldCharType="begin"/>
      </w:r>
      <w:r>
        <w:instrText xml:space="preserve"> PAGEREF _Toc192041121 \h </w:instrText>
      </w:r>
      <w:r>
        <w:fldChar w:fldCharType="separate"/>
      </w:r>
      <w:r>
        <w:t>76</w:t>
      </w:r>
      <w:r>
        <w:fldChar w:fldCharType="end"/>
      </w:r>
    </w:p>
    <w:p>
      <w:pPr>
        <w:pStyle w:val="TOC8"/>
        <w:rPr>
          <w:sz w:val="24"/>
          <w:szCs w:val="24"/>
        </w:rPr>
      </w:pPr>
      <w:r>
        <w:rPr>
          <w:szCs w:val="24"/>
        </w:rPr>
        <w:t>31BN.</w:t>
      </w:r>
      <w:r>
        <w:rPr>
          <w:szCs w:val="24"/>
        </w:rPr>
        <w:tab/>
        <w:t>Review of notice by an inspector</w:t>
      </w:r>
      <w:r>
        <w:tab/>
      </w:r>
      <w:r>
        <w:fldChar w:fldCharType="begin"/>
      </w:r>
      <w:r>
        <w:instrText xml:space="preserve"> PAGEREF _Toc192041122 \h </w:instrText>
      </w:r>
      <w:r>
        <w:fldChar w:fldCharType="separate"/>
      </w:r>
      <w:r>
        <w:t>76</w:t>
      </w:r>
      <w:r>
        <w:fldChar w:fldCharType="end"/>
      </w:r>
    </w:p>
    <w:p>
      <w:pPr>
        <w:pStyle w:val="TOC8"/>
        <w:rPr>
          <w:sz w:val="24"/>
          <w:szCs w:val="24"/>
        </w:rPr>
      </w:pPr>
      <w:r>
        <w:rPr>
          <w:szCs w:val="24"/>
        </w:rPr>
        <w:t>31BO.</w:t>
      </w:r>
      <w:r>
        <w:rPr>
          <w:szCs w:val="24"/>
        </w:rPr>
        <w:tab/>
        <w:t>Entries in mines record book</w:t>
      </w:r>
      <w:r>
        <w:tab/>
      </w:r>
      <w:r>
        <w:fldChar w:fldCharType="begin"/>
      </w:r>
      <w:r>
        <w:instrText xml:space="preserve"> PAGEREF _Toc192041123 \h </w:instrText>
      </w:r>
      <w:r>
        <w:fldChar w:fldCharType="separate"/>
      </w:r>
      <w:r>
        <w:t>78</w:t>
      </w:r>
      <w:r>
        <w:fldChar w:fldCharType="end"/>
      </w:r>
    </w:p>
    <w:p>
      <w:pPr>
        <w:pStyle w:val="TOC2"/>
        <w:tabs>
          <w:tab w:val="right" w:leader="dot" w:pos="7086"/>
        </w:tabs>
        <w:rPr>
          <w:b w:val="0"/>
          <w:sz w:val="24"/>
          <w:szCs w:val="24"/>
        </w:rPr>
      </w:pPr>
      <w:r>
        <w:rPr>
          <w:szCs w:val="30"/>
        </w:rPr>
        <w:t>Part 4 — Management of mines</w:t>
      </w:r>
    </w:p>
    <w:p>
      <w:pPr>
        <w:pStyle w:val="TOC4"/>
        <w:tabs>
          <w:tab w:val="right" w:leader="dot" w:pos="7086"/>
        </w:tabs>
        <w:rPr>
          <w:b w:val="0"/>
          <w:sz w:val="24"/>
          <w:szCs w:val="24"/>
        </w:rPr>
      </w:pPr>
      <w:r>
        <w:rPr>
          <w:szCs w:val="26"/>
        </w:rPr>
        <w:t>Division 1</w:t>
      </w:r>
      <w:r>
        <w:rPr>
          <w:snapToGrid w:val="0"/>
          <w:szCs w:val="26"/>
        </w:rPr>
        <w:t> — </w:t>
      </w:r>
      <w:r>
        <w:rPr>
          <w:szCs w:val="26"/>
        </w:rPr>
        <w:t>Duties of employers and managers</w:t>
      </w:r>
    </w:p>
    <w:p>
      <w:pPr>
        <w:pStyle w:val="TOC8"/>
        <w:rPr>
          <w:sz w:val="24"/>
          <w:szCs w:val="24"/>
        </w:rPr>
      </w:pPr>
      <w:r>
        <w:rPr>
          <w:szCs w:val="24"/>
        </w:rPr>
        <w:t>32</w:t>
      </w:r>
      <w:r>
        <w:rPr>
          <w:snapToGrid w:val="0"/>
          <w:szCs w:val="24"/>
        </w:rPr>
        <w:t>.</w:t>
      </w:r>
      <w:r>
        <w:rPr>
          <w:snapToGrid w:val="0"/>
          <w:szCs w:val="24"/>
        </w:rPr>
        <w:tab/>
        <w:t>Principal employer</w:t>
      </w:r>
      <w:r>
        <w:tab/>
      </w:r>
      <w:r>
        <w:fldChar w:fldCharType="begin"/>
      </w:r>
      <w:r>
        <w:instrText xml:space="preserve"> PAGEREF _Toc192041126 \h </w:instrText>
      </w:r>
      <w:r>
        <w:fldChar w:fldCharType="separate"/>
      </w:r>
      <w:r>
        <w:t>79</w:t>
      </w:r>
      <w:r>
        <w:fldChar w:fldCharType="end"/>
      </w:r>
    </w:p>
    <w:p>
      <w:pPr>
        <w:pStyle w:val="TOC8"/>
        <w:rPr>
          <w:sz w:val="24"/>
          <w:szCs w:val="24"/>
        </w:rPr>
      </w:pPr>
      <w:r>
        <w:rPr>
          <w:szCs w:val="24"/>
        </w:rPr>
        <w:t>32A.</w:t>
      </w:r>
      <w:r>
        <w:rPr>
          <w:szCs w:val="24"/>
        </w:rPr>
        <w:tab/>
        <w:t>Change of principal employer or of particulars provided</w:t>
      </w:r>
      <w:r>
        <w:tab/>
      </w:r>
      <w:r>
        <w:fldChar w:fldCharType="begin"/>
      </w:r>
      <w:r>
        <w:instrText xml:space="preserve"> PAGEREF _Toc192041127 \h </w:instrText>
      </w:r>
      <w:r>
        <w:fldChar w:fldCharType="separate"/>
      </w:r>
      <w:r>
        <w:t>80</w:t>
      </w:r>
      <w:r>
        <w:fldChar w:fldCharType="end"/>
      </w:r>
    </w:p>
    <w:p>
      <w:pPr>
        <w:pStyle w:val="TOC8"/>
        <w:rPr>
          <w:sz w:val="24"/>
          <w:szCs w:val="24"/>
        </w:rPr>
      </w:pPr>
      <w:r>
        <w:rPr>
          <w:szCs w:val="24"/>
        </w:rPr>
        <w:t>33</w:t>
      </w:r>
      <w:r>
        <w:rPr>
          <w:snapToGrid w:val="0"/>
          <w:szCs w:val="24"/>
        </w:rPr>
        <w:t>.</w:t>
      </w:r>
      <w:r>
        <w:rPr>
          <w:snapToGrid w:val="0"/>
          <w:szCs w:val="24"/>
        </w:rPr>
        <w:tab/>
        <w:t>Registered manager</w:t>
      </w:r>
      <w:r>
        <w:tab/>
      </w:r>
      <w:r>
        <w:fldChar w:fldCharType="begin"/>
      </w:r>
      <w:r>
        <w:instrText xml:space="preserve"> PAGEREF _Toc192041128 \h </w:instrText>
      </w:r>
      <w:r>
        <w:fldChar w:fldCharType="separate"/>
      </w:r>
      <w:r>
        <w:t>81</w:t>
      </w:r>
      <w:r>
        <w:fldChar w:fldCharType="end"/>
      </w:r>
    </w:p>
    <w:p>
      <w:pPr>
        <w:pStyle w:val="TOC8"/>
        <w:rPr>
          <w:sz w:val="24"/>
          <w:szCs w:val="24"/>
        </w:rPr>
      </w:pPr>
      <w:r>
        <w:rPr>
          <w:szCs w:val="24"/>
        </w:rPr>
        <w:t>33A.</w:t>
      </w:r>
      <w:r>
        <w:rPr>
          <w:szCs w:val="24"/>
        </w:rPr>
        <w:tab/>
        <w:t>Registered manager may make appointments on behalf of principal employer</w:t>
      </w:r>
      <w:r>
        <w:tab/>
      </w:r>
      <w:r>
        <w:fldChar w:fldCharType="begin"/>
      </w:r>
      <w:r>
        <w:instrText xml:space="preserve"> PAGEREF _Toc192041129 \h </w:instrText>
      </w:r>
      <w:r>
        <w:fldChar w:fldCharType="separate"/>
      </w:r>
      <w:r>
        <w:t>82</w:t>
      </w:r>
      <w:r>
        <w:fldChar w:fldCharType="end"/>
      </w:r>
    </w:p>
    <w:p>
      <w:pPr>
        <w:pStyle w:val="TOC8"/>
        <w:rPr>
          <w:sz w:val="24"/>
          <w:szCs w:val="24"/>
        </w:rPr>
      </w:pPr>
      <w:r>
        <w:rPr>
          <w:szCs w:val="24"/>
        </w:rPr>
        <w:t>34</w:t>
      </w:r>
      <w:r>
        <w:rPr>
          <w:snapToGrid w:val="0"/>
          <w:szCs w:val="24"/>
        </w:rPr>
        <w:t>.</w:t>
      </w:r>
      <w:r>
        <w:rPr>
          <w:snapToGrid w:val="0"/>
          <w:szCs w:val="24"/>
        </w:rPr>
        <w:tab/>
        <w:t>Alternate and deputy registered managers</w:t>
      </w:r>
      <w:r>
        <w:tab/>
      </w:r>
      <w:r>
        <w:fldChar w:fldCharType="begin"/>
      </w:r>
      <w:r>
        <w:instrText xml:space="preserve"> PAGEREF _Toc192041130 \h </w:instrText>
      </w:r>
      <w:r>
        <w:fldChar w:fldCharType="separate"/>
      </w:r>
      <w:r>
        <w:t>83</w:t>
      </w:r>
      <w:r>
        <w:fldChar w:fldCharType="end"/>
      </w:r>
    </w:p>
    <w:p>
      <w:pPr>
        <w:pStyle w:val="TOC8"/>
        <w:rPr>
          <w:sz w:val="24"/>
          <w:szCs w:val="24"/>
        </w:rPr>
      </w:pPr>
      <w:r>
        <w:rPr>
          <w:szCs w:val="24"/>
        </w:rPr>
        <w:t>35</w:t>
      </w:r>
      <w:r>
        <w:rPr>
          <w:snapToGrid w:val="0"/>
          <w:szCs w:val="24"/>
        </w:rPr>
        <w:t>.</w:t>
      </w:r>
      <w:r>
        <w:rPr>
          <w:snapToGrid w:val="0"/>
          <w:szCs w:val="24"/>
        </w:rPr>
        <w:tab/>
        <w:t>Certificated underground manager</w:t>
      </w:r>
      <w:r>
        <w:tab/>
      </w:r>
      <w:r>
        <w:fldChar w:fldCharType="begin"/>
      </w:r>
      <w:r>
        <w:instrText xml:space="preserve"> PAGEREF _Toc192041131 \h </w:instrText>
      </w:r>
      <w:r>
        <w:fldChar w:fldCharType="separate"/>
      </w:r>
      <w:r>
        <w:t>84</w:t>
      </w:r>
      <w:r>
        <w:fldChar w:fldCharType="end"/>
      </w:r>
    </w:p>
    <w:p>
      <w:pPr>
        <w:pStyle w:val="TOC8"/>
        <w:rPr>
          <w:sz w:val="24"/>
          <w:szCs w:val="24"/>
        </w:rPr>
      </w:pPr>
      <w:r>
        <w:rPr>
          <w:szCs w:val="24"/>
        </w:rPr>
        <w:t>36</w:t>
      </w:r>
      <w:r>
        <w:rPr>
          <w:snapToGrid w:val="0"/>
          <w:szCs w:val="24"/>
        </w:rPr>
        <w:t>.</w:t>
      </w:r>
      <w:r>
        <w:rPr>
          <w:snapToGrid w:val="0"/>
          <w:szCs w:val="24"/>
        </w:rPr>
        <w:tab/>
        <w:t>Alternate and deputy underground managers</w:t>
      </w:r>
      <w:r>
        <w:tab/>
      </w:r>
      <w:r>
        <w:fldChar w:fldCharType="begin"/>
      </w:r>
      <w:r>
        <w:instrText xml:space="preserve"> PAGEREF _Toc192041132 \h </w:instrText>
      </w:r>
      <w:r>
        <w:fldChar w:fldCharType="separate"/>
      </w:r>
      <w:r>
        <w:t>86</w:t>
      </w:r>
      <w:r>
        <w:fldChar w:fldCharType="end"/>
      </w:r>
    </w:p>
    <w:p>
      <w:pPr>
        <w:pStyle w:val="TOC8"/>
        <w:rPr>
          <w:sz w:val="24"/>
          <w:szCs w:val="24"/>
        </w:rPr>
      </w:pPr>
      <w:r>
        <w:rPr>
          <w:szCs w:val="24"/>
        </w:rPr>
        <w:t>37</w:t>
      </w:r>
      <w:r>
        <w:rPr>
          <w:snapToGrid w:val="0"/>
          <w:szCs w:val="24"/>
        </w:rPr>
        <w:t>.</w:t>
      </w:r>
      <w:r>
        <w:rPr>
          <w:snapToGrid w:val="0"/>
          <w:szCs w:val="24"/>
        </w:rPr>
        <w:tab/>
        <w:t>Certificated quarry manager</w:t>
      </w:r>
      <w:r>
        <w:tab/>
      </w:r>
      <w:r>
        <w:fldChar w:fldCharType="begin"/>
      </w:r>
      <w:r>
        <w:instrText xml:space="preserve"> PAGEREF _Toc192041133 \h </w:instrText>
      </w:r>
      <w:r>
        <w:fldChar w:fldCharType="separate"/>
      </w:r>
      <w:r>
        <w:t>87</w:t>
      </w:r>
      <w:r>
        <w:fldChar w:fldCharType="end"/>
      </w:r>
    </w:p>
    <w:p>
      <w:pPr>
        <w:pStyle w:val="TOC8"/>
        <w:rPr>
          <w:sz w:val="24"/>
          <w:szCs w:val="24"/>
        </w:rPr>
      </w:pPr>
      <w:r>
        <w:rPr>
          <w:szCs w:val="24"/>
        </w:rPr>
        <w:t>38</w:t>
      </w:r>
      <w:r>
        <w:rPr>
          <w:snapToGrid w:val="0"/>
          <w:szCs w:val="24"/>
        </w:rPr>
        <w:t>.</w:t>
      </w:r>
      <w:r>
        <w:rPr>
          <w:snapToGrid w:val="0"/>
          <w:szCs w:val="24"/>
        </w:rPr>
        <w:tab/>
        <w:t>Alternate and deputy quarry managers</w:t>
      </w:r>
      <w:r>
        <w:tab/>
      </w:r>
      <w:r>
        <w:fldChar w:fldCharType="begin"/>
      </w:r>
      <w:r>
        <w:instrText xml:space="preserve"> PAGEREF _Toc192041134 \h </w:instrText>
      </w:r>
      <w:r>
        <w:fldChar w:fldCharType="separate"/>
      </w:r>
      <w:r>
        <w:t>89</w:t>
      </w:r>
      <w:r>
        <w:fldChar w:fldCharType="end"/>
      </w:r>
    </w:p>
    <w:p>
      <w:pPr>
        <w:pStyle w:val="TOC8"/>
        <w:rPr>
          <w:sz w:val="24"/>
          <w:szCs w:val="24"/>
        </w:rPr>
      </w:pPr>
      <w:r>
        <w:rPr>
          <w:szCs w:val="24"/>
        </w:rPr>
        <w:t>38A.</w:t>
      </w:r>
      <w:r>
        <w:rPr>
          <w:szCs w:val="24"/>
        </w:rPr>
        <w:tab/>
        <w:t>Periods of duty and related matters to be shown in record book</w:t>
      </w:r>
      <w:r>
        <w:tab/>
      </w:r>
      <w:r>
        <w:fldChar w:fldCharType="begin"/>
      </w:r>
      <w:r>
        <w:instrText xml:space="preserve"> PAGEREF _Toc192041135 \h </w:instrText>
      </w:r>
      <w:r>
        <w:fldChar w:fldCharType="separate"/>
      </w:r>
      <w:r>
        <w:t>90</w:t>
      </w:r>
      <w:r>
        <w:fldChar w:fldCharType="end"/>
      </w:r>
    </w:p>
    <w:p>
      <w:pPr>
        <w:pStyle w:val="TOC8"/>
        <w:rPr>
          <w:sz w:val="24"/>
          <w:szCs w:val="24"/>
        </w:rPr>
      </w:pPr>
      <w:r>
        <w:rPr>
          <w:szCs w:val="24"/>
        </w:rPr>
        <w:t>39</w:t>
      </w:r>
      <w:r>
        <w:rPr>
          <w:snapToGrid w:val="0"/>
          <w:szCs w:val="24"/>
        </w:rPr>
        <w:t>.</w:t>
      </w:r>
      <w:r>
        <w:rPr>
          <w:snapToGrid w:val="0"/>
          <w:szCs w:val="24"/>
        </w:rPr>
        <w:tab/>
        <w:t>Requirement for appointment of more than one certificated manager</w:t>
      </w:r>
      <w:r>
        <w:tab/>
      </w:r>
      <w:r>
        <w:fldChar w:fldCharType="begin"/>
      </w:r>
      <w:r>
        <w:instrText xml:space="preserve"> PAGEREF _Toc192041136 \h </w:instrText>
      </w:r>
      <w:r>
        <w:fldChar w:fldCharType="separate"/>
      </w:r>
      <w:r>
        <w:t>92</w:t>
      </w:r>
      <w:r>
        <w:fldChar w:fldCharType="end"/>
      </w:r>
    </w:p>
    <w:p>
      <w:pPr>
        <w:pStyle w:val="TOC8"/>
        <w:rPr>
          <w:sz w:val="24"/>
          <w:szCs w:val="24"/>
        </w:rPr>
      </w:pPr>
      <w:r>
        <w:rPr>
          <w:szCs w:val="24"/>
        </w:rPr>
        <w:t>40</w:t>
      </w:r>
      <w:r>
        <w:rPr>
          <w:snapToGrid w:val="0"/>
          <w:szCs w:val="24"/>
        </w:rPr>
        <w:t>.</w:t>
      </w:r>
      <w:r>
        <w:rPr>
          <w:snapToGrid w:val="0"/>
          <w:szCs w:val="24"/>
        </w:rPr>
        <w:tab/>
        <w:t>Managers to notify assumption of control</w:t>
      </w:r>
      <w:r>
        <w:tab/>
      </w:r>
      <w:r>
        <w:fldChar w:fldCharType="begin"/>
      </w:r>
      <w:r>
        <w:instrText xml:space="preserve"> PAGEREF _Toc192041137 \h </w:instrText>
      </w:r>
      <w:r>
        <w:fldChar w:fldCharType="separate"/>
      </w:r>
      <w:r>
        <w:t>92</w:t>
      </w:r>
      <w:r>
        <w:fldChar w:fldCharType="end"/>
      </w:r>
    </w:p>
    <w:p>
      <w:pPr>
        <w:pStyle w:val="TOC8"/>
        <w:rPr>
          <w:sz w:val="24"/>
          <w:szCs w:val="24"/>
        </w:rPr>
      </w:pPr>
      <w:r>
        <w:rPr>
          <w:szCs w:val="24"/>
        </w:rPr>
        <w:t>41</w:t>
      </w:r>
      <w:r>
        <w:rPr>
          <w:snapToGrid w:val="0"/>
          <w:szCs w:val="24"/>
        </w:rPr>
        <w:t>.</w:t>
      </w:r>
      <w:r>
        <w:rPr>
          <w:snapToGrid w:val="0"/>
          <w:szCs w:val="24"/>
        </w:rPr>
        <w:tab/>
        <w:t>Offence to work mine without appointed managers</w:t>
      </w:r>
      <w:r>
        <w:tab/>
      </w:r>
      <w:r>
        <w:fldChar w:fldCharType="begin"/>
      </w:r>
      <w:r>
        <w:instrText xml:space="preserve"> PAGEREF _Toc192041138 \h </w:instrText>
      </w:r>
      <w:r>
        <w:fldChar w:fldCharType="separate"/>
      </w:r>
      <w:r>
        <w:t>93</w:t>
      </w:r>
      <w:r>
        <w:fldChar w:fldCharType="end"/>
      </w:r>
    </w:p>
    <w:p>
      <w:pPr>
        <w:pStyle w:val="TOC8"/>
        <w:rPr>
          <w:sz w:val="24"/>
          <w:szCs w:val="24"/>
        </w:rPr>
      </w:pPr>
      <w:r>
        <w:rPr>
          <w:szCs w:val="24"/>
        </w:rPr>
        <w:t>42</w:t>
      </w:r>
      <w:r>
        <w:rPr>
          <w:snapToGrid w:val="0"/>
          <w:szCs w:val="24"/>
        </w:rPr>
        <w:t>.</w:t>
      </w:r>
      <w:r>
        <w:rPr>
          <w:snapToGrid w:val="0"/>
          <w:szCs w:val="24"/>
        </w:rPr>
        <w:tab/>
        <w:t>Commencement or suspension of mining</w:t>
      </w:r>
      <w:r>
        <w:tab/>
      </w:r>
      <w:r>
        <w:fldChar w:fldCharType="begin"/>
      </w:r>
      <w:r>
        <w:instrText xml:space="preserve"> PAGEREF _Toc192041139 \h </w:instrText>
      </w:r>
      <w:r>
        <w:fldChar w:fldCharType="separate"/>
      </w:r>
      <w:r>
        <w:t>94</w:t>
      </w:r>
      <w:r>
        <w:fldChar w:fldCharType="end"/>
      </w:r>
    </w:p>
    <w:p>
      <w:pPr>
        <w:pStyle w:val="TOC8"/>
        <w:rPr>
          <w:sz w:val="24"/>
          <w:szCs w:val="24"/>
        </w:rPr>
      </w:pPr>
      <w:r>
        <w:rPr>
          <w:szCs w:val="24"/>
        </w:rPr>
        <w:t>43</w:t>
      </w:r>
      <w:r>
        <w:rPr>
          <w:snapToGrid w:val="0"/>
          <w:szCs w:val="24"/>
        </w:rPr>
        <w:t>.</w:t>
      </w:r>
      <w:r>
        <w:rPr>
          <w:snapToGrid w:val="0"/>
          <w:szCs w:val="24"/>
        </w:rPr>
        <w:tab/>
        <w:t>Duties and responsibilities of manager</w:t>
      </w:r>
      <w:r>
        <w:tab/>
      </w:r>
      <w:r>
        <w:fldChar w:fldCharType="begin"/>
      </w:r>
      <w:r>
        <w:instrText xml:space="preserve"> PAGEREF _Toc192041140 \h </w:instrText>
      </w:r>
      <w:r>
        <w:fldChar w:fldCharType="separate"/>
      </w:r>
      <w:r>
        <w:t>94</w:t>
      </w:r>
      <w:r>
        <w:fldChar w:fldCharType="end"/>
      </w:r>
    </w:p>
    <w:p>
      <w:pPr>
        <w:pStyle w:val="TOC8"/>
        <w:rPr>
          <w:sz w:val="24"/>
          <w:szCs w:val="24"/>
        </w:rPr>
      </w:pPr>
      <w:r>
        <w:rPr>
          <w:szCs w:val="24"/>
        </w:rPr>
        <w:t>43A.</w:t>
      </w:r>
      <w:r>
        <w:rPr>
          <w:szCs w:val="24"/>
        </w:rPr>
        <w:tab/>
        <w:t>Duties and responsibilities of underground manager or quarry manager</w:t>
      </w:r>
      <w:r>
        <w:tab/>
      </w:r>
      <w:r>
        <w:fldChar w:fldCharType="begin"/>
      </w:r>
      <w:r>
        <w:instrText xml:space="preserve"> PAGEREF _Toc192041141 \h </w:instrText>
      </w:r>
      <w:r>
        <w:fldChar w:fldCharType="separate"/>
      </w:r>
      <w:r>
        <w:t>95</w:t>
      </w:r>
      <w:r>
        <w:fldChar w:fldCharType="end"/>
      </w:r>
    </w:p>
    <w:p>
      <w:pPr>
        <w:pStyle w:val="TOC8"/>
        <w:rPr>
          <w:sz w:val="24"/>
          <w:szCs w:val="24"/>
        </w:rPr>
      </w:pPr>
      <w:r>
        <w:rPr>
          <w:szCs w:val="24"/>
        </w:rPr>
        <w:t>44</w:t>
      </w:r>
      <w:r>
        <w:rPr>
          <w:snapToGrid w:val="0"/>
          <w:szCs w:val="24"/>
        </w:rPr>
        <w:t>.</w:t>
      </w:r>
      <w:r>
        <w:rPr>
          <w:snapToGrid w:val="0"/>
          <w:szCs w:val="24"/>
        </w:rPr>
        <w:tab/>
        <w:t>Management appointments</w:t>
      </w:r>
      <w:r>
        <w:tab/>
      </w:r>
      <w:r>
        <w:fldChar w:fldCharType="begin"/>
      </w:r>
      <w:r>
        <w:instrText xml:space="preserve"> PAGEREF _Toc192041142 \h </w:instrText>
      </w:r>
      <w:r>
        <w:fldChar w:fldCharType="separate"/>
      </w:r>
      <w:r>
        <w:t>96</w:t>
      </w:r>
      <w:r>
        <w:fldChar w:fldCharType="end"/>
      </w:r>
    </w:p>
    <w:p>
      <w:pPr>
        <w:pStyle w:val="TOC8"/>
        <w:rPr>
          <w:sz w:val="24"/>
          <w:szCs w:val="24"/>
        </w:rPr>
      </w:pPr>
      <w:r>
        <w:rPr>
          <w:szCs w:val="24"/>
        </w:rPr>
        <w:t>45</w:t>
      </w:r>
      <w:r>
        <w:rPr>
          <w:snapToGrid w:val="0"/>
          <w:szCs w:val="24"/>
        </w:rPr>
        <w:t>.</w:t>
      </w:r>
      <w:r>
        <w:rPr>
          <w:snapToGrid w:val="0"/>
          <w:szCs w:val="24"/>
        </w:rPr>
        <w:tab/>
        <w:t>Provision of engineering report</w:t>
      </w:r>
      <w:r>
        <w:tab/>
      </w:r>
      <w:r>
        <w:fldChar w:fldCharType="begin"/>
      </w:r>
      <w:r>
        <w:instrText xml:space="preserve"> PAGEREF _Toc192041143 \h </w:instrText>
      </w:r>
      <w:r>
        <w:fldChar w:fldCharType="separate"/>
      </w:r>
      <w:r>
        <w:t>97</w:t>
      </w:r>
      <w:r>
        <w:fldChar w:fldCharType="end"/>
      </w:r>
    </w:p>
    <w:p>
      <w:pPr>
        <w:pStyle w:val="TOC8"/>
        <w:rPr>
          <w:sz w:val="24"/>
          <w:szCs w:val="24"/>
        </w:rPr>
      </w:pPr>
      <w:r>
        <w:rPr>
          <w:szCs w:val="24"/>
        </w:rPr>
        <w:t>46</w:t>
      </w:r>
      <w:r>
        <w:rPr>
          <w:snapToGrid w:val="0"/>
          <w:szCs w:val="24"/>
        </w:rPr>
        <w:t>.</w:t>
      </w:r>
      <w:r>
        <w:rPr>
          <w:snapToGrid w:val="0"/>
          <w:szCs w:val="24"/>
        </w:rPr>
        <w:tab/>
        <w:t>Principal employer’s instructions to manager</w:t>
      </w:r>
      <w:r>
        <w:tab/>
      </w:r>
      <w:r>
        <w:fldChar w:fldCharType="begin"/>
      </w:r>
      <w:r>
        <w:instrText xml:space="preserve"> PAGEREF _Toc192041144 \h </w:instrText>
      </w:r>
      <w:r>
        <w:fldChar w:fldCharType="separate"/>
      </w:r>
      <w:r>
        <w:t>98</w:t>
      </w:r>
      <w:r>
        <w:fldChar w:fldCharType="end"/>
      </w:r>
    </w:p>
    <w:p>
      <w:pPr>
        <w:pStyle w:val="TOC8"/>
        <w:rPr>
          <w:sz w:val="24"/>
          <w:szCs w:val="24"/>
        </w:rPr>
      </w:pPr>
      <w:r>
        <w:rPr>
          <w:szCs w:val="24"/>
        </w:rPr>
        <w:t>47</w:t>
      </w:r>
      <w:r>
        <w:rPr>
          <w:snapToGrid w:val="0"/>
          <w:szCs w:val="24"/>
        </w:rPr>
        <w:t>.</w:t>
      </w:r>
      <w:r>
        <w:rPr>
          <w:snapToGrid w:val="0"/>
          <w:szCs w:val="24"/>
        </w:rPr>
        <w:tab/>
        <w:t>Management of exploration operations</w:t>
      </w:r>
      <w:r>
        <w:tab/>
      </w:r>
      <w:r>
        <w:fldChar w:fldCharType="begin"/>
      </w:r>
      <w:r>
        <w:instrText xml:space="preserve"> PAGEREF _Toc192041145 \h </w:instrText>
      </w:r>
      <w:r>
        <w:fldChar w:fldCharType="separate"/>
      </w:r>
      <w:r>
        <w:t>98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Certificates of competency</w:t>
      </w:r>
    </w:p>
    <w:p>
      <w:pPr>
        <w:pStyle w:val="TOC8"/>
        <w:rPr>
          <w:sz w:val="24"/>
          <w:szCs w:val="24"/>
        </w:rPr>
      </w:pPr>
      <w:r>
        <w:rPr>
          <w:szCs w:val="24"/>
        </w:rPr>
        <w:t>48</w:t>
      </w:r>
      <w:r>
        <w:rPr>
          <w:snapToGrid w:val="0"/>
          <w:szCs w:val="24"/>
        </w:rPr>
        <w:t>.</w:t>
      </w:r>
      <w:r>
        <w:rPr>
          <w:snapToGrid w:val="0"/>
          <w:szCs w:val="24"/>
        </w:rPr>
        <w:tab/>
        <w:t>Board of Examiners</w:t>
      </w:r>
      <w:r>
        <w:tab/>
      </w:r>
      <w:r>
        <w:fldChar w:fldCharType="begin"/>
      </w:r>
      <w:r>
        <w:instrText xml:space="preserve"> PAGEREF _Toc192041147 \h </w:instrText>
      </w:r>
      <w:r>
        <w:fldChar w:fldCharType="separate"/>
      </w:r>
      <w:r>
        <w:t>100</w:t>
      </w:r>
      <w:r>
        <w:fldChar w:fldCharType="end"/>
      </w:r>
    </w:p>
    <w:p>
      <w:pPr>
        <w:pStyle w:val="TOC8"/>
        <w:rPr>
          <w:sz w:val="24"/>
          <w:szCs w:val="24"/>
        </w:rPr>
      </w:pPr>
      <w:r>
        <w:rPr>
          <w:szCs w:val="24"/>
        </w:rPr>
        <w:t>49</w:t>
      </w:r>
      <w:r>
        <w:rPr>
          <w:snapToGrid w:val="0"/>
          <w:szCs w:val="24"/>
        </w:rPr>
        <w:t>.</w:t>
      </w:r>
      <w:r>
        <w:rPr>
          <w:snapToGrid w:val="0"/>
          <w:szCs w:val="24"/>
        </w:rPr>
        <w:tab/>
        <w:t>Complaint to Board of Examiners</w:t>
      </w:r>
      <w:r>
        <w:tab/>
      </w:r>
      <w:r>
        <w:fldChar w:fldCharType="begin"/>
      </w:r>
      <w:r>
        <w:instrText xml:space="preserve"> PAGEREF _Toc192041148 \h </w:instrText>
      </w:r>
      <w:r>
        <w:fldChar w:fldCharType="separate"/>
      </w:r>
      <w:r>
        <w:t>101</w:t>
      </w:r>
      <w:r>
        <w:fldChar w:fldCharType="end"/>
      </w:r>
    </w:p>
    <w:p>
      <w:pPr>
        <w:pStyle w:val="TOC8"/>
        <w:rPr>
          <w:sz w:val="24"/>
          <w:szCs w:val="24"/>
        </w:rPr>
      </w:pPr>
      <w:r>
        <w:rPr>
          <w:szCs w:val="24"/>
        </w:rPr>
        <w:t>50</w:t>
      </w:r>
      <w:r>
        <w:rPr>
          <w:snapToGrid w:val="0"/>
          <w:szCs w:val="24"/>
        </w:rPr>
        <w:t>.</w:t>
      </w:r>
      <w:r>
        <w:rPr>
          <w:snapToGrid w:val="0"/>
          <w:szCs w:val="24"/>
        </w:rPr>
        <w:tab/>
        <w:t>Inquiry by Board of Examiners</w:t>
      </w:r>
      <w:r>
        <w:tab/>
      </w:r>
      <w:r>
        <w:fldChar w:fldCharType="begin"/>
      </w:r>
      <w:r>
        <w:instrText xml:space="preserve"> PAGEREF _Toc192041149 \h </w:instrText>
      </w:r>
      <w:r>
        <w:fldChar w:fldCharType="separate"/>
      </w:r>
      <w:r>
        <w:t>101</w:t>
      </w:r>
      <w:r>
        <w:fldChar w:fldCharType="end"/>
      </w:r>
    </w:p>
    <w:p>
      <w:pPr>
        <w:pStyle w:val="TOC8"/>
        <w:rPr>
          <w:sz w:val="24"/>
          <w:szCs w:val="24"/>
        </w:rPr>
      </w:pPr>
      <w:r>
        <w:rPr>
          <w:szCs w:val="24"/>
        </w:rPr>
        <w:t>51</w:t>
      </w:r>
      <w:r>
        <w:rPr>
          <w:snapToGrid w:val="0"/>
          <w:szCs w:val="24"/>
        </w:rPr>
        <w:t>.</w:t>
      </w:r>
      <w:r>
        <w:rPr>
          <w:snapToGrid w:val="0"/>
          <w:szCs w:val="24"/>
        </w:rPr>
        <w:tab/>
        <w:t>Disciplinary action following inquiry</w:t>
      </w:r>
      <w:r>
        <w:tab/>
      </w:r>
      <w:r>
        <w:fldChar w:fldCharType="begin"/>
      </w:r>
      <w:r>
        <w:instrText xml:space="preserve"> PAGEREF _Toc192041150 \h </w:instrText>
      </w:r>
      <w:r>
        <w:fldChar w:fldCharType="separate"/>
      </w:r>
      <w:r>
        <w:t>102</w:t>
      </w:r>
      <w:r>
        <w:fldChar w:fldCharType="end"/>
      </w:r>
    </w:p>
    <w:p>
      <w:pPr>
        <w:pStyle w:val="TOC8"/>
        <w:rPr>
          <w:sz w:val="24"/>
          <w:szCs w:val="24"/>
        </w:rPr>
      </w:pPr>
      <w:r>
        <w:rPr>
          <w:szCs w:val="24"/>
        </w:rPr>
        <w:t>52</w:t>
      </w:r>
      <w:r>
        <w:rPr>
          <w:snapToGrid w:val="0"/>
          <w:szCs w:val="24"/>
        </w:rPr>
        <w:t>.</w:t>
      </w:r>
      <w:r>
        <w:rPr>
          <w:snapToGrid w:val="0"/>
          <w:szCs w:val="24"/>
        </w:rPr>
        <w:tab/>
        <w:t>Appeal to</w:t>
      </w:r>
      <w:r>
        <w:rPr>
          <w:szCs w:val="24"/>
        </w:rPr>
        <w:t xml:space="preserve"> Tribunal</w:t>
      </w:r>
      <w:r>
        <w:tab/>
      </w:r>
      <w:r>
        <w:fldChar w:fldCharType="begin"/>
      </w:r>
      <w:r>
        <w:instrText xml:space="preserve"> PAGEREF _Toc192041151 \h </w:instrText>
      </w:r>
      <w:r>
        <w:fldChar w:fldCharType="separate"/>
      </w:r>
      <w:r>
        <w:t>102</w:t>
      </w:r>
      <w:r>
        <w:fldChar w:fldCharType="end"/>
      </w:r>
    </w:p>
    <w:p>
      <w:pPr>
        <w:pStyle w:val="TOC2"/>
        <w:tabs>
          <w:tab w:val="right" w:leader="dot" w:pos="7086"/>
        </w:tabs>
        <w:rPr>
          <w:b w:val="0"/>
          <w:sz w:val="24"/>
          <w:szCs w:val="24"/>
        </w:rPr>
      </w:pPr>
      <w:r>
        <w:rPr>
          <w:szCs w:val="30"/>
        </w:rPr>
        <w:t>Part 5 — Safety and health representatives and committees</w:t>
      </w:r>
    </w:p>
    <w:p>
      <w:pPr>
        <w:pStyle w:val="TOC4"/>
        <w:tabs>
          <w:tab w:val="right" w:leader="dot" w:pos="7086"/>
        </w:tabs>
        <w:rPr>
          <w:b w:val="0"/>
          <w:sz w:val="24"/>
          <w:szCs w:val="24"/>
        </w:rPr>
      </w:pPr>
      <w:r>
        <w:rPr>
          <w:szCs w:val="26"/>
        </w:rPr>
        <w:t>Division 1</w:t>
      </w:r>
      <w:r>
        <w:rPr>
          <w:snapToGrid w:val="0"/>
          <w:szCs w:val="26"/>
        </w:rPr>
        <w:t> — </w:t>
      </w:r>
      <w:r>
        <w:rPr>
          <w:szCs w:val="26"/>
        </w:rPr>
        <w:t>Safety and health representatives</w:t>
      </w:r>
    </w:p>
    <w:p>
      <w:pPr>
        <w:pStyle w:val="TOC8"/>
        <w:rPr>
          <w:sz w:val="24"/>
          <w:szCs w:val="24"/>
        </w:rPr>
      </w:pPr>
      <w:r>
        <w:rPr>
          <w:szCs w:val="24"/>
        </w:rPr>
        <w:t>53</w:t>
      </w:r>
      <w:r>
        <w:rPr>
          <w:snapToGrid w:val="0"/>
          <w:szCs w:val="24"/>
        </w:rPr>
        <w:t>.</w:t>
      </w:r>
      <w:r>
        <w:rPr>
          <w:snapToGrid w:val="0"/>
          <w:szCs w:val="24"/>
        </w:rPr>
        <w:tab/>
        <w:t>Functions of safety and health representatives</w:t>
      </w:r>
      <w:r>
        <w:tab/>
      </w:r>
      <w:r>
        <w:fldChar w:fldCharType="begin"/>
      </w:r>
      <w:r>
        <w:instrText xml:space="preserve"> PAGEREF _Toc192041154 \h </w:instrText>
      </w:r>
      <w:r>
        <w:fldChar w:fldCharType="separate"/>
      </w:r>
      <w:r>
        <w:t>104</w:t>
      </w:r>
      <w:r>
        <w:fldChar w:fldCharType="end"/>
      </w:r>
    </w:p>
    <w:p>
      <w:pPr>
        <w:pStyle w:val="TOC8"/>
        <w:rPr>
          <w:sz w:val="24"/>
          <w:szCs w:val="24"/>
        </w:rPr>
      </w:pPr>
      <w:r>
        <w:rPr>
          <w:szCs w:val="24"/>
        </w:rPr>
        <w:t>54</w:t>
      </w:r>
      <w:r>
        <w:rPr>
          <w:snapToGrid w:val="0"/>
          <w:szCs w:val="24"/>
        </w:rPr>
        <w:t>.</w:t>
      </w:r>
      <w:r>
        <w:rPr>
          <w:snapToGrid w:val="0"/>
          <w:szCs w:val="24"/>
        </w:rPr>
        <w:tab/>
        <w:t>Notice requiring election of safety and health representatives</w:t>
      </w:r>
      <w:r>
        <w:tab/>
      </w:r>
      <w:r>
        <w:fldChar w:fldCharType="begin"/>
      </w:r>
      <w:r>
        <w:instrText xml:space="preserve"> PAGEREF _Toc192041155 \h </w:instrText>
      </w:r>
      <w:r>
        <w:fldChar w:fldCharType="separate"/>
      </w:r>
      <w:r>
        <w:t>106</w:t>
      </w:r>
      <w:r>
        <w:fldChar w:fldCharType="end"/>
      </w:r>
    </w:p>
    <w:p>
      <w:pPr>
        <w:pStyle w:val="TOC8"/>
        <w:rPr>
          <w:sz w:val="24"/>
          <w:szCs w:val="24"/>
        </w:rPr>
      </w:pPr>
      <w:r>
        <w:rPr>
          <w:szCs w:val="24"/>
        </w:rPr>
        <w:t>55</w:t>
      </w:r>
      <w:r>
        <w:rPr>
          <w:snapToGrid w:val="0"/>
          <w:szCs w:val="24"/>
        </w:rPr>
        <w:t>.</w:t>
      </w:r>
      <w:r>
        <w:rPr>
          <w:snapToGrid w:val="0"/>
          <w:szCs w:val="24"/>
        </w:rPr>
        <w:tab/>
        <w:t>Consultation on election matters</w:t>
      </w:r>
      <w:r>
        <w:tab/>
      </w:r>
      <w:r>
        <w:fldChar w:fldCharType="begin"/>
      </w:r>
      <w:r>
        <w:instrText xml:space="preserve"> PAGEREF _Toc192041156 \h </w:instrText>
      </w:r>
      <w:r>
        <w:fldChar w:fldCharType="separate"/>
      </w:r>
      <w:r>
        <w:t>106</w:t>
      </w:r>
      <w:r>
        <w:fldChar w:fldCharType="end"/>
      </w:r>
    </w:p>
    <w:p>
      <w:pPr>
        <w:pStyle w:val="TOC8"/>
        <w:rPr>
          <w:sz w:val="24"/>
          <w:szCs w:val="24"/>
        </w:rPr>
      </w:pPr>
      <w:r>
        <w:rPr>
          <w:szCs w:val="24"/>
        </w:rPr>
        <w:t>55A.</w:t>
      </w:r>
      <w:r>
        <w:rPr>
          <w:szCs w:val="24"/>
        </w:rPr>
        <w:tab/>
        <w:t>Election scheme may be established</w:t>
      </w:r>
      <w:r>
        <w:tab/>
      </w:r>
      <w:r>
        <w:fldChar w:fldCharType="begin"/>
      </w:r>
      <w:r>
        <w:instrText xml:space="preserve"> PAGEREF _Toc192041157 \h </w:instrText>
      </w:r>
      <w:r>
        <w:fldChar w:fldCharType="separate"/>
      </w:r>
      <w:r>
        <w:t>108</w:t>
      </w:r>
      <w:r>
        <w:fldChar w:fldCharType="end"/>
      </w:r>
    </w:p>
    <w:p>
      <w:pPr>
        <w:pStyle w:val="TOC8"/>
        <w:rPr>
          <w:sz w:val="24"/>
          <w:szCs w:val="24"/>
        </w:rPr>
      </w:pPr>
      <w:r>
        <w:rPr>
          <w:szCs w:val="24"/>
        </w:rPr>
        <w:t>55B.</w:t>
      </w:r>
      <w:r>
        <w:rPr>
          <w:szCs w:val="24"/>
        </w:rPr>
        <w:tab/>
        <w:t>What may be included in a scheme</w:t>
      </w:r>
      <w:r>
        <w:tab/>
      </w:r>
      <w:r>
        <w:fldChar w:fldCharType="begin"/>
      </w:r>
      <w:r>
        <w:instrText xml:space="preserve"> PAGEREF _Toc192041158 \h </w:instrText>
      </w:r>
      <w:r>
        <w:fldChar w:fldCharType="separate"/>
      </w:r>
      <w:r>
        <w:t>108</w:t>
      </w:r>
      <w:r>
        <w:fldChar w:fldCharType="end"/>
      </w:r>
    </w:p>
    <w:p>
      <w:pPr>
        <w:pStyle w:val="TOC8"/>
        <w:rPr>
          <w:sz w:val="24"/>
          <w:szCs w:val="24"/>
        </w:rPr>
      </w:pPr>
      <w:r>
        <w:rPr>
          <w:szCs w:val="24"/>
        </w:rPr>
        <w:t>55C.</w:t>
      </w:r>
      <w:r>
        <w:rPr>
          <w:szCs w:val="24"/>
        </w:rPr>
        <w:tab/>
        <w:t>Appointment of further delegates may be required</w:t>
      </w:r>
      <w:r>
        <w:tab/>
      </w:r>
      <w:r>
        <w:fldChar w:fldCharType="begin"/>
      </w:r>
      <w:r>
        <w:instrText xml:space="preserve"> PAGEREF _Toc192041159 \h </w:instrText>
      </w:r>
      <w:r>
        <w:fldChar w:fldCharType="separate"/>
      </w:r>
      <w:r>
        <w:t>109</w:t>
      </w:r>
      <w:r>
        <w:fldChar w:fldCharType="end"/>
      </w:r>
    </w:p>
    <w:p>
      <w:pPr>
        <w:pStyle w:val="TOC8"/>
        <w:rPr>
          <w:sz w:val="24"/>
          <w:szCs w:val="24"/>
        </w:rPr>
      </w:pPr>
      <w:r>
        <w:rPr>
          <w:szCs w:val="24"/>
        </w:rPr>
        <w:t>56</w:t>
      </w:r>
      <w:r>
        <w:rPr>
          <w:snapToGrid w:val="0"/>
          <w:szCs w:val="24"/>
        </w:rPr>
        <w:t>.</w:t>
      </w:r>
      <w:r>
        <w:rPr>
          <w:snapToGrid w:val="0"/>
          <w:szCs w:val="24"/>
        </w:rPr>
        <w:tab/>
        <w:t>Election of safety and health representatives</w:t>
      </w:r>
      <w:r>
        <w:tab/>
      </w:r>
      <w:r>
        <w:fldChar w:fldCharType="begin"/>
      </w:r>
      <w:r>
        <w:instrText xml:space="preserve"> PAGEREF _Toc192041160 \h </w:instrText>
      </w:r>
      <w:r>
        <w:fldChar w:fldCharType="separate"/>
      </w:r>
      <w:r>
        <w:t>110</w:t>
      </w:r>
      <w:r>
        <w:fldChar w:fldCharType="end"/>
      </w:r>
    </w:p>
    <w:p>
      <w:pPr>
        <w:pStyle w:val="TOC8"/>
        <w:rPr>
          <w:sz w:val="24"/>
          <w:szCs w:val="24"/>
        </w:rPr>
      </w:pPr>
      <w:r>
        <w:rPr>
          <w:szCs w:val="24"/>
        </w:rPr>
        <w:t>57</w:t>
      </w:r>
      <w:r>
        <w:rPr>
          <w:snapToGrid w:val="0"/>
          <w:szCs w:val="24"/>
        </w:rPr>
        <w:t>.</w:t>
      </w:r>
      <w:r>
        <w:rPr>
          <w:snapToGrid w:val="0"/>
          <w:szCs w:val="24"/>
        </w:rPr>
        <w:tab/>
        <w:t>Terms of office</w:t>
      </w:r>
      <w:r>
        <w:tab/>
      </w:r>
      <w:r>
        <w:fldChar w:fldCharType="begin"/>
      </w:r>
      <w:r>
        <w:instrText xml:space="preserve"> PAGEREF _Toc192041161 \h </w:instrText>
      </w:r>
      <w:r>
        <w:fldChar w:fldCharType="separate"/>
      </w:r>
      <w:r>
        <w:t>112</w:t>
      </w:r>
      <w:r>
        <w:fldChar w:fldCharType="end"/>
      </w:r>
    </w:p>
    <w:p>
      <w:pPr>
        <w:pStyle w:val="TOC8"/>
        <w:rPr>
          <w:sz w:val="24"/>
          <w:szCs w:val="24"/>
        </w:rPr>
      </w:pPr>
      <w:r>
        <w:rPr>
          <w:szCs w:val="24"/>
        </w:rPr>
        <w:t>58</w:t>
      </w:r>
      <w:r>
        <w:rPr>
          <w:snapToGrid w:val="0"/>
          <w:szCs w:val="24"/>
        </w:rPr>
        <w:t>.</w:t>
      </w:r>
      <w:r>
        <w:rPr>
          <w:snapToGrid w:val="0"/>
          <w:szCs w:val="24"/>
        </w:rPr>
        <w:tab/>
        <w:t>Manager to ensure safety of safety and health representative</w:t>
      </w:r>
      <w:r>
        <w:tab/>
      </w:r>
      <w:r>
        <w:fldChar w:fldCharType="begin"/>
      </w:r>
      <w:r>
        <w:instrText xml:space="preserve"> PAGEREF _Toc192041162 \h </w:instrText>
      </w:r>
      <w:r>
        <w:fldChar w:fldCharType="separate"/>
      </w:r>
      <w:r>
        <w:t>113</w:t>
      </w:r>
      <w:r>
        <w:fldChar w:fldCharType="end"/>
      </w:r>
    </w:p>
    <w:p>
      <w:pPr>
        <w:pStyle w:val="TOC8"/>
        <w:rPr>
          <w:sz w:val="24"/>
          <w:szCs w:val="24"/>
        </w:rPr>
      </w:pPr>
      <w:r>
        <w:rPr>
          <w:szCs w:val="24"/>
        </w:rPr>
        <w:t>59</w:t>
      </w:r>
      <w:r>
        <w:rPr>
          <w:snapToGrid w:val="0"/>
          <w:szCs w:val="24"/>
        </w:rPr>
        <w:t>.</w:t>
      </w:r>
      <w:r>
        <w:rPr>
          <w:snapToGrid w:val="0"/>
          <w:szCs w:val="24"/>
        </w:rPr>
        <w:tab/>
        <w:t>Disqualification of safety and health representative</w:t>
      </w:r>
      <w:r>
        <w:tab/>
      </w:r>
      <w:r>
        <w:fldChar w:fldCharType="begin"/>
      </w:r>
      <w:r>
        <w:instrText xml:space="preserve"> PAGEREF _Toc192041163 \h </w:instrText>
      </w:r>
      <w:r>
        <w:fldChar w:fldCharType="separate"/>
      </w:r>
      <w:r>
        <w:t>113</w:t>
      </w:r>
      <w:r>
        <w:fldChar w:fldCharType="end"/>
      </w:r>
    </w:p>
    <w:p>
      <w:pPr>
        <w:pStyle w:val="TOC8"/>
        <w:rPr>
          <w:sz w:val="24"/>
          <w:szCs w:val="24"/>
        </w:rPr>
      </w:pPr>
      <w:r>
        <w:rPr>
          <w:szCs w:val="24"/>
        </w:rPr>
        <w:t>60</w:t>
      </w:r>
      <w:r>
        <w:rPr>
          <w:snapToGrid w:val="0"/>
          <w:szCs w:val="24"/>
        </w:rPr>
        <w:t>.</w:t>
      </w:r>
      <w:r>
        <w:rPr>
          <w:snapToGrid w:val="0"/>
          <w:szCs w:val="24"/>
        </w:rPr>
        <w:tab/>
        <w:t>Duties of employers and manager regarding safety and health representatives</w:t>
      </w:r>
      <w:r>
        <w:tab/>
      </w:r>
      <w:r>
        <w:fldChar w:fldCharType="begin"/>
      </w:r>
      <w:r>
        <w:instrText xml:space="preserve"> PAGEREF _Toc192041164 \h </w:instrText>
      </w:r>
      <w:r>
        <w:fldChar w:fldCharType="separate"/>
      </w:r>
      <w:r>
        <w:t>115</w:t>
      </w:r>
      <w:r>
        <w:fldChar w:fldCharType="end"/>
      </w:r>
    </w:p>
    <w:p>
      <w:pPr>
        <w:pStyle w:val="TOC8"/>
        <w:rPr>
          <w:sz w:val="24"/>
          <w:szCs w:val="24"/>
        </w:rPr>
      </w:pPr>
      <w:r>
        <w:rPr>
          <w:szCs w:val="24"/>
        </w:rPr>
        <w:t>61</w:t>
      </w:r>
      <w:r>
        <w:rPr>
          <w:snapToGrid w:val="0"/>
          <w:szCs w:val="24"/>
        </w:rPr>
        <w:t>.</w:t>
      </w:r>
      <w:r>
        <w:rPr>
          <w:snapToGrid w:val="0"/>
          <w:szCs w:val="24"/>
        </w:rPr>
        <w:tab/>
        <w:t>Duties of employers regarding safety and health representatives</w:t>
      </w:r>
      <w:r>
        <w:tab/>
      </w:r>
      <w:r>
        <w:fldChar w:fldCharType="begin"/>
      </w:r>
      <w:r>
        <w:instrText xml:space="preserve"> PAGEREF _Toc192041165 \h </w:instrText>
      </w:r>
      <w:r>
        <w:fldChar w:fldCharType="separate"/>
      </w:r>
      <w:r>
        <w:t>117</w:t>
      </w:r>
      <w:r>
        <w:fldChar w:fldCharType="end"/>
      </w:r>
    </w:p>
    <w:p>
      <w:pPr>
        <w:pStyle w:val="TOC8"/>
        <w:rPr>
          <w:sz w:val="24"/>
          <w:szCs w:val="24"/>
        </w:rPr>
      </w:pPr>
      <w:r>
        <w:rPr>
          <w:szCs w:val="24"/>
        </w:rPr>
        <w:t>62</w:t>
      </w:r>
      <w:r>
        <w:rPr>
          <w:snapToGrid w:val="0"/>
          <w:szCs w:val="24"/>
        </w:rPr>
        <w:t>.</w:t>
      </w:r>
      <w:r>
        <w:rPr>
          <w:snapToGrid w:val="0"/>
          <w:szCs w:val="24"/>
        </w:rPr>
        <w:tab/>
        <w:t>Regulations regarding time off work for safety and health representatives</w:t>
      </w:r>
      <w:r>
        <w:tab/>
      </w:r>
      <w:r>
        <w:fldChar w:fldCharType="begin"/>
      </w:r>
      <w:r>
        <w:instrText xml:space="preserve"> PAGEREF _Toc192041166 \h </w:instrText>
      </w:r>
      <w:r>
        <w:fldChar w:fldCharType="separate"/>
      </w:r>
      <w:r>
        <w:t>117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Safety and health committees</w:t>
      </w:r>
    </w:p>
    <w:p>
      <w:pPr>
        <w:pStyle w:val="TOC8"/>
        <w:rPr>
          <w:sz w:val="24"/>
          <w:szCs w:val="24"/>
        </w:rPr>
      </w:pPr>
      <w:r>
        <w:rPr>
          <w:szCs w:val="24"/>
        </w:rPr>
        <w:t>62A.</w:t>
      </w:r>
      <w:r>
        <w:rPr>
          <w:szCs w:val="24"/>
        </w:rPr>
        <w:tab/>
        <w:t>Interpretation</w:t>
      </w:r>
      <w:r>
        <w:tab/>
      </w:r>
      <w:r>
        <w:fldChar w:fldCharType="begin"/>
      </w:r>
      <w:r>
        <w:instrText xml:space="preserve"> PAGEREF _Toc192041168 \h </w:instrText>
      </w:r>
      <w:r>
        <w:fldChar w:fldCharType="separate"/>
      </w:r>
      <w:r>
        <w:t>118</w:t>
      </w:r>
      <w:r>
        <w:fldChar w:fldCharType="end"/>
      </w:r>
    </w:p>
    <w:p>
      <w:pPr>
        <w:pStyle w:val="TOC8"/>
        <w:rPr>
          <w:sz w:val="24"/>
          <w:szCs w:val="24"/>
        </w:rPr>
      </w:pPr>
      <w:r>
        <w:rPr>
          <w:szCs w:val="24"/>
        </w:rPr>
        <w:t>63</w:t>
      </w:r>
      <w:r>
        <w:rPr>
          <w:snapToGrid w:val="0"/>
          <w:szCs w:val="24"/>
        </w:rPr>
        <w:t>.</w:t>
      </w:r>
      <w:r>
        <w:rPr>
          <w:snapToGrid w:val="0"/>
          <w:szCs w:val="24"/>
        </w:rPr>
        <w:tab/>
        <w:t>Functions of safety and health committees</w:t>
      </w:r>
      <w:r>
        <w:tab/>
      </w:r>
      <w:r>
        <w:fldChar w:fldCharType="begin"/>
      </w:r>
      <w:r>
        <w:instrText xml:space="preserve"> PAGEREF _Toc192041169 \h </w:instrText>
      </w:r>
      <w:r>
        <w:fldChar w:fldCharType="separate"/>
      </w:r>
      <w:r>
        <w:t>119</w:t>
      </w:r>
      <w:r>
        <w:fldChar w:fldCharType="end"/>
      </w:r>
    </w:p>
    <w:p>
      <w:pPr>
        <w:pStyle w:val="TOC8"/>
        <w:rPr>
          <w:sz w:val="24"/>
          <w:szCs w:val="24"/>
        </w:rPr>
      </w:pPr>
      <w:r>
        <w:rPr>
          <w:szCs w:val="24"/>
        </w:rPr>
        <w:t>64.</w:t>
      </w:r>
      <w:r>
        <w:rPr>
          <w:szCs w:val="24"/>
        </w:rPr>
        <w:tab/>
        <w:t>Employees to appoint representatives</w:t>
      </w:r>
      <w:r>
        <w:tab/>
      </w:r>
      <w:r>
        <w:fldChar w:fldCharType="begin"/>
      </w:r>
      <w:r>
        <w:instrText xml:space="preserve"> PAGEREF _Toc192041170 \h </w:instrText>
      </w:r>
      <w:r>
        <w:fldChar w:fldCharType="separate"/>
      </w:r>
      <w:r>
        <w:t>120</w:t>
      </w:r>
      <w:r>
        <w:fldChar w:fldCharType="end"/>
      </w:r>
    </w:p>
    <w:p>
      <w:pPr>
        <w:pStyle w:val="TOC8"/>
        <w:rPr>
          <w:sz w:val="24"/>
          <w:szCs w:val="24"/>
        </w:rPr>
      </w:pPr>
      <w:r>
        <w:rPr>
          <w:szCs w:val="24"/>
        </w:rPr>
        <w:t>65.</w:t>
      </w:r>
      <w:r>
        <w:rPr>
          <w:szCs w:val="24"/>
        </w:rPr>
        <w:tab/>
        <w:t>Obligation of employer to establish a safety and health committee</w:t>
      </w:r>
      <w:r>
        <w:tab/>
      </w:r>
      <w:r>
        <w:fldChar w:fldCharType="begin"/>
      </w:r>
      <w:r>
        <w:instrText xml:space="preserve"> PAGEREF _Toc192041171 \h </w:instrText>
      </w:r>
      <w:r>
        <w:fldChar w:fldCharType="separate"/>
      </w:r>
      <w:r>
        <w:t>121</w:t>
      </w:r>
      <w:r>
        <w:fldChar w:fldCharType="end"/>
      </w:r>
    </w:p>
    <w:p>
      <w:pPr>
        <w:pStyle w:val="TOC8"/>
        <w:rPr>
          <w:sz w:val="24"/>
          <w:szCs w:val="24"/>
        </w:rPr>
      </w:pPr>
      <w:r>
        <w:rPr>
          <w:szCs w:val="24"/>
        </w:rPr>
        <w:t>66.</w:t>
      </w:r>
      <w:r>
        <w:rPr>
          <w:szCs w:val="24"/>
        </w:rPr>
        <w:tab/>
        <w:t>Request for establishment of safety and health committee</w:t>
      </w:r>
      <w:r>
        <w:tab/>
      </w:r>
      <w:r>
        <w:fldChar w:fldCharType="begin"/>
      </w:r>
      <w:r>
        <w:instrText xml:space="preserve"> PAGEREF _Toc192041172 \h </w:instrText>
      </w:r>
      <w:r>
        <w:fldChar w:fldCharType="separate"/>
      </w:r>
      <w:r>
        <w:t>121</w:t>
      </w:r>
      <w:r>
        <w:fldChar w:fldCharType="end"/>
      </w:r>
    </w:p>
    <w:p>
      <w:pPr>
        <w:pStyle w:val="TOC8"/>
        <w:rPr>
          <w:sz w:val="24"/>
          <w:szCs w:val="24"/>
        </w:rPr>
      </w:pPr>
      <w:r>
        <w:rPr>
          <w:szCs w:val="24"/>
        </w:rPr>
        <w:t>67.</w:t>
      </w:r>
      <w:r>
        <w:rPr>
          <w:szCs w:val="24"/>
        </w:rPr>
        <w:tab/>
        <w:t>Referral of question to State mining engineer</w:t>
      </w:r>
      <w:r>
        <w:tab/>
      </w:r>
      <w:r>
        <w:fldChar w:fldCharType="begin"/>
      </w:r>
      <w:r>
        <w:instrText xml:space="preserve"> PAGEREF _Toc192041173 \h </w:instrText>
      </w:r>
      <w:r>
        <w:fldChar w:fldCharType="separate"/>
      </w:r>
      <w:r>
        <w:t>122</w:t>
      </w:r>
      <w:r>
        <w:fldChar w:fldCharType="end"/>
      </w:r>
    </w:p>
    <w:p>
      <w:pPr>
        <w:pStyle w:val="TOC8"/>
        <w:rPr>
          <w:sz w:val="24"/>
          <w:szCs w:val="24"/>
        </w:rPr>
      </w:pPr>
      <w:r>
        <w:rPr>
          <w:szCs w:val="24"/>
        </w:rPr>
        <w:t>67A.</w:t>
      </w:r>
      <w:r>
        <w:rPr>
          <w:szCs w:val="24"/>
        </w:rPr>
        <w:tab/>
        <w:t>Employer may establish a safety and health committee</w:t>
      </w:r>
      <w:r>
        <w:tab/>
      </w:r>
      <w:r>
        <w:fldChar w:fldCharType="begin"/>
      </w:r>
      <w:r>
        <w:instrText xml:space="preserve"> PAGEREF _Toc192041174 \h </w:instrText>
      </w:r>
      <w:r>
        <w:fldChar w:fldCharType="separate"/>
      </w:r>
      <w:r>
        <w:t>122</w:t>
      </w:r>
      <w:r>
        <w:fldChar w:fldCharType="end"/>
      </w:r>
    </w:p>
    <w:p>
      <w:pPr>
        <w:pStyle w:val="TOC8"/>
        <w:rPr>
          <w:sz w:val="24"/>
          <w:szCs w:val="24"/>
        </w:rPr>
      </w:pPr>
      <w:r>
        <w:rPr>
          <w:szCs w:val="24"/>
        </w:rPr>
        <w:t>67B.</w:t>
      </w:r>
      <w:r>
        <w:rPr>
          <w:szCs w:val="24"/>
        </w:rPr>
        <w:tab/>
        <w:t>How safety and health committee to be constituted</w:t>
      </w:r>
      <w:r>
        <w:tab/>
      </w:r>
      <w:r>
        <w:fldChar w:fldCharType="begin"/>
      </w:r>
      <w:r>
        <w:instrText xml:space="preserve"> PAGEREF _Toc192041175 \h </w:instrText>
      </w:r>
      <w:r>
        <w:fldChar w:fldCharType="separate"/>
      </w:r>
      <w:r>
        <w:t>123</w:t>
      </w:r>
      <w:r>
        <w:fldChar w:fldCharType="end"/>
      </w:r>
    </w:p>
    <w:p>
      <w:pPr>
        <w:pStyle w:val="TOC8"/>
        <w:rPr>
          <w:sz w:val="24"/>
          <w:szCs w:val="24"/>
        </w:rPr>
      </w:pPr>
      <w:r>
        <w:rPr>
          <w:szCs w:val="24"/>
        </w:rPr>
        <w:t>67C.</w:t>
      </w:r>
      <w:r>
        <w:rPr>
          <w:szCs w:val="24"/>
        </w:rPr>
        <w:tab/>
        <w:t>State mining engineer may make determination in certain cases</w:t>
      </w:r>
      <w:r>
        <w:tab/>
      </w:r>
      <w:r>
        <w:fldChar w:fldCharType="begin"/>
      </w:r>
      <w:r>
        <w:instrText xml:space="preserve"> PAGEREF _Toc192041176 \h </w:instrText>
      </w:r>
      <w:r>
        <w:fldChar w:fldCharType="separate"/>
      </w:r>
      <w:r>
        <w:t>123</w:t>
      </w:r>
      <w:r>
        <w:fldChar w:fldCharType="end"/>
      </w:r>
    </w:p>
    <w:p>
      <w:pPr>
        <w:pStyle w:val="TOC8"/>
        <w:rPr>
          <w:sz w:val="24"/>
          <w:szCs w:val="24"/>
        </w:rPr>
      </w:pPr>
      <w:r>
        <w:rPr>
          <w:szCs w:val="24"/>
        </w:rPr>
        <w:t>67D.</w:t>
      </w:r>
      <w:r>
        <w:rPr>
          <w:szCs w:val="24"/>
        </w:rPr>
        <w:tab/>
        <w:t>Functions of committee may cover more than one mine</w:t>
      </w:r>
      <w:r>
        <w:tab/>
      </w:r>
      <w:r>
        <w:fldChar w:fldCharType="begin"/>
      </w:r>
      <w:r>
        <w:instrText xml:space="preserve"> PAGEREF _Toc192041177 \h </w:instrText>
      </w:r>
      <w:r>
        <w:fldChar w:fldCharType="separate"/>
      </w:r>
      <w:r>
        <w:t>124</w:t>
      </w:r>
      <w:r>
        <w:fldChar w:fldCharType="end"/>
      </w:r>
    </w:p>
    <w:p>
      <w:pPr>
        <w:pStyle w:val="TOC8"/>
        <w:rPr>
          <w:sz w:val="24"/>
          <w:szCs w:val="24"/>
        </w:rPr>
      </w:pPr>
      <w:r>
        <w:rPr>
          <w:szCs w:val="24"/>
        </w:rPr>
        <w:t>67E.</w:t>
      </w:r>
      <w:r>
        <w:rPr>
          <w:szCs w:val="24"/>
        </w:rPr>
        <w:tab/>
        <w:t>Amendment of agreement and abolition of committee</w:t>
      </w:r>
      <w:r>
        <w:tab/>
      </w:r>
      <w:r>
        <w:fldChar w:fldCharType="begin"/>
      </w:r>
      <w:r>
        <w:instrText xml:space="preserve"> PAGEREF _Toc192041178 \h </w:instrText>
      </w:r>
      <w:r>
        <w:fldChar w:fldCharType="separate"/>
      </w:r>
      <w:r>
        <w:t>125</w:t>
      </w:r>
      <w:r>
        <w:fldChar w:fldCharType="end"/>
      </w:r>
    </w:p>
    <w:p>
      <w:pPr>
        <w:pStyle w:val="TOC8"/>
        <w:rPr>
          <w:sz w:val="24"/>
          <w:szCs w:val="24"/>
        </w:rPr>
      </w:pPr>
      <w:r>
        <w:rPr>
          <w:szCs w:val="24"/>
        </w:rPr>
        <w:t>67F.</w:t>
      </w:r>
      <w:r>
        <w:rPr>
          <w:szCs w:val="24"/>
        </w:rPr>
        <w:tab/>
        <w:t>Review of State mining engineer’s decision</w:t>
      </w:r>
      <w:r>
        <w:tab/>
      </w:r>
      <w:r>
        <w:fldChar w:fldCharType="begin"/>
      </w:r>
      <w:r>
        <w:instrText xml:space="preserve"> PAGEREF _Toc192041179 \h </w:instrText>
      </w:r>
      <w:r>
        <w:fldChar w:fldCharType="separate"/>
      </w:r>
      <w:r>
        <w:t>127</w:t>
      </w:r>
      <w:r>
        <w:fldChar w:fldCharType="end"/>
      </w:r>
    </w:p>
    <w:p>
      <w:pPr>
        <w:pStyle w:val="TOC8"/>
        <w:rPr>
          <w:sz w:val="24"/>
          <w:szCs w:val="24"/>
        </w:rPr>
      </w:pPr>
      <w:r>
        <w:rPr>
          <w:szCs w:val="24"/>
        </w:rPr>
        <w:t>68.</w:t>
      </w:r>
      <w:r>
        <w:rPr>
          <w:szCs w:val="24"/>
        </w:rPr>
        <w:tab/>
        <w:t>Procedure of safety and health committees</w:t>
      </w:r>
      <w:r>
        <w:tab/>
      </w:r>
      <w:r>
        <w:fldChar w:fldCharType="begin"/>
      </w:r>
      <w:r>
        <w:instrText xml:space="preserve"> PAGEREF _Toc192041180 \h </w:instrText>
      </w:r>
      <w:r>
        <w:fldChar w:fldCharType="separate"/>
      </w:r>
      <w:r>
        <w:t>128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Discrimination</w:t>
      </w:r>
    </w:p>
    <w:p>
      <w:pPr>
        <w:pStyle w:val="TOC8"/>
        <w:rPr>
          <w:sz w:val="24"/>
          <w:szCs w:val="24"/>
        </w:rPr>
      </w:pPr>
      <w:r>
        <w:rPr>
          <w:szCs w:val="24"/>
        </w:rPr>
        <w:t>68A.</w:t>
      </w:r>
      <w:r>
        <w:rPr>
          <w:szCs w:val="24"/>
        </w:rPr>
        <w:tab/>
        <w:t>Discrimination against safety and health representative in relation to employment</w:t>
      </w:r>
      <w:r>
        <w:tab/>
      </w:r>
      <w:r>
        <w:fldChar w:fldCharType="begin"/>
      </w:r>
      <w:r>
        <w:instrText xml:space="preserve"> PAGEREF _Toc192041182 \h </w:instrText>
      </w:r>
      <w:r>
        <w:fldChar w:fldCharType="separate"/>
      </w:r>
      <w:r>
        <w:t>128</w:t>
      </w:r>
      <w:r>
        <w:fldChar w:fldCharType="end"/>
      </w:r>
    </w:p>
    <w:p>
      <w:pPr>
        <w:pStyle w:val="TOC8"/>
        <w:rPr>
          <w:sz w:val="24"/>
          <w:szCs w:val="24"/>
        </w:rPr>
      </w:pPr>
      <w:r>
        <w:rPr>
          <w:szCs w:val="24"/>
        </w:rPr>
        <w:t>68B.</w:t>
      </w:r>
      <w:r>
        <w:rPr>
          <w:szCs w:val="24"/>
        </w:rPr>
        <w:tab/>
        <w:t>Discrimination against safety and health representative in relation to contract for services</w:t>
      </w:r>
      <w:r>
        <w:tab/>
      </w:r>
      <w:r>
        <w:fldChar w:fldCharType="begin"/>
      </w:r>
      <w:r>
        <w:instrText xml:space="preserve"> PAGEREF _Toc192041183 \h </w:instrText>
      </w:r>
      <w:r>
        <w:fldChar w:fldCharType="separate"/>
      </w:r>
      <w:r>
        <w:t>129</w:t>
      </w:r>
      <w:r>
        <w:fldChar w:fldCharType="end"/>
      </w:r>
    </w:p>
    <w:p>
      <w:pPr>
        <w:pStyle w:val="TOC8"/>
        <w:rPr>
          <w:sz w:val="24"/>
          <w:szCs w:val="24"/>
        </w:rPr>
      </w:pPr>
      <w:r>
        <w:rPr>
          <w:szCs w:val="24"/>
        </w:rPr>
        <w:t>68C.</w:t>
      </w:r>
      <w:r>
        <w:rPr>
          <w:szCs w:val="24"/>
        </w:rPr>
        <w:tab/>
        <w:t>Claim may be referred to the Tribunal</w:t>
      </w:r>
      <w:r>
        <w:tab/>
      </w:r>
      <w:r>
        <w:fldChar w:fldCharType="begin"/>
      </w:r>
      <w:r>
        <w:instrText xml:space="preserve"> PAGEREF _Toc192041184 \h </w:instrText>
      </w:r>
      <w:r>
        <w:fldChar w:fldCharType="separate"/>
      </w:r>
      <w:r>
        <w:t>129</w:t>
      </w:r>
      <w:r>
        <w:fldChar w:fldCharType="end"/>
      </w:r>
    </w:p>
    <w:p>
      <w:pPr>
        <w:pStyle w:val="TOC8"/>
        <w:rPr>
          <w:sz w:val="24"/>
          <w:szCs w:val="24"/>
        </w:rPr>
      </w:pPr>
      <w:r>
        <w:rPr>
          <w:szCs w:val="24"/>
        </w:rPr>
        <w:t>68D.</w:t>
      </w:r>
      <w:r>
        <w:rPr>
          <w:szCs w:val="24"/>
        </w:rPr>
        <w:tab/>
        <w:t>Remedies that may be granted</w:t>
      </w:r>
      <w:r>
        <w:tab/>
      </w:r>
      <w:r>
        <w:fldChar w:fldCharType="begin"/>
      </w:r>
      <w:r>
        <w:instrText xml:space="preserve"> PAGEREF _Toc192041185 \h </w:instrText>
      </w:r>
      <w:r>
        <w:fldChar w:fldCharType="separate"/>
      </w:r>
      <w:r>
        <w:t>130</w:t>
      </w:r>
      <w:r>
        <w:fldChar w:fldCharType="end"/>
      </w:r>
    </w:p>
    <w:p>
      <w:pPr>
        <w:pStyle w:val="TOC8"/>
        <w:rPr>
          <w:sz w:val="24"/>
          <w:szCs w:val="24"/>
        </w:rPr>
      </w:pPr>
      <w:r>
        <w:rPr>
          <w:szCs w:val="24"/>
        </w:rPr>
        <w:t>69</w:t>
      </w:r>
      <w:r>
        <w:rPr>
          <w:snapToGrid w:val="0"/>
          <w:szCs w:val="24"/>
        </w:rPr>
        <w:t>.</w:t>
      </w:r>
      <w:r>
        <w:rPr>
          <w:snapToGrid w:val="0"/>
          <w:szCs w:val="24"/>
        </w:rPr>
        <w:tab/>
        <w:t>Other discriminatory treatment of employees or prospective employees</w:t>
      </w:r>
      <w:r>
        <w:tab/>
      </w:r>
      <w:r>
        <w:fldChar w:fldCharType="begin"/>
      </w:r>
      <w:r>
        <w:instrText xml:space="preserve"> PAGEREF _Toc192041186 \h </w:instrText>
      </w:r>
      <w:r>
        <w:fldChar w:fldCharType="separate"/>
      </w:r>
      <w:r>
        <w:t>131</w:t>
      </w:r>
      <w:r>
        <w:fldChar w:fldCharType="end"/>
      </w:r>
    </w:p>
    <w:p>
      <w:pPr>
        <w:pStyle w:val="TOC2"/>
        <w:tabs>
          <w:tab w:val="right" w:leader="dot" w:pos="7086"/>
        </w:tabs>
        <w:rPr>
          <w:b w:val="0"/>
          <w:sz w:val="24"/>
          <w:szCs w:val="24"/>
        </w:rPr>
      </w:pPr>
      <w:r>
        <w:rPr>
          <w:szCs w:val="30"/>
        </w:rPr>
        <w:t>Part 6 — Resolution of safety and health issues</w:t>
      </w:r>
    </w:p>
    <w:p>
      <w:pPr>
        <w:pStyle w:val="TOC8"/>
        <w:rPr>
          <w:sz w:val="24"/>
          <w:szCs w:val="24"/>
        </w:rPr>
      </w:pPr>
      <w:r>
        <w:rPr>
          <w:szCs w:val="24"/>
        </w:rPr>
        <w:t>70</w:t>
      </w:r>
      <w:r>
        <w:rPr>
          <w:snapToGrid w:val="0"/>
          <w:szCs w:val="24"/>
        </w:rPr>
        <w:t>.</w:t>
      </w:r>
      <w:r>
        <w:rPr>
          <w:snapToGrid w:val="0"/>
          <w:szCs w:val="24"/>
        </w:rPr>
        <w:tab/>
        <w:t>Resolution of issues at the mine</w:t>
      </w:r>
      <w:r>
        <w:tab/>
      </w:r>
      <w:r>
        <w:fldChar w:fldCharType="begin"/>
      </w:r>
      <w:r>
        <w:instrText xml:space="preserve"> PAGEREF _Toc192041188 \h </w:instrText>
      </w:r>
      <w:r>
        <w:fldChar w:fldCharType="separate"/>
      </w:r>
      <w:r>
        <w:t>133</w:t>
      </w:r>
      <w:r>
        <w:fldChar w:fldCharType="end"/>
      </w:r>
    </w:p>
    <w:p>
      <w:pPr>
        <w:pStyle w:val="TOC8"/>
        <w:rPr>
          <w:sz w:val="24"/>
          <w:szCs w:val="24"/>
        </w:rPr>
      </w:pPr>
      <w:r>
        <w:rPr>
          <w:szCs w:val="24"/>
        </w:rPr>
        <w:t>71</w:t>
      </w:r>
      <w:r>
        <w:rPr>
          <w:snapToGrid w:val="0"/>
          <w:szCs w:val="24"/>
        </w:rPr>
        <w:t>.</w:t>
      </w:r>
      <w:r>
        <w:rPr>
          <w:snapToGrid w:val="0"/>
          <w:szCs w:val="24"/>
        </w:rPr>
        <w:tab/>
        <w:t>Inspector may be notified where issue unresolved</w:t>
      </w:r>
      <w:r>
        <w:tab/>
      </w:r>
      <w:r>
        <w:fldChar w:fldCharType="begin"/>
      </w:r>
      <w:r>
        <w:instrText xml:space="preserve"> PAGEREF _Toc192041189 \h </w:instrText>
      </w:r>
      <w:r>
        <w:fldChar w:fldCharType="separate"/>
      </w:r>
      <w:r>
        <w:t>134</w:t>
      </w:r>
      <w:r>
        <w:fldChar w:fldCharType="end"/>
      </w:r>
    </w:p>
    <w:p>
      <w:pPr>
        <w:pStyle w:val="TOC8"/>
        <w:rPr>
          <w:sz w:val="24"/>
          <w:szCs w:val="24"/>
        </w:rPr>
      </w:pPr>
      <w:r>
        <w:rPr>
          <w:szCs w:val="24"/>
        </w:rPr>
        <w:t>72</w:t>
      </w:r>
      <w:r>
        <w:rPr>
          <w:snapToGrid w:val="0"/>
          <w:szCs w:val="24"/>
        </w:rPr>
        <w:t>.</w:t>
      </w:r>
      <w:r>
        <w:rPr>
          <w:snapToGrid w:val="0"/>
          <w:szCs w:val="24"/>
        </w:rPr>
        <w:tab/>
        <w:t>Refusal by employee to work in certain cases</w:t>
      </w:r>
      <w:r>
        <w:tab/>
      </w:r>
      <w:r>
        <w:fldChar w:fldCharType="begin"/>
      </w:r>
      <w:r>
        <w:instrText xml:space="preserve"> PAGEREF _Toc192041190 \h </w:instrText>
      </w:r>
      <w:r>
        <w:fldChar w:fldCharType="separate"/>
      </w:r>
      <w:r>
        <w:t>135</w:t>
      </w:r>
      <w:r>
        <w:fldChar w:fldCharType="end"/>
      </w:r>
    </w:p>
    <w:p>
      <w:pPr>
        <w:pStyle w:val="TOC8"/>
        <w:rPr>
          <w:sz w:val="24"/>
          <w:szCs w:val="24"/>
        </w:rPr>
      </w:pPr>
      <w:r>
        <w:rPr>
          <w:szCs w:val="24"/>
        </w:rPr>
        <w:t>73</w:t>
      </w:r>
      <w:r>
        <w:rPr>
          <w:snapToGrid w:val="0"/>
          <w:szCs w:val="24"/>
        </w:rPr>
        <w:t>.</w:t>
      </w:r>
      <w:r>
        <w:rPr>
          <w:snapToGrid w:val="0"/>
          <w:szCs w:val="24"/>
        </w:rPr>
        <w:tab/>
        <w:t>Assignment of other work</w:t>
      </w:r>
      <w:r>
        <w:tab/>
      </w:r>
      <w:r>
        <w:fldChar w:fldCharType="begin"/>
      </w:r>
      <w:r>
        <w:instrText xml:space="preserve"> PAGEREF _Toc192041191 \h </w:instrText>
      </w:r>
      <w:r>
        <w:fldChar w:fldCharType="separate"/>
      </w:r>
      <w:r>
        <w:t>136</w:t>
      </w:r>
      <w:r>
        <w:fldChar w:fldCharType="end"/>
      </w:r>
    </w:p>
    <w:p>
      <w:pPr>
        <w:pStyle w:val="TOC8"/>
        <w:rPr>
          <w:sz w:val="24"/>
          <w:szCs w:val="24"/>
        </w:rPr>
      </w:pPr>
      <w:r>
        <w:rPr>
          <w:szCs w:val="24"/>
        </w:rPr>
        <w:t>74</w:t>
      </w:r>
      <w:r>
        <w:rPr>
          <w:snapToGrid w:val="0"/>
          <w:szCs w:val="24"/>
        </w:rPr>
        <w:t>.</w:t>
      </w:r>
      <w:r>
        <w:rPr>
          <w:snapToGrid w:val="0"/>
          <w:szCs w:val="24"/>
        </w:rPr>
        <w:tab/>
        <w:t>Entitlements to continue</w:t>
      </w:r>
      <w:r>
        <w:tab/>
      </w:r>
      <w:r>
        <w:fldChar w:fldCharType="begin"/>
      </w:r>
      <w:r>
        <w:instrText xml:space="preserve"> PAGEREF _Toc192041192 \h </w:instrText>
      </w:r>
      <w:r>
        <w:fldChar w:fldCharType="separate"/>
      </w:r>
      <w:r>
        <w:t>136</w:t>
      </w:r>
      <w:r>
        <w:fldChar w:fldCharType="end"/>
      </w:r>
    </w:p>
    <w:p>
      <w:pPr>
        <w:pStyle w:val="TOC8"/>
        <w:rPr>
          <w:sz w:val="24"/>
          <w:szCs w:val="24"/>
        </w:rPr>
      </w:pPr>
      <w:r>
        <w:rPr>
          <w:szCs w:val="24"/>
        </w:rPr>
        <w:t>74A</w:t>
      </w:r>
      <w:r>
        <w:rPr>
          <w:snapToGrid w:val="0"/>
          <w:szCs w:val="24"/>
        </w:rPr>
        <w:t>.</w:t>
      </w:r>
      <w:r>
        <w:rPr>
          <w:snapToGrid w:val="0"/>
          <w:szCs w:val="24"/>
        </w:rPr>
        <w:tab/>
        <w:t>Offences — refusal to work</w:t>
      </w:r>
      <w:r>
        <w:tab/>
      </w:r>
      <w:r>
        <w:fldChar w:fldCharType="begin"/>
      </w:r>
      <w:r>
        <w:instrText xml:space="preserve"> PAGEREF _Toc192041193 \h </w:instrText>
      </w:r>
      <w:r>
        <w:fldChar w:fldCharType="separate"/>
      </w:r>
      <w:r>
        <w:t>137</w:t>
      </w:r>
      <w:r>
        <w:fldChar w:fldCharType="end"/>
      </w:r>
    </w:p>
    <w:p>
      <w:pPr>
        <w:pStyle w:val="TOC2"/>
        <w:tabs>
          <w:tab w:val="right" w:leader="dot" w:pos="7086"/>
        </w:tabs>
        <w:rPr>
          <w:b w:val="0"/>
          <w:sz w:val="24"/>
          <w:szCs w:val="24"/>
        </w:rPr>
      </w:pPr>
      <w:r>
        <w:rPr>
          <w:szCs w:val="30"/>
        </w:rPr>
        <w:t>Part 7 — Specific duties relating to occupational safety and health</w:t>
      </w:r>
    </w:p>
    <w:p>
      <w:pPr>
        <w:pStyle w:val="TOC4"/>
        <w:tabs>
          <w:tab w:val="right" w:leader="dot" w:pos="7086"/>
        </w:tabs>
        <w:rPr>
          <w:b w:val="0"/>
          <w:sz w:val="24"/>
          <w:szCs w:val="24"/>
        </w:rPr>
      </w:pPr>
      <w:r>
        <w:rPr>
          <w:szCs w:val="26"/>
        </w:rPr>
        <w:t>Division 1</w:t>
      </w:r>
      <w:r>
        <w:rPr>
          <w:snapToGrid w:val="0"/>
          <w:szCs w:val="26"/>
        </w:rPr>
        <w:t> — </w:t>
      </w:r>
      <w:r>
        <w:rPr>
          <w:szCs w:val="26"/>
        </w:rPr>
        <w:t>Health surveillance</w:t>
      </w:r>
    </w:p>
    <w:p>
      <w:pPr>
        <w:pStyle w:val="TOC8"/>
        <w:rPr>
          <w:sz w:val="24"/>
          <w:szCs w:val="24"/>
        </w:rPr>
      </w:pPr>
      <w:r>
        <w:rPr>
          <w:szCs w:val="24"/>
        </w:rPr>
        <w:t>75</w:t>
      </w:r>
      <w:r>
        <w:rPr>
          <w:snapToGrid w:val="0"/>
          <w:szCs w:val="24"/>
        </w:rPr>
        <w:t>.</w:t>
      </w:r>
      <w:r>
        <w:rPr>
          <w:snapToGrid w:val="0"/>
          <w:szCs w:val="24"/>
        </w:rPr>
        <w:tab/>
        <w:t>Health surveillance of mine employees</w:t>
      </w:r>
      <w:r>
        <w:tab/>
      </w:r>
      <w:r>
        <w:fldChar w:fldCharType="begin"/>
      </w:r>
      <w:r>
        <w:instrText xml:space="preserve"> PAGEREF _Toc192041196 \h </w:instrText>
      </w:r>
      <w:r>
        <w:fldChar w:fldCharType="separate"/>
      </w:r>
      <w:r>
        <w:t>139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Accidents and occurrences</w:t>
      </w:r>
    </w:p>
    <w:p>
      <w:pPr>
        <w:pStyle w:val="TOC8"/>
        <w:rPr>
          <w:sz w:val="24"/>
          <w:szCs w:val="24"/>
        </w:rPr>
      </w:pPr>
      <w:r>
        <w:rPr>
          <w:szCs w:val="24"/>
        </w:rPr>
        <w:t>76</w:t>
      </w:r>
      <w:r>
        <w:rPr>
          <w:snapToGrid w:val="0"/>
          <w:szCs w:val="24"/>
        </w:rPr>
        <w:t>.</w:t>
      </w:r>
      <w:r>
        <w:rPr>
          <w:snapToGrid w:val="0"/>
          <w:szCs w:val="24"/>
        </w:rPr>
        <w:tab/>
        <w:t>Notice of accident to be given</w:t>
      </w:r>
      <w:r>
        <w:tab/>
      </w:r>
      <w:r>
        <w:fldChar w:fldCharType="begin"/>
      </w:r>
      <w:r>
        <w:instrText xml:space="preserve"> PAGEREF _Toc192041198 \h </w:instrText>
      </w:r>
      <w:r>
        <w:fldChar w:fldCharType="separate"/>
      </w:r>
      <w:r>
        <w:t>139</w:t>
      </w:r>
      <w:r>
        <w:fldChar w:fldCharType="end"/>
      </w:r>
    </w:p>
    <w:p>
      <w:pPr>
        <w:pStyle w:val="TOC8"/>
        <w:rPr>
          <w:sz w:val="24"/>
          <w:szCs w:val="24"/>
        </w:rPr>
      </w:pPr>
      <w:r>
        <w:rPr>
          <w:szCs w:val="24"/>
        </w:rPr>
        <w:t>77</w:t>
      </w:r>
      <w:r>
        <w:rPr>
          <w:snapToGrid w:val="0"/>
          <w:szCs w:val="24"/>
        </w:rPr>
        <w:t>.</w:t>
      </w:r>
      <w:r>
        <w:rPr>
          <w:snapToGrid w:val="0"/>
          <w:szCs w:val="24"/>
        </w:rPr>
        <w:tab/>
        <w:t>Recording of accidents in accident log book</w:t>
      </w:r>
      <w:r>
        <w:tab/>
      </w:r>
      <w:r>
        <w:fldChar w:fldCharType="begin"/>
      </w:r>
      <w:r>
        <w:instrText xml:space="preserve"> PAGEREF _Toc192041199 \h </w:instrText>
      </w:r>
      <w:r>
        <w:fldChar w:fldCharType="separate"/>
      </w:r>
      <w:r>
        <w:t>140</w:t>
      </w:r>
      <w:r>
        <w:fldChar w:fldCharType="end"/>
      </w:r>
    </w:p>
    <w:p>
      <w:pPr>
        <w:pStyle w:val="TOC8"/>
        <w:rPr>
          <w:sz w:val="24"/>
          <w:szCs w:val="24"/>
        </w:rPr>
      </w:pPr>
      <w:r>
        <w:rPr>
          <w:szCs w:val="24"/>
        </w:rPr>
        <w:t>78</w:t>
      </w:r>
      <w:r>
        <w:rPr>
          <w:snapToGrid w:val="0"/>
          <w:szCs w:val="24"/>
        </w:rPr>
        <w:t>.</w:t>
      </w:r>
      <w:r>
        <w:rPr>
          <w:snapToGrid w:val="0"/>
          <w:szCs w:val="24"/>
        </w:rPr>
        <w:tab/>
        <w:t>Recording of occurrences in the record book</w:t>
      </w:r>
      <w:r>
        <w:tab/>
      </w:r>
      <w:r>
        <w:fldChar w:fldCharType="begin"/>
      </w:r>
      <w:r>
        <w:instrText xml:space="preserve"> PAGEREF _Toc192041200 \h </w:instrText>
      </w:r>
      <w:r>
        <w:fldChar w:fldCharType="separate"/>
      </w:r>
      <w:r>
        <w:t>141</w:t>
      </w:r>
      <w:r>
        <w:fldChar w:fldCharType="end"/>
      </w:r>
    </w:p>
    <w:p>
      <w:pPr>
        <w:pStyle w:val="TOC8"/>
        <w:rPr>
          <w:sz w:val="24"/>
          <w:szCs w:val="24"/>
        </w:rPr>
      </w:pPr>
      <w:r>
        <w:rPr>
          <w:szCs w:val="24"/>
        </w:rPr>
        <w:t>79</w:t>
      </w:r>
      <w:r>
        <w:rPr>
          <w:snapToGrid w:val="0"/>
          <w:szCs w:val="24"/>
        </w:rPr>
        <w:t>.</w:t>
      </w:r>
      <w:r>
        <w:rPr>
          <w:snapToGrid w:val="0"/>
          <w:szCs w:val="24"/>
        </w:rPr>
        <w:tab/>
        <w:t>Manager to report potentially serious occurrences</w:t>
      </w:r>
      <w:r>
        <w:tab/>
      </w:r>
      <w:r>
        <w:fldChar w:fldCharType="begin"/>
      </w:r>
      <w:r>
        <w:instrText xml:space="preserve"> PAGEREF _Toc192041201 \h </w:instrText>
      </w:r>
      <w:r>
        <w:fldChar w:fldCharType="separate"/>
      </w:r>
      <w:r>
        <w:t>142</w:t>
      </w:r>
      <w:r>
        <w:fldChar w:fldCharType="end"/>
      </w:r>
    </w:p>
    <w:p>
      <w:pPr>
        <w:pStyle w:val="TOC8"/>
        <w:rPr>
          <w:sz w:val="24"/>
          <w:szCs w:val="24"/>
        </w:rPr>
      </w:pPr>
      <w:r>
        <w:rPr>
          <w:szCs w:val="24"/>
        </w:rPr>
        <w:t>80</w:t>
      </w:r>
      <w:r>
        <w:rPr>
          <w:snapToGrid w:val="0"/>
          <w:szCs w:val="24"/>
        </w:rPr>
        <w:t>.</w:t>
      </w:r>
      <w:r>
        <w:rPr>
          <w:snapToGrid w:val="0"/>
          <w:szCs w:val="24"/>
        </w:rPr>
        <w:tab/>
        <w:t>Examination of accident location by trade union representatives</w:t>
      </w:r>
      <w:r>
        <w:tab/>
      </w:r>
      <w:r>
        <w:fldChar w:fldCharType="begin"/>
      </w:r>
      <w:r>
        <w:instrText xml:space="preserve"> PAGEREF _Toc192041202 \h </w:instrText>
      </w:r>
      <w:r>
        <w:fldChar w:fldCharType="separate"/>
      </w:r>
      <w:r>
        <w:t>143</w:t>
      </w:r>
      <w:r>
        <w:fldChar w:fldCharType="end"/>
      </w:r>
    </w:p>
    <w:p>
      <w:pPr>
        <w:pStyle w:val="TOC8"/>
        <w:rPr>
          <w:sz w:val="24"/>
          <w:szCs w:val="24"/>
        </w:rPr>
      </w:pPr>
      <w:r>
        <w:rPr>
          <w:szCs w:val="24"/>
        </w:rPr>
        <w:t>81</w:t>
      </w:r>
      <w:r>
        <w:rPr>
          <w:snapToGrid w:val="0"/>
          <w:szCs w:val="24"/>
        </w:rPr>
        <w:t>.</w:t>
      </w:r>
      <w:r>
        <w:rPr>
          <w:snapToGrid w:val="0"/>
          <w:szCs w:val="24"/>
        </w:rPr>
        <w:tab/>
        <w:t>Place of accident not to be disturbed</w:t>
      </w:r>
      <w:r>
        <w:tab/>
      </w:r>
      <w:r>
        <w:fldChar w:fldCharType="begin"/>
      </w:r>
      <w:r>
        <w:instrText xml:space="preserve"> PAGEREF _Toc192041203 \h </w:instrText>
      </w:r>
      <w:r>
        <w:fldChar w:fldCharType="separate"/>
      </w:r>
      <w:r>
        <w:t>143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Plans and records</w:t>
      </w:r>
    </w:p>
    <w:p>
      <w:pPr>
        <w:pStyle w:val="TOC8"/>
        <w:rPr>
          <w:sz w:val="24"/>
          <w:szCs w:val="24"/>
        </w:rPr>
      </w:pPr>
      <w:r>
        <w:rPr>
          <w:szCs w:val="24"/>
        </w:rPr>
        <w:t>82</w:t>
      </w:r>
      <w:r>
        <w:rPr>
          <w:snapToGrid w:val="0"/>
          <w:szCs w:val="24"/>
        </w:rPr>
        <w:t>.</w:t>
      </w:r>
      <w:r>
        <w:rPr>
          <w:snapToGrid w:val="0"/>
          <w:szCs w:val="24"/>
        </w:rPr>
        <w:tab/>
        <w:t>Mines Survey Board</w:t>
      </w:r>
      <w:r>
        <w:tab/>
      </w:r>
      <w:r>
        <w:fldChar w:fldCharType="begin"/>
      </w:r>
      <w:r>
        <w:instrText xml:space="preserve"> PAGEREF _Toc192041205 \h </w:instrText>
      </w:r>
      <w:r>
        <w:fldChar w:fldCharType="separate"/>
      </w:r>
      <w:r>
        <w:t>143</w:t>
      </w:r>
      <w:r>
        <w:fldChar w:fldCharType="end"/>
      </w:r>
    </w:p>
    <w:p>
      <w:pPr>
        <w:pStyle w:val="TOC8"/>
        <w:rPr>
          <w:sz w:val="24"/>
          <w:szCs w:val="24"/>
        </w:rPr>
      </w:pPr>
      <w:r>
        <w:rPr>
          <w:szCs w:val="24"/>
        </w:rPr>
        <w:t>83</w:t>
      </w:r>
      <w:r>
        <w:rPr>
          <w:snapToGrid w:val="0"/>
          <w:szCs w:val="24"/>
        </w:rPr>
        <w:t>.</w:t>
      </w:r>
      <w:r>
        <w:rPr>
          <w:snapToGrid w:val="0"/>
          <w:szCs w:val="24"/>
        </w:rPr>
        <w:tab/>
        <w:t>Complaint to Mines Survey Board</w:t>
      </w:r>
      <w:r>
        <w:tab/>
      </w:r>
      <w:r>
        <w:fldChar w:fldCharType="begin"/>
      </w:r>
      <w:r>
        <w:instrText xml:space="preserve"> PAGEREF _Toc192041206 \h </w:instrText>
      </w:r>
      <w:r>
        <w:fldChar w:fldCharType="separate"/>
      </w:r>
      <w:r>
        <w:t>144</w:t>
      </w:r>
      <w:r>
        <w:fldChar w:fldCharType="end"/>
      </w:r>
    </w:p>
    <w:p>
      <w:pPr>
        <w:pStyle w:val="TOC8"/>
        <w:rPr>
          <w:sz w:val="24"/>
          <w:szCs w:val="24"/>
        </w:rPr>
      </w:pPr>
      <w:r>
        <w:rPr>
          <w:szCs w:val="24"/>
        </w:rPr>
        <w:t>84</w:t>
      </w:r>
      <w:r>
        <w:rPr>
          <w:snapToGrid w:val="0"/>
          <w:szCs w:val="24"/>
        </w:rPr>
        <w:t>.</w:t>
      </w:r>
      <w:r>
        <w:rPr>
          <w:snapToGrid w:val="0"/>
          <w:szCs w:val="24"/>
        </w:rPr>
        <w:tab/>
        <w:t>Inquiry by Mines Survey Board</w:t>
      </w:r>
      <w:r>
        <w:tab/>
      </w:r>
      <w:r>
        <w:fldChar w:fldCharType="begin"/>
      </w:r>
      <w:r>
        <w:instrText xml:space="preserve"> PAGEREF _Toc192041207 \h </w:instrText>
      </w:r>
      <w:r>
        <w:fldChar w:fldCharType="separate"/>
      </w:r>
      <w:r>
        <w:t>144</w:t>
      </w:r>
      <w:r>
        <w:fldChar w:fldCharType="end"/>
      </w:r>
    </w:p>
    <w:p>
      <w:pPr>
        <w:pStyle w:val="TOC8"/>
        <w:rPr>
          <w:sz w:val="24"/>
          <w:szCs w:val="24"/>
        </w:rPr>
      </w:pPr>
      <w:r>
        <w:rPr>
          <w:szCs w:val="24"/>
        </w:rPr>
        <w:t>85</w:t>
      </w:r>
      <w:r>
        <w:rPr>
          <w:snapToGrid w:val="0"/>
          <w:szCs w:val="24"/>
        </w:rPr>
        <w:t>.</w:t>
      </w:r>
      <w:r>
        <w:rPr>
          <w:snapToGrid w:val="0"/>
          <w:szCs w:val="24"/>
        </w:rPr>
        <w:tab/>
        <w:t>Disciplinary action following inquiry</w:t>
      </w:r>
      <w:r>
        <w:tab/>
      </w:r>
      <w:r>
        <w:fldChar w:fldCharType="begin"/>
      </w:r>
      <w:r>
        <w:instrText xml:space="preserve"> PAGEREF _Toc192041208 \h </w:instrText>
      </w:r>
      <w:r>
        <w:fldChar w:fldCharType="separate"/>
      </w:r>
      <w:r>
        <w:t>145</w:t>
      </w:r>
      <w:r>
        <w:fldChar w:fldCharType="end"/>
      </w:r>
    </w:p>
    <w:p>
      <w:pPr>
        <w:pStyle w:val="TOC8"/>
        <w:rPr>
          <w:sz w:val="24"/>
          <w:szCs w:val="24"/>
        </w:rPr>
      </w:pPr>
      <w:r>
        <w:rPr>
          <w:szCs w:val="24"/>
        </w:rPr>
        <w:t>86</w:t>
      </w:r>
      <w:r>
        <w:rPr>
          <w:snapToGrid w:val="0"/>
          <w:szCs w:val="24"/>
        </w:rPr>
        <w:t>.</w:t>
      </w:r>
      <w:r>
        <w:rPr>
          <w:snapToGrid w:val="0"/>
          <w:szCs w:val="24"/>
        </w:rPr>
        <w:tab/>
        <w:t>Appeal to</w:t>
      </w:r>
      <w:r>
        <w:rPr>
          <w:szCs w:val="24"/>
        </w:rPr>
        <w:t xml:space="preserve"> Tribunal</w:t>
      </w:r>
      <w:r>
        <w:tab/>
      </w:r>
      <w:r>
        <w:fldChar w:fldCharType="begin"/>
      </w:r>
      <w:r>
        <w:instrText xml:space="preserve"> PAGEREF _Toc192041209 \h </w:instrText>
      </w:r>
      <w:r>
        <w:fldChar w:fldCharType="separate"/>
      </w:r>
      <w:r>
        <w:t>146</w:t>
      </w:r>
      <w:r>
        <w:fldChar w:fldCharType="end"/>
      </w:r>
    </w:p>
    <w:p>
      <w:pPr>
        <w:pStyle w:val="TOC8"/>
        <w:rPr>
          <w:sz w:val="24"/>
          <w:szCs w:val="24"/>
        </w:rPr>
      </w:pPr>
      <w:r>
        <w:rPr>
          <w:szCs w:val="24"/>
        </w:rPr>
        <w:t>87</w:t>
      </w:r>
      <w:r>
        <w:rPr>
          <w:snapToGrid w:val="0"/>
          <w:szCs w:val="24"/>
        </w:rPr>
        <w:t>.</w:t>
      </w:r>
      <w:r>
        <w:rPr>
          <w:snapToGrid w:val="0"/>
          <w:szCs w:val="24"/>
        </w:rPr>
        <w:tab/>
        <w:t>Plans to be furnished</w:t>
      </w:r>
      <w:r>
        <w:tab/>
      </w:r>
      <w:r>
        <w:fldChar w:fldCharType="begin"/>
      </w:r>
      <w:r>
        <w:instrText xml:space="preserve"> PAGEREF _Toc192041210 \h </w:instrText>
      </w:r>
      <w:r>
        <w:fldChar w:fldCharType="separate"/>
      </w:r>
      <w:r>
        <w:t>146</w:t>
      </w:r>
      <w:r>
        <w:fldChar w:fldCharType="end"/>
      </w:r>
    </w:p>
    <w:p>
      <w:pPr>
        <w:pStyle w:val="TOC8"/>
        <w:rPr>
          <w:sz w:val="24"/>
          <w:szCs w:val="24"/>
        </w:rPr>
      </w:pPr>
      <w:r>
        <w:rPr>
          <w:szCs w:val="24"/>
        </w:rPr>
        <w:t>88</w:t>
      </w:r>
      <w:r>
        <w:rPr>
          <w:snapToGrid w:val="0"/>
          <w:szCs w:val="24"/>
        </w:rPr>
        <w:t>.</w:t>
      </w:r>
      <w:r>
        <w:rPr>
          <w:snapToGrid w:val="0"/>
          <w:szCs w:val="24"/>
        </w:rPr>
        <w:tab/>
        <w:t>Plans for abandonment or suspension</w:t>
      </w:r>
      <w:r>
        <w:tab/>
      </w:r>
      <w:r>
        <w:fldChar w:fldCharType="begin"/>
      </w:r>
      <w:r>
        <w:instrText xml:space="preserve"> PAGEREF _Toc192041211 \h </w:instrText>
      </w:r>
      <w:r>
        <w:fldChar w:fldCharType="separate"/>
      </w:r>
      <w:r>
        <w:t>147</w:t>
      </w:r>
      <w:r>
        <w:fldChar w:fldCharType="end"/>
      </w:r>
    </w:p>
    <w:p>
      <w:pPr>
        <w:pStyle w:val="TOC8"/>
        <w:rPr>
          <w:sz w:val="24"/>
          <w:szCs w:val="24"/>
        </w:rPr>
      </w:pPr>
      <w:r>
        <w:rPr>
          <w:szCs w:val="24"/>
        </w:rPr>
        <w:t>89</w:t>
      </w:r>
      <w:r>
        <w:rPr>
          <w:snapToGrid w:val="0"/>
          <w:szCs w:val="24"/>
        </w:rPr>
        <w:t>.</w:t>
      </w:r>
      <w:r>
        <w:rPr>
          <w:snapToGrid w:val="0"/>
          <w:szCs w:val="24"/>
        </w:rPr>
        <w:tab/>
        <w:t>Record books</w:t>
      </w:r>
      <w:r>
        <w:tab/>
      </w:r>
      <w:r>
        <w:fldChar w:fldCharType="begin"/>
      </w:r>
      <w:r>
        <w:instrText xml:space="preserve"> PAGEREF _Toc192041212 \h </w:instrText>
      </w:r>
      <w:r>
        <w:fldChar w:fldCharType="separate"/>
      </w:r>
      <w:r>
        <w:t>148</w:t>
      </w:r>
      <w:r>
        <w:fldChar w:fldCharType="end"/>
      </w:r>
    </w:p>
    <w:p>
      <w:pPr>
        <w:pStyle w:val="TOC2"/>
        <w:tabs>
          <w:tab w:val="right" w:leader="dot" w:pos="7086"/>
        </w:tabs>
        <w:rPr>
          <w:b w:val="0"/>
          <w:sz w:val="24"/>
          <w:szCs w:val="24"/>
        </w:rPr>
      </w:pPr>
      <w:r>
        <w:rPr>
          <w:spacing w:val="-4"/>
          <w:szCs w:val="30"/>
        </w:rPr>
        <w:t>Part 8 — Ministerial safety and health powers</w:t>
      </w:r>
    </w:p>
    <w:p>
      <w:pPr>
        <w:pStyle w:val="TOC8"/>
        <w:rPr>
          <w:sz w:val="24"/>
          <w:szCs w:val="24"/>
        </w:rPr>
      </w:pPr>
      <w:r>
        <w:rPr>
          <w:szCs w:val="24"/>
        </w:rPr>
        <w:t>91</w:t>
      </w:r>
      <w:r>
        <w:rPr>
          <w:snapToGrid w:val="0"/>
          <w:szCs w:val="24"/>
        </w:rPr>
        <w:t>.</w:t>
      </w:r>
      <w:r>
        <w:rPr>
          <w:snapToGrid w:val="0"/>
          <w:szCs w:val="24"/>
        </w:rPr>
        <w:tab/>
        <w:t>Minister may publish report</w:t>
      </w:r>
      <w:r>
        <w:tab/>
      </w:r>
      <w:r>
        <w:fldChar w:fldCharType="begin"/>
      </w:r>
      <w:r>
        <w:instrText xml:space="preserve"> PAGEREF _Toc192041214 \h </w:instrText>
      </w:r>
      <w:r>
        <w:fldChar w:fldCharType="separate"/>
      </w:r>
      <w:r>
        <w:t>150</w:t>
      </w:r>
      <w:r>
        <w:fldChar w:fldCharType="end"/>
      </w:r>
    </w:p>
    <w:p>
      <w:pPr>
        <w:pStyle w:val="TOC8"/>
        <w:rPr>
          <w:sz w:val="24"/>
          <w:szCs w:val="24"/>
        </w:rPr>
      </w:pPr>
      <w:r>
        <w:rPr>
          <w:szCs w:val="24"/>
        </w:rPr>
        <w:t>92</w:t>
      </w:r>
      <w:r>
        <w:rPr>
          <w:snapToGrid w:val="0"/>
          <w:szCs w:val="24"/>
        </w:rPr>
        <w:t>.</w:t>
      </w:r>
      <w:r>
        <w:rPr>
          <w:snapToGrid w:val="0"/>
          <w:szCs w:val="24"/>
        </w:rPr>
        <w:tab/>
        <w:t>Delegation of ministerial functions</w:t>
      </w:r>
      <w:r>
        <w:tab/>
      </w:r>
      <w:r>
        <w:fldChar w:fldCharType="begin"/>
      </w:r>
      <w:r>
        <w:instrText xml:space="preserve"> PAGEREF _Toc192041215 \h </w:instrText>
      </w:r>
      <w:r>
        <w:fldChar w:fldCharType="separate"/>
      </w:r>
      <w:r>
        <w:t>150</w:t>
      </w:r>
      <w:r>
        <w:fldChar w:fldCharType="end"/>
      </w:r>
    </w:p>
    <w:p>
      <w:pPr>
        <w:pStyle w:val="TOC8"/>
        <w:rPr>
          <w:sz w:val="24"/>
          <w:szCs w:val="24"/>
        </w:rPr>
      </w:pPr>
      <w:r>
        <w:rPr>
          <w:szCs w:val="24"/>
        </w:rPr>
        <w:t>93</w:t>
      </w:r>
      <w:r>
        <w:rPr>
          <w:snapToGrid w:val="0"/>
          <w:szCs w:val="24"/>
        </w:rPr>
        <w:t>.</w:t>
      </w:r>
      <w:r>
        <w:rPr>
          <w:snapToGrid w:val="0"/>
          <w:szCs w:val="24"/>
        </w:rPr>
        <w:tab/>
        <w:t>Codes of practice</w:t>
      </w:r>
      <w:r>
        <w:tab/>
      </w:r>
      <w:r>
        <w:fldChar w:fldCharType="begin"/>
      </w:r>
      <w:r>
        <w:instrText xml:space="preserve"> PAGEREF _Toc192041216 \h </w:instrText>
      </w:r>
      <w:r>
        <w:fldChar w:fldCharType="separate"/>
      </w:r>
      <w:r>
        <w:t>150</w:t>
      </w:r>
      <w:r>
        <w:fldChar w:fldCharType="end"/>
      </w:r>
    </w:p>
    <w:p>
      <w:pPr>
        <w:pStyle w:val="TOC2"/>
        <w:tabs>
          <w:tab w:val="right" w:leader="dot" w:pos="7086"/>
        </w:tabs>
        <w:rPr>
          <w:b w:val="0"/>
          <w:sz w:val="24"/>
          <w:szCs w:val="24"/>
        </w:rPr>
      </w:pPr>
      <w:r>
        <w:rPr>
          <w:spacing w:val="-4"/>
          <w:szCs w:val="30"/>
        </w:rPr>
        <w:t>Part 9</w:t>
      </w:r>
      <w:r>
        <w:rPr>
          <w:szCs w:val="30"/>
        </w:rPr>
        <w:t> </w:t>
      </w:r>
      <w:r>
        <w:rPr>
          <w:spacing w:val="-4"/>
          <w:szCs w:val="30"/>
        </w:rPr>
        <w:t>—</w:t>
      </w:r>
      <w:r>
        <w:rPr>
          <w:szCs w:val="30"/>
        </w:rPr>
        <w:t> </w:t>
      </w:r>
      <w:r>
        <w:rPr>
          <w:spacing w:val="-4"/>
          <w:szCs w:val="30"/>
        </w:rPr>
        <w:t>Offences, penalties and legal proceedings</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94.</w:t>
      </w:r>
      <w:r>
        <w:rPr>
          <w:szCs w:val="24"/>
        </w:rPr>
        <w:tab/>
        <w:t>General penalty</w:t>
      </w:r>
      <w:r>
        <w:tab/>
      </w:r>
      <w:r>
        <w:fldChar w:fldCharType="begin"/>
      </w:r>
      <w:r>
        <w:instrText xml:space="preserve"> PAGEREF _Toc192041219 \h </w:instrText>
      </w:r>
      <w:r>
        <w:fldChar w:fldCharType="separate"/>
      </w:r>
      <w:r>
        <w:t>152</w:t>
      </w:r>
      <w:r>
        <w:fldChar w:fldCharType="end"/>
      </w:r>
    </w:p>
    <w:p>
      <w:pPr>
        <w:pStyle w:val="TOC8"/>
        <w:rPr>
          <w:sz w:val="24"/>
          <w:szCs w:val="24"/>
        </w:rPr>
      </w:pPr>
      <w:r>
        <w:rPr>
          <w:szCs w:val="24"/>
        </w:rPr>
        <w:t>95</w:t>
      </w:r>
      <w:r>
        <w:rPr>
          <w:snapToGrid w:val="0"/>
          <w:szCs w:val="24"/>
        </w:rPr>
        <w:t>.</w:t>
      </w:r>
      <w:r>
        <w:rPr>
          <w:snapToGrid w:val="0"/>
          <w:szCs w:val="24"/>
        </w:rPr>
        <w:tab/>
        <w:t>Continuing offences</w:t>
      </w:r>
      <w:r>
        <w:tab/>
      </w:r>
      <w:r>
        <w:fldChar w:fldCharType="begin"/>
      </w:r>
      <w:r>
        <w:instrText xml:space="preserve"> PAGEREF _Toc192041220 \h </w:instrText>
      </w:r>
      <w:r>
        <w:fldChar w:fldCharType="separate"/>
      </w:r>
      <w:r>
        <w:t>152</w:t>
      </w:r>
      <w:r>
        <w:fldChar w:fldCharType="end"/>
      </w:r>
    </w:p>
    <w:p>
      <w:pPr>
        <w:pStyle w:val="TOC8"/>
        <w:rPr>
          <w:sz w:val="24"/>
          <w:szCs w:val="24"/>
        </w:rPr>
      </w:pPr>
      <w:r>
        <w:rPr>
          <w:szCs w:val="24"/>
        </w:rPr>
        <w:t>96</w:t>
      </w:r>
      <w:r>
        <w:rPr>
          <w:snapToGrid w:val="0"/>
          <w:szCs w:val="24"/>
        </w:rPr>
        <w:t>.</w:t>
      </w:r>
      <w:r>
        <w:rPr>
          <w:snapToGrid w:val="0"/>
          <w:szCs w:val="24"/>
        </w:rPr>
        <w:tab/>
        <w:t>Proceedings to be taken by inspector or authorised officer</w:t>
      </w:r>
      <w:r>
        <w:tab/>
      </w:r>
      <w:r>
        <w:fldChar w:fldCharType="begin"/>
      </w:r>
      <w:r>
        <w:instrText xml:space="preserve"> PAGEREF _Toc192041221 \h </w:instrText>
      </w:r>
      <w:r>
        <w:fldChar w:fldCharType="separate"/>
      </w:r>
      <w:r>
        <w:t>153</w:t>
      </w:r>
      <w:r>
        <w:fldChar w:fldCharType="end"/>
      </w:r>
    </w:p>
    <w:p>
      <w:pPr>
        <w:pStyle w:val="TOC8"/>
        <w:rPr>
          <w:sz w:val="24"/>
          <w:szCs w:val="24"/>
        </w:rPr>
      </w:pPr>
      <w:r>
        <w:rPr>
          <w:szCs w:val="24"/>
        </w:rPr>
        <w:t>96A</w:t>
      </w:r>
      <w:r>
        <w:rPr>
          <w:snapToGrid w:val="0"/>
          <w:szCs w:val="24"/>
        </w:rPr>
        <w:t xml:space="preserve">. </w:t>
      </w:r>
      <w:r>
        <w:rPr>
          <w:snapToGrid w:val="0"/>
          <w:szCs w:val="24"/>
        </w:rPr>
        <w:tab/>
        <w:t>Proceedings to be determined by safety and health magistrate</w:t>
      </w:r>
      <w:r>
        <w:tab/>
      </w:r>
      <w:r>
        <w:fldChar w:fldCharType="begin"/>
      </w:r>
      <w:r>
        <w:instrText xml:space="preserve"> PAGEREF _Toc192041222 \h </w:instrText>
      </w:r>
      <w:r>
        <w:fldChar w:fldCharType="separate"/>
      </w:r>
      <w:r>
        <w:t>153</w:t>
      </w:r>
      <w:r>
        <w:fldChar w:fldCharType="end"/>
      </w:r>
    </w:p>
    <w:p>
      <w:pPr>
        <w:pStyle w:val="TOC8"/>
        <w:rPr>
          <w:sz w:val="24"/>
          <w:szCs w:val="24"/>
        </w:rPr>
      </w:pPr>
      <w:r>
        <w:rPr>
          <w:szCs w:val="24"/>
        </w:rPr>
        <w:t>97.</w:t>
      </w:r>
      <w:r>
        <w:rPr>
          <w:szCs w:val="24"/>
        </w:rPr>
        <w:tab/>
        <w:t>Time limit for prosecutions</w:t>
      </w:r>
      <w:r>
        <w:tab/>
      </w:r>
      <w:r>
        <w:fldChar w:fldCharType="begin"/>
      </w:r>
      <w:r>
        <w:instrText xml:space="preserve"> PAGEREF _Toc192041223 \h </w:instrText>
      </w:r>
      <w:r>
        <w:fldChar w:fldCharType="separate"/>
      </w:r>
      <w:r>
        <w:t>153</w:t>
      </w:r>
      <w:r>
        <w:fldChar w:fldCharType="end"/>
      </w:r>
    </w:p>
    <w:p>
      <w:pPr>
        <w:pStyle w:val="TOC8"/>
        <w:rPr>
          <w:sz w:val="24"/>
          <w:szCs w:val="24"/>
        </w:rPr>
      </w:pPr>
      <w:r>
        <w:rPr>
          <w:szCs w:val="24"/>
        </w:rPr>
        <w:t>98</w:t>
      </w:r>
      <w:r>
        <w:rPr>
          <w:snapToGrid w:val="0"/>
          <w:szCs w:val="24"/>
        </w:rPr>
        <w:t>.</w:t>
      </w:r>
      <w:r>
        <w:rPr>
          <w:snapToGrid w:val="0"/>
          <w:szCs w:val="24"/>
        </w:rPr>
        <w:tab/>
        <w:t>Evidentiary provisions</w:t>
      </w:r>
      <w:r>
        <w:tab/>
      </w:r>
      <w:r>
        <w:fldChar w:fldCharType="begin"/>
      </w:r>
      <w:r>
        <w:instrText xml:space="preserve"> PAGEREF _Toc192041224 \h </w:instrText>
      </w:r>
      <w:r>
        <w:fldChar w:fldCharType="separate"/>
      </w:r>
      <w:r>
        <w:t>153</w:t>
      </w:r>
      <w:r>
        <w:fldChar w:fldCharType="end"/>
      </w:r>
    </w:p>
    <w:p>
      <w:pPr>
        <w:pStyle w:val="TOC8"/>
        <w:rPr>
          <w:sz w:val="24"/>
          <w:szCs w:val="24"/>
        </w:rPr>
      </w:pPr>
      <w:r>
        <w:rPr>
          <w:szCs w:val="24"/>
        </w:rPr>
        <w:t>99</w:t>
      </w:r>
      <w:r>
        <w:rPr>
          <w:snapToGrid w:val="0"/>
          <w:szCs w:val="24"/>
        </w:rPr>
        <w:t>.</w:t>
      </w:r>
      <w:r>
        <w:rPr>
          <w:snapToGrid w:val="0"/>
          <w:szCs w:val="24"/>
        </w:rPr>
        <w:tab/>
        <w:t>Vicarious responsibility of employers, managers, and supervisors</w:t>
      </w:r>
      <w:r>
        <w:tab/>
      </w:r>
      <w:r>
        <w:fldChar w:fldCharType="begin"/>
      </w:r>
      <w:r>
        <w:instrText xml:space="preserve"> PAGEREF _Toc192041225 \h </w:instrText>
      </w:r>
      <w:r>
        <w:fldChar w:fldCharType="separate"/>
      </w:r>
      <w:r>
        <w:t>155</w:t>
      </w:r>
      <w:r>
        <w:fldChar w:fldCharType="end"/>
      </w:r>
    </w:p>
    <w:p>
      <w:pPr>
        <w:pStyle w:val="TOC8"/>
        <w:rPr>
          <w:sz w:val="24"/>
          <w:szCs w:val="24"/>
        </w:rPr>
      </w:pPr>
      <w:r>
        <w:rPr>
          <w:szCs w:val="24"/>
        </w:rPr>
        <w:t>99A.</w:t>
      </w:r>
      <w:r>
        <w:rPr>
          <w:szCs w:val="24"/>
        </w:rPr>
        <w:tab/>
        <w:t>Vicarious responsibility for offences involving gross negligence</w:t>
      </w:r>
      <w:r>
        <w:tab/>
      </w:r>
      <w:r>
        <w:fldChar w:fldCharType="begin"/>
      </w:r>
      <w:r>
        <w:instrText xml:space="preserve"> PAGEREF _Toc192041226 \h </w:instrText>
      </w:r>
      <w:r>
        <w:fldChar w:fldCharType="separate"/>
      </w:r>
      <w:r>
        <w:t>156</w:t>
      </w:r>
      <w:r>
        <w:fldChar w:fldCharType="end"/>
      </w:r>
    </w:p>
    <w:p>
      <w:pPr>
        <w:pStyle w:val="TOC8"/>
        <w:rPr>
          <w:sz w:val="24"/>
          <w:szCs w:val="24"/>
        </w:rPr>
      </w:pPr>
      <w:r>
        <w:rPr>
          <w:szCs w:val="24"/>
        </w:rPr>
        <w:t>100</w:t>
      </w:r>
      <w:r>
        <w:rPr>
          <w:snapToGrid w:val="0"/>
          <w:szCs w:val="24"/>
        </w:rPr>
        <w:t>.</w:t>
      </w:r>
      <w:r>
        <w:rPr>
          <w:snapToGrid w:val="0"/>
          <w:szCs w:val="24"/>
        </w:rPr>
        <w:tab/>
        <w:t>Offences by corporations</w:t>
      </w:r>
      <w:r>
        <w:tab/>
      </w:r>
      <w:r>
        <w:fldChar w:fldCharType="begin"/>
      </w:r>
      <w:r>
        <w:instrText xml:space="preserve"> PAGEREF _Toc192041227 \h </w:instrText>
      </w:r>
      <w:r>
        <w:fldChar w:fldCharType="separate"/>
      </w:r>
      <w:r>
        <w:t>157</w:t>
      </w:r>
      <w:r>
        <w:fldChar w:fldCharType="end"/>
      </w:r>
    </w:p>
    <w:p>
      <w:pPr>
        <w:pStyle w:val="TOC8"/>
        <w:rPr>
          <w:sz w:val="24"/>
          <w:szCs w:val="24"/>
        </w:rPr>
      </w:pPr>
      <w:r>
        <w:rPr>
          <w:szCs w:val="24"/>
        </w:rPr>
        <w:t>100A.</w:t>
      </w:r>
      <w:r>
        <w:rPr>
          <w:szCs w:val="24"/>
        </w:rPr>
        <w:tab/>
        <w:t>Responsibility of officers of corporation for offences involving gross negligence</w:t>
      </w:r>
      <w:r>
        <w:tab/>
      </w:r>
      <w:r>
        <w:fldChar w:fldCharType="begin"/>
      </w:r>
      <w:r>
        <w:instrText xml:space="preserve"> PAGEREF _Toc192041228 \h </w:instrText>
      </w:r>
      <w:r>
        <w:fldChar w:fldCharType="separate"/>
      </w:r>
      <w:r>
        <w:t>157</w:t>
      </w:r>
      <w:r>
        <w:fldChar w:fldCharType="end"/>
      </w:r>
    </w:p>
    <w:p>
      <w:pPr>
        <w:pStyle w:val="TOC8"/>
        <w:rPr>
          <w:sz w:val="24"/>
          <w:szCs w:val="24"/>
        </w:rPr>
      </w:pPr>
      <w:r>
        <w:rPr>
          <w:szCs w:val="24"/>
        </w:rPr>
        <w:t>101</w:t>
      </w:r>
      <w:r>
        <w:rPr>
          <w:snapToGrid w:val="0"/>
          <w:szCs w:val="24"/>
        </w:rPr>
        <w:t>.</w:t>
      </w:r>
      <w:r>
        <w:rPr>
          <w:snapToGrid w:val="0"/>
          <w:szCs w:val="24"/>
        </w:rPr>
        <w:tab/>
        <w:t>False or misleading information</w:t>
      </w:r>
      <w:r>
        <w:tab/>
      </w:r>
      <w:r>
        <w:fldChar w:fldCharType="begin"/>
      </w:r>
      <w:r>
        <w:instrText xml:space="preserve"> PAGEREF _Toc192041229 \h </w:instrText>
      </w:r>
      <w:r>
        <w:fldChar w:fldCharType="separate"/>
      </w:r>
      <w:r>
        <w:t>159</w:t>
      </w:r>
      <w:r>
        <w:fldChar w:fldCharType="end"/>
      </w:r>
    </w:p>
    <w:p>
      <w:pPr>
        <w:pStyle w:val="TOC8"/>
        <w:rPr>
          <w:sz w:val="24"/>
          <w:szCs w:val="24"/>
        </w:rPr>
      </w:pPr>
      <w:r>
        <w:rPr>
          <w:szCs w:val="24"/>
        </w:rPr>
        <w:t>101A.</w:t>
      </w:r>
      <w:r>
        <w:rPr>
          <w:szCs w:val="24"/>
        </w:rPr>
        <w:tab/>
        <w:t>No double jeopardy</w:t>
      </w:r>
      <w:r>
        <w:tab/>
      </w:r>
      <w:r>
        <w:fldChar w:fldCharType="begin"/>
      </w:r>
      <w:r>
        <w:instrText xml:space="preserve"> PAGEREF _Toc192041230 \h </w:instrText>
      </w:r>
      <w:r>
        <w:fldChar w:fldCharType="separate"/>
      </w:r>
      <w:r>
        <w:t>159</w:t>
      </w:r>
      <w:r>
        <w:fldChar w:fldCharType="end"/>
      </w:r>
    </w:p>
    <w:p>
      <w:pPr>
        <w:pStyle w:val="TOC4"/>
        <w:tabs>
          <w:tab w:val="right" w:leader="dot" w:pos="7086"/>
        </w:tabs>
        <w:rPr>
          <w:b w:val="0"/>
          <w:sz w:val="24"/>
          <w:szCs w:val="24"/>
        </w:rPr>
      </w:pPr>
      <w:r>
        <w:rPr>
          <w:szCs w:val="26"/>
        </w:rPr>
        <w:t>Division 2 — Undertaking by offender in lieu of payment of fine</w:t>
      </w:r>
    </w:p>
    <w:p>
      <w:pPr>
        <w:pStyle w:val="TOC8"/>
        <w:rPr>
          <w:sz w:val="24"/>
          <w:szCs w:val="24"/>
        </w:rPr>
      </w:pPr>
      <w:r>
        <w:rPr>
          <w:szCs w:val="24"/>
        </w:rPr>
        <w:t>101B.</w:t>
      </w:r>
      <w:r>
        <w:rPr>
          <w:szCs w:val="24"/>
        </w:rPr>
        <w:tab/>
        <w:t>Terms used in this Division</w:t>
      </w:r>
      <w:r>
        <w:tab/>
      </w:r>
      <w:r>
        <w:fldChar w:fldCharType="begin"/>
      </w:r>
      <w:r>
        <w:instrText xml:space="preserve"> PAGEREF _Toc192041232 \h </w:instrText>
      </w:r>
      <w:r>
        <w:fldChar w:fldCharType="separate"/>
      </w:r>
      <w:r>
        <w:t>159</w:t>
      </w:r>
      <w:r>
        <w:fldChar w:fldCharType="end"/>
      </w:r>
    </w:p>
    <w:p>
      <w:pPr>
        <w:pStyle w:val="TOC8"/>
        <w:rPr>
          <w:sz w:val="24"/>
          <w:szCs w:val="24"/>
        </w:rPr>
      </w:pPr>
      <w:r>
        <w:rPr>
          <w:szCs w:val="24"/>
        </w:rPr>
        <w:t>101C.</w:t>
      </w:r>
      <w:r>
        <w:rPr>
          <w:szCs w:val="24"/>
        </w:rPr>
        <w:tab/>
        <w:t>Court may allow offender to make election</w:t>
      </w:r>
      <w:r>
        <w:tab/>
      </w:r>
      <w:r>
        <w:fldChar w:fldCharType="begin"/>
      </w:r>
      <w:r>
        <w:instrText xml:space="preserve"> PAGEREF _Toc192041233 \h </w:instrText>
      </w:r>
      <w:r>
        <w:fldChar w:fldCharType="separate"/>
      </w:r>
      <w:r>
        <w:t>160</w:t>
      </w:r>
      <w:r>
        <w:fldChar w:fldCharType="end"/>
      </w:r>
    </w:p>
    <w:p>
      <w:pPr>
        <w:pStyle w:val="TOC8"/>
        <w:rPr>
          <w:sz w:val="24"/>
          <w:szCs w:val="24"/>
        </w:rPr>
      </w:pPr>
      <w:r>
        <w:rPr>
          <w:szCs w:val="24"/>
        </w:rPr>
        <w:t>101D.</w:t>
      </w:r>
      <w:r>
        <w:rPr>
          <w:szCs w:val="24"/>
        </w:rPr>
        <w:tab/>
        <w:t>Making of election</w:t>
      </w:r>
      <w:r>
        <w:tab/>
      </w:r>
      <w:r>
        <w:fldChar w:fldCharType="begin"/>
      </w:r>
      <w:r>
        <w:instrText xml:space="preserve"> PAGEREF _Toc192041234 \h </w:instrText>
      </w:r>
      <w:r>
        <w:fldChar w:fldCharType="separate"/>
      </w:r>
      <w:r>
        <w:t>161</w:t>
      </w:r>
      <w:r>
        <w:fldChar w:fldCharType="end"/>
      </w:r>
    </w:p>
    <w:p>
      <w:pPr>
        <w:pStyle w:val="TOC8"/>
        <w:rPr>
          <w:sz w:val="24"/>
          <w:szCs w:val="24"/>
        </w:rPr>
      </w:pPr>
      <w:r>
        <w:rPr>
          <w:szCs w:val="24"/>
        </w:rPr>
        <w:t>101E.</w:t>
      </w:r>
      <w:r>
        <w:rPr>
          <w:szCs w:val="24"/>
        </w:rPr>
        <w:tab/>
        <w:t>Failure to enter into undertaking</w:t>
      </w:r>
      <w:r>
        <w:tab/>
      </w:r>
      <w:r>
        <w:fldChar w:fldCharType="begin"/>
      </w:r>
      <w:r>
        <w:instrText xml:space="preserve"> PAGEREF _Toc192041235 \h </w:instrText>
      </w:r>
      <w:r>
        <w:fldChar w:fldCharType="separate"/>
      </w:r>
      <w:r>
        <w:t>161</w:t>
      </w:r>
      <w:r>
        <w:fldChar w:fldCharType="end"/>
      </w:r>
    </w:p>
    <w:p>
      <w:pPr>
        <w:pStyle w:val="TOC8"/>
        <w:rPr>
          <w:sz w:val="24"/>
          <w:szCs w:val="24"/>
        </w:rPr>
      </w:pPr>
      <w:r>
        <w:rPr>
          <w:szCs w:val="24"/>
        </w:rPr>
        <w:t>101F.</w:t>
      </w:r>
      <w:r>
        <w:rPr>
          <w:szCs w:val="24"/>
        </w:rPr>
        <w:tab/>
        <w:t>Time for payment of fines</w:t>
      </w:r>
      <w:r>
        <w:tab/>
      </w:r>
      <w:r>
        <w:fldChar w:fldCharType="begin"/>
      </w:r>
      <w:r>
        <w:instrText xml:space="preserve"> PAGEREF _Toc192041236 \h </w:instrText>
      </w:r>
      <w:r>
        <w:fldChar w:fldCharType="separate"/>
      </w:r>
      <w:r>
        <w:t>162</w:t>
      </w:r>
      <w:r>
        <w:fldChar w:fldCharType="end"/>
      </w:r>
    </w:p>
    <w:p>
      <w:pPr>
        <w:pStyle w:val="TOC8"/>
        <w:rPr>
          <w:sz w:val="24"/>
          <w:szCs w:val="24"/>
        </w:rPr>
      </w:pPr>
      <w:r>
        <w:rPr>
          <w:szCs w:val="24"/>
        </w:rPr>
        <w:t>101G.</w:t>
      </w:r>
      <w:r>
        <w:rPr>
          <w:szCs w:val="24"/>
        </w:rPr>
        <w:tab/>
        <w:t>Nature and terms of undertaking</w:t>
      </w:r>
      <w:r>
        <w:tab/>
      </w:r>
      <w:r>
        <w:fldChar w:fldCharType="begin"/>
      </w:r>
      <w:r>
        <w:instrText xml:space="preserve"> PAGEREF _Toc192041237 \h </w:instrText>
      </w:r>
      <w:r>
        <w:fldChar w:fldCharType="separate"/>
      </w:r>
      <w:r>
        <w:t>162</w:t>
      </w:r>
      <w:r>
        <w:fldChar w:fldCharType="end"/>
      </w:r>
    </w:p>
    <w:p>
      <w:pPr>
        <w:pStyle w:val="TOC8"/>
        <w:rPr>
          <w:sz w:val="24"/>
          <w:szCs w:val="24"/>
        </w:rPr>
      </w:pPr>
      <w:r>
        <w:rPr>
          <w:szCs w:val="24"/>
        </w:rPr>
        <w:t>101H.</w:t>
      </w:r>
      <w:r>
        <w:rPr>
          <w:szCs w:val="24"/>
        </w:rPr>
        <w:tab/>
        <w:t>What may be included in undertaking</w:t>
      </w:r>
      <w:r>
        <w:tab/>
      </w:r>
      <w:r>
        <w:fldChar w:fldCharType="begin"/>
      </w:r>
      <w:r>
        <w:instrText xml:space="preserve"> PAGEREF _Toc192041238 \h </w:instrText>
      </w:r>
      <w:r>
        <w:fldChar w:fldCharType="separate"/>
      </w:r>
      <w:r>
        <w:t>163</w:t>
      </w:r>
      <w:r>
        <w:fldChar w:fldCharType="end"/>
      </w:r>
    </w:p>
    <w:p>
      <w:pPr>
        <w:pStyle w:val="TOC8"/>
        <w:rPr>
          <w:sz w:val="24"/>
          <w:szCs w:val="24"/>
        </w:rPr>
      </w:pPr>
      <w:r>
        <w:rPr>
          <w:szCs w:val="24"/>
        </w:rPr>
        <w:t>101I.</w:t>
      </w:r>
      <w:r>
        <w:rPr>
          <w:szCs w:val="24"/>
        </w:rPr>
        <w:tab/>
        <w:t>Effect of undertaking</w:t>
      </w:r>
      <w:r>
        <w:tab/>
      </w:r>
      <w:r>
        <w:fldChar w:fldCharType="begin"/>
      </w:r>
      <w:r>
        <w:instrText xml:space="preserve"> PAGEREF _Toc192041239 \h </w:instrText>
      </w:r>
      <w:r>
        <w:fldChar w:fldCharType="separate"/>
      </w:r>
      <w:r>
        <w:t>164</w:t>
      </w:r>
      <w:r>
        <w:fldChar w:fldCharType="end"/>
      </w:r>
    </w:p>
    <w:p>
      <w:pPr>
        <w:pStyle w:val="TOC8"/>
        <w:rPr>
          <w:sz w:val="24"/>
          <w:szCs w:val="24"/>
        </w:rPr>
      </w:pPr>
      <w:r>
        <w:rPr>
          <w:szCs w:val="24"/>
        </w:rPr>
        <w:t>101J.</w:t>
      </w:r>
      <w:r>
        <w:rPr>
          <w:szCs w:val="24"/>
        </w:rPr>
        <w:tab/>
        <w:t>Failure to comply with undertaking</w:t>
      </w:r>
      <w:r>
        <w:tab/>
      </w:r>
      <w:r>
        <w:fldChar w:fldCharType="begin"/>
      </w:r>
      <w:r>
        <w:instrText xml:space="preserve"> PAGEREF _Toc192041240 \h </w:instrText>
      </w:r>
      <w:r>
        <w:fldChar w:fldCharType="separate"/>
      </w:r>
      <w:r>
        <w:t>165</w:t>
      </w:r>
      <w:r>
        <w:fldChar w:fldCharType="end"/>
      </w:r>
    </w:p>
    <w:p>
      <w:pPr>
        <w:pStyle w:val="TOC8"/>
        <w:rPr>
          <w:sz w:val="24"/>
          <w:szCs w:val="24"/>
        </w:rPr>
      </w:pPr>
      <w:r>
        <w:rPr>
          <w:szCs w:val="24"/>
        </w:rPr>
        <w:t>101K.</w:t>
      </w:r>
      <w:r>
        <w:rPr>
          <w:szCs w:val="24"/>
        </w:rPr>
        <w:tab/>
        <w:t>Amendment of undertaking</w:t>
      </w:r>
      <w:r>
        <w:tab/>
      </w:r>
      <w:r>
        <w:fldChar w:fldCharType="begin"/>
      </w:r>
      <w:r>
        <w:instrText xml:space="preserve"> PAGEREF _Toc192041241 \h </w:instrText>
      </w:r>
      <w:r>
        <w:fldChar w:fldCharType="separate"/>
      </w:r>
      <w:r>
        <w:t>165</w:t>
      </w:r>
      <w:r>
        <w:fldChar w:fldCharType="end"/>
      </w:r>
    </w:p>
    <w:p>
      <w:pPr>
        <w:pStyle w:val="TOC8"/>
        <w:rPr>
          <w:sz w:val="24"/>
          <w:szCs w:val="24"/>
        </w:rPr>
      </w:pPr>
      <w:r>
        <w:rPr>
          <w:szCs w:val="24"/>
        </w:rPr>
        <w:t>101L.</w:t>
      </w:r>
      <w:r>
        <w:rPr>
          <w:szCs w:val="24"/>
        </w:rPr>
        <w:tab/>
        <w:t>Undertaking may be published</w:t>
      </w:r>
      <w:r>
        <w:tab/>
      </w:r>
      <w:r>
        <w:fldChar w:fldCharType="begin"/>
      </w:r>
      <w:r>
        <w:instrText xml:space="preserve"> PAGEREF _Toc192041242 \h </w:instrText>
      </w:r>
      <w:r>
        <w:fldChar w:fldCharType="separate"/>
      </w:r>
      <w:r>
        <w:t>165</w:t>
      </w:r>
      <w:r>
        <w:fldChar w:fldCharType="end"/>
      </w:r>
    </w:p>
    <w:p>
      <w:pPr>
        <w:pStyle w:val="TOC4"/>
        <w:tabs>
          <w:tab w:val="right" w:leader="dot" w:pos="7086"/>
        </w:tabs>
        <w:rPr>
          <w:b w:val="0"/>
          <w:sz w:val="24"/>
          <w:szCs w:val="24"/>
        </w:rPr>
      </w:pPr>
      <w:r>
        <w:rPr>
          <w:szCs w:val="26"/>
        </w:rPr>
        <w:t>Division 3 — Jurisdiction of Occupational Safety and Health Tribunal</w:t>
      </w:r>
    </w:p>
    <w:p>
      <w:pPr>
        <w:pStyle w:val="TOC8"/>
        <w:rPr>
          <w:sz w:val="24"/>
          <w:szCs w:val="24"/>
        </w:rPr>
      </w:pPr>
      <w:r>
        <w:rPr>
          <w:szCs w:val="24"/>
        </w:rPr>
        <w:t>102.</w:t>
      </w:r>
      <w:r>
        <w:rPr>
          <w:szCs w:val="24"/>
        </w:rPr>
        <w:tab/>
        <w:t>Determination of certain matters and appeals by Tribunal</w:t>
      </w:r>
      <w:r>
        <w:tab/>
      </w:r>
      <w:r>
        <w:fldChar w:fldCharType="begin"/>
      </w:r>
      <w:r>
        <w:instrText xml:space="preserve"> PAGEREF _Toc192041244 \h </w:instrText>
      </w:r>
      <w:r>
        <w:fldChar w:fldCharType="separate"/>
      </w:r>
      <w:r>
        <w:t>166</w:t>
      </w:r>
      <w:r>
        <w:fldChar w:fldCharType="end"/>
      </w:r>
    </w:p>
    <w:p>
      <w:pPr>
        <w:pStyle w:val="TOC2"/>
        <w:tabs>
          <w:tab w:val="right" w:leader="dot" w:pos="7086"/>
        </w:tabs>
        <w:rPr>
          <w:b w:val="0"/>
          <w:sz w:val="24"/>
          <w:szCs w:val="24"/>
        </w:rPr>
      </w:pPr>
      <w:r>
        <w:rPr>
          <w:szCs w:val="30"/>
        </w:rPr>
        <w:t>Part 10 — Final provisions</w:t>
      </w:r>
    </w:p>
    <w:p>
      <w:pPr>
        <w:pStyle w:val="TOC8"/>
        <w:rPr>
          <w:sz w:val="24"/>
          <w:szCs w:val="24"/>
        </w:rPr>
      </w:pPr>
      <w:r>
        <w:rPr>
          <w:szCs w:val="24"/>
        </w:rPr>
        <w:t>102A.</w:t>
      </w:r>
      <w:r>
        <w:rPr>
          <w:szCs w:val="24"/>
        </w:rPr>
        <w:tab/>
        <w:t>Visitors to comply with directions</w:t>
      </w:r>
      <w:r>
        <w:tab/>
      </w:r>
      <w:r>
        <w:fldChar w:fldCharType="begin"/>
      </w:r>
      <w:r>
        <w:instrText xml:space="preserve"> PAGEREF _Toc192041246 \h </w:instrText>
      </w:r>
      <w:r>
        <w:fldChar w:fldCharType="separate"/>
      </w:r>
      <w:r>
        <w:t>168</w:t>
      </w:r>
      <w:r>
        <w:fldChar w:fldCharType="end"/>
      </w:r>
    </w:p>
    <w:p>
      <w:pPr>
        <w:pStyle w:val="TOC8"/>
        <w:rPr>
          <w:sz w:val="24"/>
          <w:szCs w:val="24"/>
        </w:rPr>
      </w:pPr>
      <w:r>
        <w:rPr>
          <w:szCs w:val="24"/>
        </w:rPr>
        <w:t>103</w:t>
      </w:r>
      <w:r>
        <w:rPr>
          <w:snapToGrid w:val="0"/>
          <w:szCs w:val="24"/>
        </w:rPr>
        <w:t>.</w:t>
      </w:r>
      <w:r>
        <w:rPr>
          <w:snapToGrid w:val="0"/>
          <w:szCs w:val="24"/>
        </w:rPr>
        <w:tab/>
        <w:t>Exemption from personal liability</w:t>
      </w:r>
      <w:r>
        <w:tab/>
      </w:r>
      <w:r>
        <w:fldChar w:fldCharType="begin"/>
      </w:r>
      <w:r>
        <w:instrText xml:space="preserve"> PAGEREF _Toc192041247 \h </w:instrText>
      </w:r>
      <w:r>
        <w:fldChar w:fldCharType="separate"/>
      </w:r>
      <w:r>
        <w:t>169</w:t>
      </w:r>
      <w:r>
        <w:fldChar w:fldCharType="end"/>
      </w:r>
    </w:p>
    <w:p>
      <w:pPr>
        <w:pStyle w:val="TOC8"/>
        <w:rPr>
          <w:sz w:val="24"/>
          <w:szCs w:val="24"/>
        </w:rPr>
      </w:pPr>
      <w:r>
        <w:rPr>
          <w:szCs w:val="24"/>
        </w:rPr>
        <w:t>104</w:t>
      </w:r>
      <w:r>
        <w:rPr>
          <w:snapToGrid w:val="0"/>
          <w:szCs w:val="24"/>
        </w:rPr>
        <w:t>.</w:t>
      </w:r>
      <w:r>
        <w:rPr>
          <w:snapToGrid w:val="0"/>
          <w:szCs w:val="24"/>
        </w:rPr>
        <w:tab/>
        <w:t>Power to make regulations</w:t>
      </w:r>
      <w:r>
        <w:tab/>
      </w:r>
      <w:r>
        <w:fldChar w:fldCharType="begin"/>
      </w:r>
      <w:r>
        <w:instrText xml:space="preserve"> PAGEREF _Toc192041248 \h </w:instrText>
      </w:r>
      <w:r>
        <w:fldChar w:fldCharType="separate"/>
      </w:r>
      <w:r>
        <w:t>169</w:t>
      </w:r>
      <w:r>
        <w:fldChar w:fldCharType="end"/>
      </w:r>
    </w:p>
    <w:p>
      <w:pPr>
        <w:pStyle w:val="TOC8"/>
        <w:rPr>
          <w:sz w:val="24"/>
          <w:szCs w:val="24"/>
        </w:rPr>
      </w:pPr>
      <w:r>
        <w:rPr>
          <w:szCs w:val="24"/>
        </w:rPr>
        <w:t>105</w:t>
      </w:r>
      <w:r>
        <w:rPr>
          <w:snapToGrid w:val="0"/>
          <w:szCs w:val="24"/>
        </w:rPr>
        <w:t>.</w:t>
      </w:r>
      <w:r>
        <w:rPr>
          <w:snapToGrid w:val="0"/>
          <w:szCs w:val="24"/>
        </w:rPr>
        <w:tab/>
        <w:t>Publication of regulations at mine</w:t>
      </w:r>
      <w:r>
        <w:tab/>
      </w:r>
      <w:r>
        <w:fldChar w:fldCharType="begin"/>
      </w:r>
      <w:r>
        <w:instrText xml:space="preserve"> PAGEREF _Toc192041249 \h </w:instrText>
      </w:r>
      <w:r>
        <w:fldChar w:fldCharType="separate"/>
      </w:r>
      <w:r>
        <w:t>178</w:t>
      </w:r>
      <w:r>
        <w:fldChar w:fldCharType="end"/>
      </w:r>
    </w:p>
    <w:p>
      <w:pPr>
        <w:pStyle w:val="TOC8"/>
        <w:rPr>
          <w:sz w:val="24"/>
          <w:szCs w:val="24"/>
        </w:rPr>
      </w:pPr>
      <w:r>
        <w:rPr>
          <w:szCs w:val="24"/>
        </w:rPr>
        <w:t>106</w:t>
      </w:r>
      <w:r>
        <w:rPr>
          <w:snapToGrid w:val="0"/>
          <w:szCs w:val="24"/>
        </w:rPr>
        <w:t>.</w:t>
      </w:r>
      <w:r>
        <w:rPr>
          <w:snapToGrid w:val="0"/>
          <w:szCs w:val="24"/>
        </w:rPr>
        <w:tab/>
        <w:t>Application of regulations to self</w:t>
      </w:r>
      <w:r>
        <w:rPr>
          <w:snapToGrid w:val="0"/>
          <w:szCs w:val="24"/>
        </w:rPr>
        <w:noBreakHyphen/>
        <w:t>employed persons</w:t>
      </w:r>
      <w:r>
        <w:tab/>
      </w:r>
      <w:r>
        <w:fldChar w:fldCharType="begin"/>
      </w:r>
      <w:r>
        <w:instrText xml:space="preserve"> PAGEREF _Toc192041250 \h </w:instrText>
      </w:r>
      <w:r>
        <w:fldChar w:fldCharType="separate"/>
      </w:r>
      <w:r>
        <w:t>178</w:t>
      </w:r>
      <w:r>
        <w:fldChar w:fldCharType="end"/>
      </w:r>
    </w:p>
    <w:p>
      <w:pPr>
        <w:pStyle w:val="TOC8"/>
        <w:rPr>
          <w:sz w:val="24"/>
          <w:szCs w:val="24"/>
        </w:rPr>
      </w:pPr>
      <w:r>
        <w:rPr>
          <w:szCs w:val="24"/>
        </w:rPr>
        <w:t>107</w:t>
      </w:r>
      <w:r>
        <w:rPr>
          <w:snapToGrid w:val="0"/>
          <w:szCs w:val="24"/>
        </w:rPr>
        <w:t>.</w:t>
      </w:r>
      <w:r>
        <w:rPr>
          <w:snapToGrid w:val="0"/>
          <w:szCs w:val="24"/>
        </w:rPr>
        <w:tab/>
        <w:t>Repeals</w:t>
      </w:r>
      <w:r>
        <w:tab/>
      </w:r>
      <w:r>
        <w:fldChar w:fldCharType="begin"/>
      </w:r>
      <w:r>
        <w:instrText xml:space="preserve"> PAGEREF _Toc192041251 \h </w:instrText>
      </w:r>
      <w:r>
        <w:fldChar w:fldCharType="separate"/>
      </w:r>
      <w:r>
        <w:t>178</w:t>
      </w:r>
      <w:r>
        <w:fldChar w:fldCharType="end"/>
      </w:r>
    </w:p>
    <w:p>
      <w:pPr>
        <w:pStyle w:val="TOC8"/>
        <w:rPr>
          <w:sz w:val="24"/>
          <w:szCs w:val="24"/>
        </w:rPr>
      </w:pPr>
      <w:r>
        <w:rPr>
          <w:szCs w:val="24"/>
        </w:rPr>
        <w:t>108</w:t>
      </w:r>
      <w:r>
        <w:rPr>
          <w:snapToGrid w:val="0"/>
          <w:szCs w:val="24"/>
        </w:rPr>
        <w:t>.</w:t>
      </w:r>
      <w:r>
        <w:rPr>
          <w:snapToGrid w:val="0"/>
          <w:szCs w:val="24"/>
        </w:rPr>
        <w:tab/>
        <w:t>Savings and transitional</w:t>
      </w:r>
      <w:r>
        <w:tab/>
      </w:r>
      <w:r>
        <w:fldChar w:fldCharType="begin"/>
      </w:r>
      <w:r>
        <w:instrText xml:space="preserve"> PAGEREF _Toc192041252 \h </w:instrText>
      </w:r>
      <w:r>
        <w:fldChar w:fldCharType="separate"/>
      </w:r>
      <w:r>
        <w:t>179</w:t>
      </w:r>
      <w:r>
        <w:fldChar w:fldCharType="end"/>
      </w:r>
    </w:p>
    <w:p>
      <w:pPr>
        <w:pStyle w:val="TOC8"/>
        <w:rPr>
          <w:sz w:val="24"/>
          <w:szCs w:val="24"/>
        </w:rPr>
      </w:pPr>
      <w:r>
        <w:rPr>
          <w:szCs w:val="24"/>
        </w:rPr>
        <w:t>110</w:t>
      </w:r>
      <w:r>
        <w:rPr>
          <w:snapToGrid w:val="0"/>
          <w:szCs w:val="24"/>
        </w:rPr>
        <w:t>.</w:t>
      </w:r>
      <w:r>
        <w:rPr>
          <w:snapToGrid w:val="0"/>
          <w:szCs w:val="24"/>
        </w:rPr>
        <w:tab/>
        <w:t>Review of Act</w:t>
      </w:r>
      <w:r>
        <w:tab/>
      </w:r>
      <w:r>
        <w:fldChar w:fldCharType="begin"/>
      </w:r>
      <w:r>
        <w:instrText xml:space="preserve"> PAGEREF _Toc192041253 \h </w:instrText>
      </w:r>
      <w:r>
        <w:fldChar w:fldCharType="separate"/>
      </w:r>
      <w:r>
        <w:t>179</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Savings and transitional provisions</w:t>
      </w:r>
    </w:p>
    <w:p>
      <w:pPr>
        <w:pStyle w:val="TOC8"/>
        <w:rPr>
          <w:sz w:val="24"/>
          <w:szCs w:val="24"/>
        </w:rPr>
      </w:pPr>
      <w:r>
        <w:rPr>
          <w:szCs w:val="22"/>
        </w:rPr>
        <w:t>1</w:t>
      </w:r>
      <w:r>
        <w:rPr>
          <w:snapToGrid w:val="0"/>
          <w:szCs w:val="22"/>
        </w:rPr>
        <w:t>.</w:t>
      </w:r>
      <w:r>
        <w:rPr>
          <w:snapToGrid w:val="0"/>
          <w:szCs w:val="22"/>
        </w:rPr>
        <w:tab/>
        <w:t>Interpretation Act not restricted</w:t>
      </w:r>
      <w:r>
        <w:tab/>
      </w:r>
      <w:r>
        <w:fldChar w:fldCharType="begin"/>
      </w:r>
      <w:r>
        <w:instrText xml:space="preserve"> PAGEREF _Toc192041256 \h </w:instrText>
      </w:r>
      <w:r>
        <w:fldChar w:fldCharType="separate"/>
      </w:r>
      <w:r>
        <w:t>180</w:t>
      </w:r>
      <w:r>
        <w:fldChar w:fldCharType="end"/>
      </w:r>
    </w:p>
    <w:p>
      <w:pPr>
        <w:pStyle w:val="TOC8"/>
        <w:rPr>
          <w:sz w:val="24"/>
          <w:szCs w:val="24"/>
        </w:rPr>
      </w:pPr>
      <w:r>
        <w:rPr>
          <w:szCs w:val="22"/>
        </w:rPr>
        <w:t>2</w:t>
      </w:r>
      <w:r>
        <w:rPr>
          <w:snapToGrid w:val="0"/>
          <w:szCs w:val="22"/>
        </w:rPr>
        <w:t>.</w:t>
      </w:r>
      <w:r>
        <w:rPr>
          <w:snapToGrid w:val="0"/>
          <w:szCs w:val="22"/>
        </w:rPr>
        <w:tab/>
        <w:t>General transitional provision</w:t>
      </w:r>
      <w:r>
        <w:tab/>
      </w:r>
      <w:r>
        <w:fldChar w:fldCharType="begin"/>
      </w:r>
      <w:r>
        <w:instrText xml:space="preserve"> PAGEREF _Toc192041257 \h </w:instrText>
      </w:r>
      <w:r>
        <w:fldChar w:fldCharType="separate"/>
      </w:r>
      <w:r>
        <w:t>180</w:t>
      </w:r>
      <w:r>
        <w:fldChar w:fldCharType="end"/>
      </w:r>
    </w:p>
    <w:p>
      <w:pPr>
        <w:pStyle w:val="TOC8"/>
        <w:rPr>
          <w:sz w:val="24"/>
          <w:szCs w:val="24"/>
        </w:rPr>
      </w:pPr>
      <w:r>
        <w:rPr>
          <w:szCs w:val="22"/>
        </w:rPr>
        <w:t>3</w:t>
      </w:r>
      <w:r>
        <w:rPr>
          <w:snapToGrid w:val="0"/>
          <w:szCs w:val="22"/>
        </w:rPr>
        <w:t>.</w:t>
      </w:r>
      <w:r>
        <w:rPr>
          <w:snapToGrid w:val="0"/>
          <w:szCs w:val="22"/>
        </w:rPr>
        <w:tab/>
        <w:t>Act in substitution for repealed Acts</w:t>
      </w:r>
      <w:r>
        <w:tab/>
      </w:r>
      <w:r>
        <w:fldChar w:fldCharType="begin"/>
      </w:r>
      <w:r>
        <w:instrText xml:space="preserve"> PAGEREF _Toc192041258 \h </w:instrText>
      </w:r>
      <w:r>
        <w:fldChar w:fldCharType="separate"/>
      </w:r>
      <w:r>
        <w:t>180</w:t>
      </w:r>
      <w:r>
        <w:fldChar w:fldCharType="end"/>
      </w:r>
    </w:p>
    <w:p>
      <w:pPr>
        <w:pStyle w:val="TOC8"/>
        <w:rPr>
          <w:sz w:val="24"/>
          <w:szCs w:val="24"/>
        </w:rPr>
      </w:pPr>
      <w:r>
        <w:rPr>
          <w:szCs w:val="22"/>
        </w:rPr>
        <w:t>4</w:t>
      </w:r>
      <w:r>
        <w:rPr>
          <w:snapToGrid w:val="0"/>
          <w:szCs w:val="22"/>
        </w:rPr>
        <w:t>.</w:t>
      </w:r>
      <w:r>
        <w:rPr>
          <w:snapToGrid w:val="0"/>
          <w:szCs w:val="22"/>
        </w:rPr>
        <w:tab/>
        <w:t>Workmen’s inspectors</w:t>
      </w:r>
      <w:r>
        <w:tab/>
      </w:r>
      <w:r>
        <w:fldChar w:fldCharType="begin"/>
      </w:r>
      <w:r>
        <w:instrText xml:space="preserve"> PAGEREF _Toc192041259 \h </w:instrText>
      </w:r>
      <w:r>
        <w:fldChar w:fldCharType="separate"/>
      </w:r>
      <w:r>
        <w:t>180</w:t>
      </w:r>
      <w:r>
        <w:fldChar w:fldCharType="end"/>
      </w:r>
    </w:p>
    <w:p>
      <w:pPr>
        <w:pStyle w:val="TOC8"/>
        <w:rPr>
          <w:sz w:val="24"/>
          <w:szCs w:val="24"/>
        </w:rPr>
      </w:pPr>
      <w:r>
        <w:rPr>
          <w:szCs w:val="22"/>
        </w:rPr>
        <w:t>5</w:t>
      </w:r>
      <w:r>
        <w:rPr>
          <w:snapToGrid w:val="0"/>
          <w:szCs w:val="22"/>
        </w:rPr>
        <w:t>.</w:t>
      </w:r>
      <w:r>
        <w:rPr>
          <w:snapToGrid w:val="0"/>
          <w:szCs w:val="22"/>
        </w:rPr>
        <w:tab/>
        <w:t>Inspectors</w:t>
      </w:r>
      <w:r>
        <w:tab/>
      </w:r>
      <w:r>
        <w:fldChar w:fldCharType="begin"/>
      </w:r>
      <w:r>
        <w:instrText xml:space="preserve"> PAGEREF _Toc192041260 \h </w:instrText>
      </w:r>
      <w:r>
        <w:fldChar w:fldCharType="separate"/>
      </w:r>
      <w:r>
        <w:t>181</w:t>
      </w:r>
      <w:r>
        <w:fldChar w:fldCharType="end"/>
      </w:r>
    </w:p>
    <w:p>
      <w:pPr>
        <w:pStyle w:val="TOC8"/>
        <w:rPr>
          <w:sz w:val="24"/>
          <w:szCs w:val="24"/>
        </w:rPr>
      </w:pPr>
      <w:r>
        <w:rPr>
          <w:szCs w:val="22"/>
        </w:rPr>
        <w:t>6</w:t>
      </w:r>
      <w:r>
        <w:rPr>
          <w:snapToGrid w:val="0"/>
          <w:szCs w:val="22"/>
        </w:rPr>
        <w:t>.</w:t>
      </w:r>
      <w:r>
        <w:rPr>
          <w:snapToGrid w:val="0"/>
          <w:szCs w:val="22"/>
        </w:rPr>
        <w:tab/>
        <w:t>Board members</w:t>
      </w:r>
      <w:r>
        <w:tab/>
      </w:r>
      <w:r>
        <w:fldChar w:fldCharType="begin"/>
      </w:r>
      <w:r>
        <w:instrText xml:space="preserve"> PAGEREF _Toc192041261 \h </w:instrText>
      </w:r>
      <w:r>
        <w:fldChar w:fldCharType="separate"/>
      </w:r>
      <w:r>
        <w:t>181</w:t>
      </w:r>
      <w:r>
        <w:fldChar w:fldCharType="end"/>
      </w:r>
    </w:p>
    <w:p>
      <w:pPr>
        <w:pStyle w:val="TOC8"/>
        <w:rPr>
          <w:sz w:val="24"/>
          <w:szCs w:val="24"/>
        </w:rPr>
      </w:pPr>
      <w:r>
        <w:rPr>
          <w:szCs w:val="22"/>
        </w:rPr>
        <w:t>7</w:t>
      </w:r>
      <w:r>
        <w:rPr>
          <w:snapToGrid w:val="0"/>
          <w:szCs w:val="22"/>
        </w:rPr>
        <w:t>.</w:t>
      </w:r>
      <w:r>
        <w:rPr>
          <w:snapToGrid w:val="0"/>
          <w:szCs w:val="22"/>
        </w:rPr>
        <w:tab/>
        <w:t>Certificates of competency</w:t>
      </w:r>
      <w:r>
        <w:tab/>
      </w:r>
      <w:r>
        <w:fldChar w:fldCharType="begin"/>
      </w:r>
      <w:r>
        <w:instrText xml:space="preserve"> PAGEREF _Toc192041262 \h </w:instrText>
      </w:r>
      <w:r>
        <w:fldChar w:fldCharType="separate"/>
      </w:r>
      <w:r>
        <w:t>181</w:t>
      </w:r>
      <w:r>
        <w:fldChar w:fldCharType="end"/>
      </w:r>
    </w:p>
    <w:p>
      <w:pPr>
        <w:pStyle w:val="TOC8"/>
        <w:rPr>
          <w:sz w:val="24"/>
          <w:szCs w:val="24"/>
        </w:rPr>
      </w:pPr>
      <w:r>
        <w:rPr>
          <w:szCs w:val="22"/>
        </w:rPr>
        <w:t>8</w:t>
      </w:r>
      <w:r>
        <w:rPr>
          <w:snapToGrid w:val="0"/>
          <w:szCs w:val="22"/>
        </w:rPr>
        <w:t>.</w:t>
      </w:r>
      <w:r>
        <w:rPr>
          <w:snapToGrid w:val="0"/>
          <w:szCs w:val="22"/>
        </w:rPr>
        <w:tab/>
        <w:t>Exemptions</w:t>
      </w:r>
      <w:r>
        <w:tab/>
      </w:r>
      <w:r>
        <w:fldChar w:fldCharType="begin"/>
      </w:r>
      <w:r>
        <w:instrText xml:space="preserve"> PAGEREF _Toc192041263 \h </w:instrText>
      </w:r>
      <w:r>
        <w:fldChar w:fldCharType="separate"/>
      </w:r>
      <w:r>
        <w:t>182</w:t>
      </w:r>
      <w:r>
        <w:fldChar w:fldCharType="end"/>
      </w:r>
    </w:p>
    <w:p>
      <w:pPr>
        <w:pStyle w:val="TOC8"/>
        <w:rPr>
          <w:sz w:val="24"/>
          <w:szCs w:val="24"/>
        </w:rPr>
      </w:pPr>
      <w:r>
        <w:rPr>
          <w:szCs w:val="22"/>
        </w:rPr>
        <w:t>9</w:t>
      </w:r>
      <w:r>
        <w:rPr>
          <w:snapToGrid w:val="0"/>
          <w:szCs w:val="22"/>
        </w:rPr>
        <w:t>.</w:t>
      </w:r>
      <w:r>
        <w:rPr>
          <w:snapToGrid w:val="0"/>
          <w:szCs w:val="22"/>
        </w:rPr>
        <w:tab/>
        <w:t>Notification of principal employer</w:t>
      </w:r>
      <w:r>
        <w:tab/>
      </w:r>
      <w:r>
        <w:fldChar w:fldCharType="begin"/>
      </w:r>
      <w:r>
        <w:instrText xml:space="preserve"> PAGEREF _Toc192041264 \h </w:instrText>
      </w:r>
      <w:r>
        <w:fldChar w:fldCharType="separate"/>
      </w:r>
      <w:r>
        <w:t>182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_Toc192041266 \h </w:instrText>
      </w:r>
      <w:r>
        <w:fldChar w:fldCharType="separate"/>
      </w:r>
      <w:r>
        <w:t>184</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 xml:space="preserve">Mines Safety and Inspection Act 1994 </w:t>
      </w:r>
    </w:p>
    <w:p>
      <w:pPr>
        <w:pStyle w:val="LongTitle"/>
        <w:rPr>
          <w:snapToGrid w:val="0"/>
        </w:rPr>
      </w:pPr>
      <w:r>
        <w:rPr>
          <w:snapToGrid w:val="0"/>
        </w:rPr>
        <w:t xml:space="preserve">An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 </w:t>
      </w:r>
    </w:p>
    <w:p>
      <w:pPr>
        <w:pStyle w:val="Footnotelongtitle"/>
      </w:pPr>
      <w:r>
        <w:tab/>
        <w:t xml:space="preserve">[Long title amended by No. 30 of 1995 s. 52.] </w:t>
      </w:r>
    </w:p>
    <w:p>
      <w:pPr>
        <w:pStyle w:val="Heading2"/>
      </w:pPr>
      <w:bookmarkStart w:id="1" w:name="_Toc192041013"/>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192041014"/>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 xml:space="preserve"> </w:t>
      </w:r>
      <w:r>
        <w:rPr>
          <w:snapToGrid w:val="0"/>
          <w:vertAlign w:val="superscript"/>
        </w:rPr>
        <w:t>1</w:t>
      </w:r>
      <w:r>
        <w:rPr>
          <w:snapToGrid w:val="0"/>
        </w:rPr>
        <w:t>.</w:t>
      </w:r>
    </w:p>
    <w:p>
      <w:pPr>
        <w:pStyle w:val="Heading5"/>
        <w:rPr>
          <w:snapToGrid w:val="0"/>
        </w:rPr>
      </w:pPr>
      <w:bookmarkStart w:id="3" w:name="_Toc192041015"/>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4" w:name="_Toc192041016"/>
      <w:r>
        <w:rPr>
          <w:rStyle w:val="CharSectno"/>
        </w:rPr>
        <w:t>3</w:t>
      </w:r>
      <w:r>
        <w:rPr>
          <w:snapToGrid w:val="0"/>
        </w:rPr>
        <w:t>.</w:t>
      </w:r>
      <w:r>
        <w:rPr>
          <w:snapToGrid w:val="0"/>
        </w:rPr>
        <w:tab/>
        <w:t>Objects</w:t>
      </w:r>
      <w:bookmarkEnd w:id="4"/>
      <w:r>
        <w:rPr>
          <w:snapToGrid w:val="0"/>
        </w:rPr>
        <w:t xml:space="preserve"> </w:t>
      </w:r>
    </w:p>
    <w:p>
      <w:pPr>
        <w:pStyle w:val="Subsection"/>
        <w:rPr>
          <w:snapToGrid w:val="0"/>
        </w:rPr>
      </w:pPr>
      <w:r>
        <w:rPr>
          <w:snapToGrid w:val="0"/>
        </w:rPr>
        <w:tab/>
        <w:t>(1)</w:t>
      </w:r>
      <w:r>
        <w:rPr>
          <w:snapToGrid w:val="0"/>
        </w:rPr>
        <w:tab/>
        <w:t>The objects of this Act are — </w:t>
      </w:r>
    </w:p>
    <w:p>
      <w:pPr>
        <w:pStyle w:val="Indenta"/>
        <w:rPr>
          <w:snapToGrid w:val="0"/>
        </w:rPr>
      </w:pPr>
      <w:r>
        <w:rPr>
          <w:snapToGrid w:val="0"/>
        </w:rPr>
        <w:tab/>
        <w:t>(a)</w:t>
      </w:r>
      <w:r>
        <w:rPr>
          <w:snapToGrid w:val="0"/>
        </w:rPr>
        <w:tab/>
        <w:t>to promote, and secure the safety and health of persons engaged in mining operations; and</w:t>
      </w:r>
    </w:p>
    <w:p>
      <w:pPr>
        <w:pStyle w:val="Indenta"/>
        <w:rPr>
          <w:snapToGrid w:val="0"/>
        </w:rPr>
      </w:pPr>
      <w:r>
        <w:rPr>
          <w:snapToGrid w:val="0"/>
        </w:rPr>
        <w:tab/>
        <w:t>(b)</w:t>
      </w:r>
      <w:r>
        <w:rPr>
          <w:snapToGrid w:val="0"/>
        </w:rPr>
        <w:tab/>
        <w:t>to assist employers and employees to identify and reduce hazards relating to mines, mining operations, work systems and plant at mines; and</w:t>
      </w:r>
    </w:p>
    <w:p>
      <w:pPr>
        <w:pStyle w:val="Indenta"/>
        <w:rPr>
          <w:snapToGrid w:val="0"/>
        </w:rPr>
      </w:pPr>
      <w:r>
        <w:rPr>
          <w:snapToGrid w:val="0"/>
        </w:rPr>
        <w:tab/>
        <w:t>(c)</w:t>
      </w:r>
      <w:r>
        <w:rPr>
          <w:snapToGrid w:val="0"/>
        </w:rPr>
        <w:tab/>
        <w:t>to protect employees against the risks associated with mines, mining operations, work systems at mines, and plant and hazardous substances at mines by eliminating those risks, or imposing effective controls in order to minimize them; and</w:t>
      </w:r>
    </w:p>
    <w:p>
      <w:pPr>
        <w:pStyle w:val="Indenta"/>
        <w:rPr>
          <w:snapToGrid w:val="0"/>
        </w:rPr>
      </w:pPr>
      <w:r>
        <w:rPr>
          <w:snapToGrid w:val="0"/>
        </w:rPr>
        <w:tab/>
        <w:t>(d)</w:t>
      </w:r>
      <w:r>
        <w:rPr>
          <w:snapToGrid w:val="0"/>
        </w:rPr>
        <w:tab/>
        <w: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t>
      </w:r>
    </w:p>
    <w:p>
      <w:pPr>
        <w:pStyle w:val="Indenta"/>
        <w:rPr>
          <w:snapToGrid w:val="0"/>
        </w:rPr>
      </w:pPr>
      <w:r>
        <w:rPr>
          <w:snapToGrid w:val="0"/>
        </w:rPr>
        <w:tab/>
        <w:t>(e)</w:t>
      </w:r>
      <w:r>
        <w:rPr>
          <w:snapToGrid w:val="0"/>
        </w:rPr>
        <w:tab/>
        <w:t>to provide procedures for employers and employees to contribute to the development and formulation of safety legislation for mines and mining operations and to consult regarding its administration.</w:t>
      </w:r>
    </w:p>
    <w:p>
      <w:pPr>
        <w:pStyle w:val="Subsection"/>
        <w:keepNext/>
      </w:pPr>
      <w:r>
        <w:tab/>
        <w:t>(2)</w:t>
      </w:r>
      <w:r>
        <w:tab/>
        <w:t xml:space="preserve">In subsection (1) — </w:t>
      </w:r>
    </w:p>
    <w:p>
      <w:pPr>
        <w:pStyle w:val="Defstart"/>
      </w:pPr>
      <w:r>
        <w:rPr>
          <w:b/>
        </w:rPr>
        <w:tab/>
        <w:t>“</w:t>
      </w:r>
      <w:r>
        <w:rPr>
          <w:rStyle w:val="CharDefText"/>
        </w:rPr>
        <w:t>employer</w:t>
      </w:r>
      <w:r>
        <w:rPr>
          <w:b/>
        </w:rPr>
        <w:t>”</w:t>
      </w:r>
      <w:r>
        <w:t xml:space="preserve"> and </w:t>
      </w:r>
      <w:r>
        <w:rPr>
          <w:b/>
        </w:rPr>
        <w:t>“</w:t>
      </w:r>
      <w:r>
        <w:rPr>
          <w:rStyle w:val="CharDefText"/>
        </w:rPr>
        <w:t>employee</w:t>
      </w:r>
      <w:r>
        <w:rPr>
          <w:b/>
        </w:rPr>
        <w:t>”</w:t>
      </w:r>
      <w:r>
        <w:t xml:space="preserve"> </w:t>
      </w:r>
      <w:r>
        <w:rPr>
          <w:spacing w:val="-2"/>
        </w:rPr>
        <w:t>include a person taken to be an employer and an employee respectively by operation of section 15A, 15B or 15C</w:t>
      </w:r>
      <w:r>
        <w:rPr>
          <w:rFonts w:ascii="Times" w:hAnsi="Times"/>
          <w:spacing w:val="-2"/>
        </w:rPr>
        <w:t>.</w:t>
      </w:r>
    </w:p>
    <w:p>
      <w:pPr>
        <w:pStyle w:val="Footnotesection"/>
      </w:pPr>
      <w:r>
        <w:tab/>
        <w:t xml:space="preserve">[Section 3 amended by No. 30 of 1995 s. 76(2) and (4); No. 68 of 2004 s. 4.] </w:t>
      </w:r>
    </w:p>
    <w:p>
      <w:pPr>
        <w:pStyle w:val="Heading5"/>
        <w:rPr>
          <w:snapToGrid w:val="0"/>
        </w:rPr>
      </w:pPr>
      <w:bookmarkStart w:id="5" w:name="_Toc192041017"/>
      <w:r>
        <w:rPr>
          <w:rStyle w:val="CharSectno"/>
        </w:rPr>
        <w:t>4</w:t>
      </w:r>
      <w:r>
        <w:rPr>
          <w:snapToGrid w:val="0"/>
        </w:rPr>
        <w:t>.</w:t>
      </w:r>
      <w:r>
        <w:rPr>
          <w:snapToGrid w:val="0"/>
        </w:rPr>
        <w:tab/>
        <w:t>Interpretation</w:t>
      </w:r>
      <w:bookmarkEnd w:id="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adit</w:t>
      </w:r>
      <w:r>
        <w:rPr>
          <w:b/>
        </w:rPr>
        <w:t>”</w:t>
      </w:r>
      <w:r>
        <w:t xml:space="preserve"> has the same meaning as “tunnel”</w:t>
      </w:r>
      <w:r>
        <w:rPr>
          <w:bCs/>
        </w:rPr>
        <w:t>;</w:t>
      </w:r>
    </w:p>
    <w:p>
      <w:pPr>
        <w:pStyle w:val="Defstart"/>
      </w:pPr>
      <w:r>
        <w:rPr>
          <w:b/>
        </w:rPr>
        <w:tab/>
        <w:t>“</w:t>
      </w:r>
      <w:r>
        <w:rPr>
          <w:rStyle w:val="CharDefText"/>
        </w:rPr>
        <w:t>alternate registered manager</w:t>
      </w:r>
      <w:r>
        <w:rPr>
          <w:b/>
        </w:rPr>
        <w:t>”</w:t>
      </w:r>
      <w:r>
        <w:t xml:space="preserve"> means an alternate registered manager for a mine appointed by the principal employer under section 34;</w:t>
      </w:r>
    </w:p>
    <w:p>
      <w:pPr>
        <w:pStyle w:val="Defstart"/>
      </w:pPr>
      <w:r>
        <w:rPr>
          <w:b/>
        </w:rPr>
        <w:tab/>
        <w:t>“</w:t>
      </w:r>
      <w:r>
        <w:rPr>
          <w:rStyle w:val="CharDefText"/>
        </w:rPr>
        <w:t>apprentice</w:t>
      </w:r>
      <w:r>
        <w:rPr>
          <w:b/>
        </w:rPr>
        <w:t>”</w:t>
      </w:r>
      <w:r>
        <w:t xml:space="preserve"> — </w:t>
      </w:r>
    </w:p>
    <w:p>
      <w:pPr>
        <w:pStyle w:val="Defpara"/>
      </w:pPr>
      <w:r>
        <w:tab/>
        <w:t>(a)</w:t>
      </w:r>
      <w:r>
        <w:tab/>
        <w:t xml:space="preserve">means an apprentice under the </w:t>
      </w:r>
      <w:r>
        <w:rPr>
          <w:i/>
        </w:rPr>
        <w:t>Industrial Training Act 1975</w:t>
      </w:r>
      <w:r>
        <w:t>; or</w:t>
      </w:r>
    </w:p>
    <w:p>
      <w:pPr>
        <w:pStyle w:val="Defpara"/>
      </w:pPr>
      <w:r>
        <w:tab/>
        <w:t>(b)</w:t>
      </w:r>
      <w:r>
        <w:tab/>
        <w:t xml:space="preserve">if Part 7 of the </w:t>
      </w:r>
      <w:r>
        <w:rPr>
          <w:i/>
        </w:rPr>
        <w:t>Vocational Education and Training Act 1996</w:t>
      </w:r>
      <w:r>
        <w:t xml:space="preserve"> comes into operation, means a person who, as an employee, has entered into an apprenticeship within the meaning of that term in section 58 of that Act;</w:t>
      </w:r>
    </w:p>
    <w:p>
      <w:pPr>
        <w:pStyle w:val="Defstart"/>
      </w:pPr>
      <w:r>
        <w:rPr>
          <w:b/>
        </w:rPr>
        <w:tab/>
        <w:t>“</w:t>
      </w:r>
      <w:r>
        <w:rPr>
          <w:rStyle w:val="CharDefText"/>
        </w:rPr>
        <w:t>assistant inspector</w:t>
      </w:r>
      <w:r>
        <w:rPr>
          <w:b/>
        </w:rPr>
        <w:t>”</w:t>
      </w:r>
      <w:r>
        <w:t xml:space="preserve"> means an assistant inspector of mines appointed under section 20;</w:t>
      </w:r>
    </w:p>
    <w:p>
      <w:pPr>
        <w:pStyle w:val="Defstart"/>
      </w:pPr>
      <w:r>
        <w:rPr>
          <w:b/>
        </w:rPr>
        <w:tab/>
        <w:t>“</w:t>
      </w:r>
      <w:r>
        <w:rPr>
          <w:rStyle w:val="CharDefText"/>
        </w:rPr>
        <w:t>Australian Standard</w:t>
      </w:r>
      <w:r>
        <w:rPr>
          <w:b/>
        </w:rPr>
        <w:t>”</w:t>
      </w:r>
      <w:r>
        <w:t xml:space="preserve"> means a document having that title published by Standards Australia;</w:t>
      </w:r>
    </w:p>
    <w:p>
      <w:pPr>
        <w:pStyle w:val="Defstart"/>
      </w:pPr>
      <w:r>
        <w:rPr>
          <w:b/>
        </w:rPr>
        <w:tab/>
        <w:t>“</w:t>
      </w:r>
      <w:r>
        <w:rPr>
          <w:rStyle w:val="CharDefText"/>
        </w:rPr>
        <w:t>Australian/New Zealand Standard</w:t>
      </w:r>
      <w:r>
        <w:rPr>
          <w:b/>
        </w:rPr>
        <w:t>”</w:t>
      </w:r>
      <w:r>
        <w:t xml:space="preserve"> means a document having that title published jointly by — </w:t>
      </w:r>
    </w:p>
    <w:p>
      <w:pPr>
        <w:pStyle w:val="Defpara"/>
      </w:pPr>
      <w:r>
        <w:tab/>
        <w:t>(a)</w:t>
      </w:r>
      <w:r>
        <w:tab/>
        <w:t>Standards Australia; and</w:t>
      </w:r>
    </w:p>
    <w:p>
      <w:pPr>
        <w:pStyle w:val="Defpara"/>
      </w:pPr>
      <w:r>
        <w:tab/>
        <w:t>(b)</w:t>
      </w:r>
      <w:r>
        <w:tab/>
        <w:t>the Standards Council of New Zealand;</w:t>
      </w:r>
    </w:p>
    <w:p>
      <w:pPr>
        <w:pStyle w:val="Defstart"/>
      </w:pPr>
      <w:r>
        <w:rPr>
          <w:b/>
        </w:rPr>
        <w:tab/>
        <w:t>“</w:t>
      </w:r>
      <w:r>
        <w:rPr>
          <w:rStyle w:val="CharDefText"/>
        </w:rPr>
        <w:t>Board of Examiners</w:t>
      </w:r>
      <w:r>
        <w:rPr>
          <w:b/>
        </w:rPr>
        <w:t>”</w:t>
      </w:r>
      <w:r>
        <w:t xml:space="preserve"> means the Board of Examiners established under section 48;</w:t>
      </w:r>
    </w:p>
    <w:p>
      <w:pPr>
        <w:pStyle w:val="Defstart"/>
      </w:pPr>
      <w:r>
        <w:rPr>
          <w:b/>
        </w:rPr>
        <w:tab/>
        <w:t>“</w:t>
      </w:r>
      <w:r>
        <w:rPr>
          <w:rStyle w:val="CharDefText"/>
        </w:rPr>
        <w:t>certificate of competency</w:t>
      </w:r>
      <w:r>
        <w:rPr>
          <w:b/>
        </w:rPr>
        <w:t>”</w:t>
      </w:r>
      <w:r>
        <w:t xml:space="preserve"> means a certificate of competency issued by the Board of Examiners;</w:t>
      </w:r>
    </w:p>
    <w:p>
      <w:pPr>
        <w:pStyle w:val="Defstart"/>
      </w:pPr>
      <w:r>
        <w:rPr>
          <w:b/>
        </w:rPr>
        <w:tab/>
        <w:t>“</w:t>
      </w:r>
      <w:r>
        <w:rPr>
          <w:rStyle w:val="CharDefText"/>
        </w:rPr>
        <w:t>commute schedule</w:t>
      </w:r>
      <w:r>
        <w:rPr>
          <w:b/>
        </w:rPr>
        <w:t>”</w:t>
      </w:r>
      <w:r>
        <w:t xml:space="preserve"> means a schedule specifying the periods when registered managers and other managers and their alternates are to assume their duties at a mine and when they are to be absent from the mine;</w:t>
      </w:r>
    </w:p>
    <w:p>
      <w:pPr>
        <w:pStyle w:val="Defstart"/>
      </w:pPr>
      <w:r>
        <w:rPr>
          <w:b/>
        </w:rPr>
        <w:tab/>
        <w:t>“</w:t>
      </w:r>
      <w:r>
        <w:rPr>
          <w:rStyle w:val="CharDefText"/>
        </w:rPr>
        <w:t>competent person</w:t>
      </w:r>
      <w:r>
        <w:rPr>
          <w:b/>
        </w:rPr>
        <w:t>”</w:t>
      </w:r>
      <w:r>
        <w:t xml:space="preserve"> means a person who is appointed or designated by the employer to perform specified duties which the person is qualified to perform by knowledge, training and experience;</w:t>
      </w:r>
    </w:p>
    <w:p>
      <w:pPr>
        <w:pStyle w:val="Defstart"/>
      </w:pPr>
      <w:r>
        <w:rPr>
          <w:b/>
        </w:rPr>
        <w:tab/>
        <w:t>“</w:t>
      </w:r>
      <w:r>
        <w:rPr>
          <w:rStyle w:val="CharDefText"/>
        </w:rPr>
        <w:t>decline</w:t>
      </w:r>
      <w:r>
        <w:rPr>
          <w:b/>
        </w:rPr>
        <w:t>”</w:t>
      </w:r>
      <w:r>
        <w:t xml:space="preserve"> means a development opening driven down from the surface to any level or between any 2 levels in a mine at gradients permitting the use of trackless equipment;</w:t>
      </w:r>
    </w:p>
    <w:p>
      <w:pPr>
        <w:pStyle w:val="Defstart"/>
      </w:pPr>
      <w:r>
        <w:rPr>
          <w:b/>
        </w:rPr>
        <w:tab/>
        <w:t>“</w:t>
      </w:r>
      <w:r>
        <w:rPr>
          <w:rStyle w:val="CharDefText"/>
        </w:rPr>
        <w:t>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deputy</w:t>
      </w:r>
      <w:r>
        <w:rPr>
          <w:b/>
        </w:rPr>
        <w:t>”</w:t>
      </w:r>
      <w:r>
        <w:t xml:space="preserve"> in relation to an underground coal mine, means a person who has the immediate supervision of employees and the direction of mining operations under the control of an underground manager, or other officer responsible to the manager;</w:t>
      </w:r>
    </w:p>
    <w:p>
      <w:pPr>
        <w:pStyle w:val="Defstart"/>
      </w:pPr>
      <w:r>
        <w:rPr>
          <w:b/>
        </w:rPr>
        <w:tab/>
        <w:t>“</w:t>
      </w:r>
      <w:r>
        <w:rPr>
          <w:rStyle w:val="CharDefText"/>
        </w:rPr>
        <w:t>development</w:t>
      </w:r>
      <w:r>
        <w:rPr>
          <w:b/>
        </w:rPr>
        <w:t>”</w:t>
      </w:r>
      <w:r>
        <w:t xml:space="preserve"> in relation to a mining operation, includes all work undertaken to open up a mine by driving development openings or pre</w:t>
      </w:r>
      <w:r>
        <w:noBreakHyphen/>
        <w:t>stripping an open</w:t>
      </w:r>
      <w:r>
        <w:noBreakHyphen/>
        <w:t>cut body of ore;</w:t>
      </w:r>
    </w:p>
    <w:p>
      <w:pPr>
        <w:pStyle w:val="Defstart"/>
      </w:pPr>
      <w:r>
        <w:rPr>
          <w:b/>
        </w:rPr>
        <w:tab/>
        <w:t>“</w:t>
      </w:r>
      <w:r>
        <w:rPr>
          <w:rStyle w:val="CharDefText"/>
        </w:rPr>
        <w:t>development opening</w:t>
      </w:r>
      <w:r>
        <w:rPr>
          <w:b/>
        </w:rPr>
        <w:t>”</w:t>
      </w:r>
      <w:r>
        <w:t xml:space="preserve"> or </w:t>
      </w:r>
      <w:r>
        <w:rPr>
          <w:b/>
        </w:rPr>
        <w:t>“</w:t>
      </w:r>
      <w:r>
        <w:rPr>
          <w:rStyle w:val="CharDefText"/>
        </w:rPr>
        <w:t>development heading</w:t>
      </w:r>
      <w:r>
        <w:rPr>
          <w:b/>
        </w:rPr>
        <w:t>”</w:t>
      </w:r>
      <w:r>
        <w:t xml:space="preserve"> in relation to an underground mine, means any drive, cross</w:t>
      </w:r>
      <w:r>
        <w:noBreakHyphen/>
        <w:t>cut, tunnel, adit, incline, decline, ramp, winze, rise, or shaft which is driven to provide access and services to underground operations, however excavated;</w:t>
      </w:r>
    </w:p>
    <w:p>
      <w:pPr>
        <w:pStyle w:val="Defstart"/>
      </w:pPr>
      <w:r>
        <w:rPr>
          <w:b/>
        </w:rPr>
        <w:tab/>
        <w:t>“</w:t>
      </w:r>
      <w:r>
        <w:rPr>
          <w:rStyle w:val="CharDefText"/>
        </w:rPr>
        <w:t>district inspector</w:t>
      </w:r>
      <w:r>
        <w:rPr>
          <w:b/>
        </w:rPr>
        <w:t>”</w:t>
      </w:r>
      <w:r>
        <w:t xml:space="preserve"> means a district inspector of mines appointed under section 17 in accordance with section 18;</w:t>
      </w:r>
    </w:p>
    <w:p>
      <w:pPr>
        <w:pStyle w:val="Defstart"/>
      </w:pPr>
      <w:r>
        <w:rPr>
          <w:b/>
        </w:rPr>
        <w:tab/>
        <w:t>“</w:t>
      </w:r>
      <w:r>
        <w:rPr>
          <w:rStyle w:val="CharDefText"/>
        </w:rPr>
        <w:t>Electoral Commissioner</w:t>
      </w:r>
      <w:r>
        <w:rPr>
          <w:b/>
        </w:rPr>
        <w:t>”</w:t>
      </w:r>
      <w:r>
        <w:t xml:space="preserve"> means the Electoral Commissioner appointed under the </w:t>
      </w:r>
      <w:r>
        <w:rPr>
          <w:i/>
        </w:rPr>
        <w:t>Electoral Act 1907</w:t>
      </w:r>
      <w:r>
        <w:t>;</w:t>
      </w:r>
    </w:p>
    <w:p>
      <w:pPr>
        <w:pStyle w:val="Defstart"/>
        <w:keepNext/>
      </w:pPr>
      <w:r>
        <w:rPr>
          <w:b/>
        </w:rPr>
        <w:tab/>
        <w:t>“</w:t>
      </w:r>
      <w:r>
        <w:rPr>
          <w:rStyle w:val="CharDefText"/>
        </w:rPr>
        <w:t>employee</w:t>
      </w:r>
      <w:r>
        <w:rPr>
          <w:b/>
        </w:rPr>
        <w:t>”</w:t>
      </w:r>
      <w:r>
        <w:t xml:space="preserve"> means — </w:t>
      </w:r>
    </w:p>
    <w:p>
      <w:pPr>
        <w:pStyle w:val="Defpara"/>
      </w:pPr>
      <w:r>
        <w:tab/>
        <w:t>(a)</w:t>
      </w:r>
      <w:r>
        <w:tab/>
        <w:t>a person by whom work is done at a mine under a contract of employment; and</w:t>
      </w:r>
    </w:p>
    <w:p>
      <w:pPr>
        <w:pStyle w:val="Defpara"/>
      </w:pPr>
      <w:r>
        <w:tab/>
        <w:t>(b)</w:t>
      </w:r>
      <w:r>
        <w:tab/>
        <w:t>an apprentice or trainee who works at a mine;</w:t>
      </w:r>
    </w:p>
    <w:p>
      <w:pPr>
        <w:pStyle w:val="Defstart"/>
      </w:pPr>
      <w:r>
        <w:rPr>
          <w:b/>
        </w:rPr>
        <w:tab/>
        <w:t>“</w:t>
      </w:r>
      <w:r>
        <w:rPr>
          <w:rStyle w:val="CharDefText"/>
        </w:rPr>
        <w:t>employee’s inspector</w:t>
      </w:r>
      <w:r>
        <w:rPr>
          <w:b/>
        </w:rPr>
        <w:t>”</w:t>
      </w:r>
      <w:r>
        <w:t xml:space="preserve"> means an employee’s inspector of mines appointed under section 17 in accordance with section 19;</w:t>
      </w:r>
    </w:p>
    <w:p>
      <w:pPr>
        <w:pStyle w:val="Defstart"/>
      </w:pPr>
      <w:r>
        <w:rPr>
          <w:b/>
        </w:rPr>
        <w:tab/>
        <w:t>“</w:t>
      </w:r>
      <w:r>
        <w:rPr>
          <w:rStyle w:val="CharDefText"/>
        </w:rPr>
        <w:t>employer</w:t>
      </w:r>
      <w:r>
        <w:rPr>
          <w:b/>
        </w:rPr>
        <w:t>”</w:t>
      </w:r>
      <w:r>
        <w:t xml:space="preserve"> means — </w:t>
      </w:r>
    </w:p>
    <w:p>
      <w:pPr>
        <w:pStyle w:val="Defpara"/>
      </w:pPr>
      <w:r>
        <w:tab/>
        <w:t>(a)</w:t>
      </w:r>
      <w:r>
        <w:tab/>
        <w:t>a person who employs an employee at a mine under a contract of employment; and</w:t>
      </w:r>
    </w:p>
    <w:p>
      <w:pPr>
        <w:pStyle w:val="Defpara"/>
      </w:pPr>
      <w:r>
        <w:tab/>
        <w:t>(b)</w:t>
      </w:r>
      <w:r>
        <w:tab/>
        <w:t xml:space="preserve">in relation to an apprentice or trainee, a person who employs the apprentice or trainee at a mine under an apprenticeship or traineeship scheme under the </w:t>
      </w:r>
      <w:r>
        <w:rPr>
          <w:i/>
        </w:rPr>
        <w:t>Industrial Training Act 1975</w:t>
      </w:r>
      <w:r>
        <w:t>;</w:t>
      </w:r>
    </w:p>
    <w:p>
      <w:pPr>
        <w:pStyle w:val="Defstart"/>
      </w:pPr>
      <w:r>
        <w:rPr>
          <w:b/>
        </w:rPr>
        <w:tab/>
        <w:t>“</w:t>
      </w:r>
      <w:r>
        <w:rPr>
          <w:rStyle w:val="CharDefText"/>
        </w:rPr>
        <w:t>exploration operations</w:t>
      </w:r>
      <w:r>
        <w:rPr>
          <w:b/>
        </w:rPr>
        <w:t>”</w:t>
      </w:r>
      <w:r>
        <w:t xml:space="preserve"> means any exploration activity which is undertaken on a mining tenement, whether offshore or on land, but does not include —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r>
        <w:rPr>
          <w:b/>
          <w:bCs/>
        </w:rPr>
        <w:t>“</w:t>
      </w:r>
      <w:r>
        <w:rPr>
          <w:rStyle w:val="CharDefText"/>
          <w:bCs/>
        </w:rPr>
        <w:t>explosives</w:t>
      </w:r>
      <w:r>
        <w:rPr>
          <w:b/>
          <w:bCs/>
        </w:rPr>
        <w:t>”</w:t>
      </w:r>
      <w:bookmarkStart w:id="6" w:name="UpToHere"/>
      <w:bookmarkEnd w:id="6"/>
      <w:r>
        <w:t xml:space="preserve"> means a substance or article used or manufactured with the purpose of producing a practical effect by explosion or a pyrotechnic effect;</w:t>
      </w:r>
    </w:p>
    <w:p>
      <w:pPr>
        <w:pStyle w:val="Defstart"/>
      </w:pPr>
      <w:r>
        <w:rPr>
          <w:b/>
        </w:rPr>
        <w:tab/>
        <w:t>“</w:t>
      </w:r>
      <w:r>
        <w:rPr>
          <w:rStyle w:val="CharDefText"/>
        </w:rPr>
        <w:t>foreman</w:t>
      </w:r>
      <w:r>
        <w:rPr>
          <w:b/>
        </w:rPr>
        <w:t>”</w:t>
      </w:r>
      <w:r>
        <w: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t>
      </w:r>
    </w:p>
    <w:p>
      <w:pPr>
        <w:pStyle w:val="Defstart"/>
      </w:pPr>
      <w:r>
        <w:rPr>
          <w:b/>
        </w:rPr>
        <w:tab/>
        <w:t>“</w:t>
      </w:r>
      <w:r>
        <w:rPr>
          <w:rStyle w:val="CharDefText"/>
        </w:rPr>
        <w:t>hazard</w:t>
      </w:r>
      <w:r>
        <w:rPr>
          <w:b/>
        </w:rPr>
        <w:t>”</w:t>
      </w:r>
      <w:r>
        <w:t xml:space="preserve"> in relation to a person, means anything that may result in injury to the person or harm to the health of the person;</w:t>
      </w:r>
    </w:p>
    <w:p>
      <w:pPr>
        <w:pStyle w:val="Defstart"/>
      </w:pPr>
      <w:r>
        <w:rPr>
          <w:b/>
        </w:rPr>
        <w:tab/>
        <w:t>“</w:t>
      </w:r>
      <w:r>
        <w:rPr>
          <w:rStyle w:val="CharDefText"/>
        </w:rPr>
        <w:t>hoist</w:t>
      </w:r>
      <w:r>
        <w:rPr>
          <w:b/>
        </w:rPr>
        <w:t>”</w:t>
      </w:r>
      <w:r>
        <w:t xml:space="preserve"> means a single undivided drum winding engine driven by a motor or engine having a capacity not exceeding 25 kilowatts;</w:t>
      </w:r>
    </w:p>
    <w:p>
      <w:pPr>
        <w:pStyle w:val="Defstart"/>
      </w:pPr>
      <w:r>
        <w:rPr>
          <w:b/>
        </w:rPr>
        <w:tab/>
        <w:t>“</w:t>
      </w:r>
      <w:r>
        <w:rPr>
          <w:rStyle w:val="CharDefText"/>
        </w:rPr>
        <w:t>import</w:t>
      </w:r>
      <w:r>
        <w:rPr>
          <w:b/>
        </w:rPr>
        <w:t>”</w:t>
      </w:r>
      <w:r>
        <w:t xml:space="preserve"> means to bring into the State, whether from outside Australia or otherwise;</w:t>
      </w:r>
    </w:p>
    <w:p>
      <w:pPr>
        <w:pStyle w:val="Defstart"/>
      </w:pPr>
      <w:r>
        <w:rPr>
          <w:b/>
        </w:rPr>
        <w:tab/>
        <w:t>“</w:t>
      </w:r>
      <w:r>
        <w:rPr>
          <w:rStyle w:val="CharDefText"/>
        </w:rPr>
        <w:t>improvement notice</w:t>
      </w:r>
      <w:r>
        <w:rPr>
          <w:b/>
        </w:rPr>
        <w:t>”</w:t>
      </w:r>
      <w:r>
        <w:t xml:space="preserve"> means an improvement notice issued under Part 3 Division 3;</w:t>
      </w:r>
    </w:p>
    <w:p>
      <w:pPr>
        <w:pStyle w:val="Defstart"/>
      </w:pPr>
      <w:r>
        <w:rPr>
          <w:b/>
        </w:rPr>
        <w:tab/>
        <w:t>“</w:t>
      </w:r>
      <w:r>
        <w:rPr>
          <w:rStyle w:val="CharDefText"/>
        </w:rPr>
        <w:t>incline</w:t>
      </w:r>
      <w:r>
        <w:rPr>
          <w:b/>
        </w:rPr>
        <w:t>”</w:t>
      </w:r>
      <w:r>
        <w:t xml:space="preserve"> means a development opening driven up from any level to the surface or between any 2 levels in a mine at gradients permitting the use of trackless equipment;</w:t>
      </w:r>
    </w:p>
    <w:p>
      <w:pPr>
        <w:pStyle w:val="Defstart"/>
      </w:pPr>
      <w:r>
        <w:rPr>
          <w:b/>
        </w:rPr>
        <w:tab/>
        <w:t>“</w:t>
      </w:r>
      <w:r>
        <w:rPr>
          <w:rStyle w:val="CharDefText"/>
        </w:rPr>
        <w:t>inspector</w:t>
      </w:r>
      <w:r>
        <w:rPr>
          <w:b/>
        </w:rPr>
        <w:t>”</w:t>
      </w:r>
      <w:r>
        <w:t xml:space="preserve"> means an inspector of mines appointed under this Act or whose appointment under a repealed Act is continued under this Act;</w:t>
      </w:r>
    </w:p>
    <w:p>
      <w:pPr>
        <w:pStyle w:val="Defstart"/>
      </w:pPr>
      <w:r>
        <w:rPr>
          <w:b/>
        </w:rPr>
        <w:tab/>
        <w:t>“</w:t>
      </w:r>
      <w:r>
        <w:rPr>
          <w:rStyle w:val="CharDefText"/>
        </w:rPr>
        <w:t>manager</w:t>
      </w:r>
      <w:r>
        <w:rPr>
          <w:b/>
        </w:rPr>
        <w:t>”</w:t>
      </w:r>
      <w:r>
        <w:t xml:space="preserve"> in relation to a mine, means the registered manager for the mine;</w:t>
      </w:r>
    </w:p>
    <w:p>
      <w:pPr>
        <w:pStyle w:val="Defstart"/>
      </w:pPr>
      <w:r>
        <w:rPr>
          <w:b/>
        </w:rPr>
        <w:tab/>
        <w:t>“</w:t>
      </w:r>
      <w:r>
        <w:rPr>
          <w:rStyle w:val="CharDefText"/>
        </w:rPr>
        <w:t>mine</w:t>
      </w:r>
      <w:r>
        <w:rPr>
          <w:b/>
        </w:rPr>
        <w:t>”</w:t>
      </w:r>
      <w:r>
        <w:t xml:space="preserve"> means a place at which mining operations are carried on and, where mining operations are being carried on in conjunction with one another at 2 or more places, those places are to be taken to constitute one mine unless the State mining engineer notifies the principal employer in writing otherwise in accordance with subsection (3); and </w:t>
      </w:r>
      <w:r>
        <w:rPr>
          <w:b/>
        </w:rPr>
        <w:t>“</w:t>
      </w:r>
      <w:r>
        <w:rPr>
          <w:rStyle w:val="CharDefText"/>
        </w:rPr>
        <w:t>to mine</w:t>
      </w:r>
      <w:r>
        <w:rPr>
          <w:b/>
        </w:rPr>
        <w:t>”</w:t>
      </w:r>
      <w:r>
        <w:t xml:space="preserve"> includes to carry on any manner or method of mining operations;</w:t>
      </w:r>
    </w:p>
    <w:p>
      <w:pPr>
        <w:pStyle w:val="Defstart"/>
      </w:pPr>
      <w:r>
        <w:rPr>
          <w:b/>
        </w:rPr>
        <w:tab/>
        <w:t>“</w:t>
      </w:r>
      <w:r>
        <w:rPr>
          <w:rStyle w:val="CharDefText"/>
        </w:rPr>
        <w:t>mineral</w:t>
      </w:r>
      <w:r>
        <w:rPr>
          <w:b/>
        </w:rPr>
        <w:t>”</w:t>
      </w:r>
      <w:r>
        <w:t xml:space="preserve"> does not include natural gas or mineral oil in a free state;</w:t>
      </w:r>
    </w:p>
    <w:p>
      <w:pPr>
        <w:pStyle w:val="Defstart"/>
      </w:pPr>
      <w:r>
        <w:rPr>
          <w:b/>
        </w:rPr>
        <w:tab/>
        <w:t>“</w:t>
      </w:r>
      <w:r>
        <w:rPr>
          <w:rStyle w:val="CharDefText"/>
        </w:rPr>
        <w:t>Mines Survey Board</w:t>
      </w:r>
      <w:r>
        <w:rPr>
          <w:b/>
        </w:rPr>
        <w:t>”</w:t>
      </w:r>
      <w:r>
        <w:t xml:space="preserve"> means the Mines Survey Board continued in existence for the purposes of this Act by section 82;</w:t>
      </w:r>
    </w:p>
    <w:p>
      <w:pPr>
        <w:pStyle w:val="Defstart"/>
      </w:pPr>
      <w:r>
        <w:rPr>
          <w:b/>
        </w:rPr>
        <w:tab/>
        <w:t>“</w:t>
      </w:r>
      <w:r>
        <w:rPr>
          <w:rStyle w:val="CharDefText"/>
        </w:rPr>
        <w:t>Mining Industry Advisory Committee</w:t>
      </w:r>
      <w:r>
        <w:rPr>
          <w:b/>
        </w:rPr>
        <w:t>”</w:t>
      </w:r>
      <w:r>
        <w:t xml:space="preserve"> means the committee referred to in section 14A(2) of the </w:t>
      </w:r>
      <w:r>
        <w:rPr>
          <w:i/>
        </w:rPr>
        <w:t>Occupational Safety and Health Act 1984</w:t>
      </w:r>
      <w:r>
        <w:rPr>
          <w:iCs/>
        </w:rPr>
        <w:t>;</w:t>
      </w:r>
    </w:p>
    <w:p>
      <w:pPr>
        <w:pStyle w:val="Defstart"/>
      </w:pPr>
      <w:r>
        <w:rPr>
          <w:b/>
        </w:rPr>
        <w:tab/>
        <w:t>“</w:t>
      </w:r>
      <w:r>
        <w:rPr>
          <w:rStyle w:val="CharDefText"/>
        </w:rPr>
        <w:t>mining operations</w:t>
      </w:r>
      <w:r>
        <w:rPr>
          <w:b/>
        </w:rPr>
        <w:t>”</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 </w:t>
      </w:r>
    </w:p>
    <w:p>
      <w:pPr>
        <w:pStyle w:val="Defpara"/>
        <w:spacing w:before="100"/>
      </w:pPr>
      <w:r>
        <w:tab/>
        <w:t>(a)</w:t>
      </w:r>
      <w:r>
        <w:tab/>
        <w:t>exploration operations; and</w:t>
      </w:r>
    </w:p>
    <w:p>
      <w:pPr>
        <w:pStyle w:val="Defpara"/>
        <w:spacing w:before="100"/>
      </w:pPr>
      <w:r>
        <w:tab/>
        <w:t>(b)</w:t>
      </w:r>
      <w:r>
        <w:tab/>
        <w:t>developmental and construction work associated with opening up or operating a mine; and</w:t>
      </w:r>
    </w:p>
    <w:p>
      <w:pPr>
        <w:pStyle w:val="Defpara"/>
        <w:spacing w:before="100"/>
      </w:pPr>
      <w:r>
        <w:tab/>
        <w:t>(c)</w:t>
      </w:r>
      <w:r>
        <w:tab/>
        <w:t>the removal and disposal of overburden or waste or residues by mechanical or other means and the stacking, depositing, storage, and treatment of any substance considered to contain any mineral; and</w:t>
      </w:r>
    </w:p>
    <w:p>
      <w:pPr>
        <w:pStyle w:val="Defpara"/>
        <w:spacing w:before="100"/>
      </w:pPr>
      <w:r>
        <w:tab/>
        <w:t>(d)</w:t>
      </w:r>
      <w:r>
        <w:tab/>
        <w:t>the operation of blast furnaces and direct reduction furnaces; and</w:t>
      </w:r>
    </w:p>
    <w:p>
      <w:pPr>
        <w:pStyle w:val="Defpara"/>
        <w:spacing w:before="100"/>
      </w:pPr>
      <w:r>
        <w:tab/>
        <w:t>(e)</w:t>
      </w:r>
      <w:r>
        <w:tab/>
        <w:t>the operation of privately owned railways to transport ore or other mining products, or to provide related services; and</w:t>
      </w:r>
    </w:p>
    <w:p>
      <w:pPr>
        <w:pStyle w:val="Defpara"/>
        <w:spacing w:before="100"/>
      </w:pPr>
      <w:r>
        <w:tab/>
        <w:t>(ea)</w:t>
      </w:r>
      <w:r>
        <w:tab/>
        <w:t xml:space="preserve">the transport of ore or other mining product that takes place on a road that is not a road as defined in the </w:t>
      </w:r>
      <w:r>
        <w:rPr>
          <w:i/>
        </w:rPr>
        <w:t>Road Traffic Act 1974</w:t>
      </w:r>
      <w:r>
        <w:t>; and</w:t>
      </w:r>
    </w:p>
    <w:p>
      <w:pPr>
        <w:pStyle w:val="Defpara"/>
        <w:spacing w:before="100"/>
      </w:pPr>
      <w:r>
        <w:tab/>
        <w:t>(f)</w:t>
      </w:r>
      <w:r>
        <w:tab/>
        <w:t>the crushing, screening, sorting, stacking, and loading and handling of ore or other mining products at any rail or road terminal or any loading or transhipment points, including seaports; and</w:t>
      </w:r>
    </w:p>
    <w:p>
      <w:pPr>
        <w:pStyle w:val="Defpara"/>
        <w:spacing w:before="100"/>
      </w:pPr>
      <w:r>
        <w:tab/>
        <w:t>(g)</w:t>
      </w:r>
      <w:r>
        <w:tab/>
        <w:t>the operation of any support facilities on the minesite, including mine administration offices, workshops, and services buildings; and</w:t>
      </w:r>
    </w:p>
    <w:p>
      <w:pPr>
        <w:pStyle w:val="Defpara"/>
        <w:keepNext/>
      </w:pPr>
      <w:r>
        <w:tab/>
        <w:t>(h)</w:t>
      </w:r>
      <w:r>
        <w:tab/>
        <w:t>borefields remote from the minesite but an integral part of the mining operation; and</w:t>
      </w:r>
    </w:p>
    <w:p>
      <w:pPr>
        <w:pStyle w:val="Defpara"/>
      </w:pPr>
      <w:r>
        <w:tab/>
        <w:t>(i)</w:t>
      </w:r>
      <w:r>
        <w:tab/>
        <w:t>operations by means of which salt or other evaporites are harvested; and</w:t>
      </w:r>
    </w:p>
    <w:p>
      <w:pPr>
        <w:pStyle w:val="Defpara"/>
      </w:pPr>
      <w:r>
        <w:tab/>
        <w:t>(j)</w:t>
      </w:r>
      <w:r>
        <w:tab/>
        <w:t>operations by means of which any mineral is recovered from the sea or sea bed or a natural water supply; and</w:t>
      </w:r>
    </w:p>
    <w:p>
      <w:pPr>
        <w:pStyle w:val="Defpara"/>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pPr>
      <w:r>
        <w:tab/>
        <w:t>(l)</w:t>
      </w:r>
      <w:r>
        <w:tab/>
        <w:t>the operation of any project which is for the time being declared by the Governor to be a mining operation under section 6; and</w:t>
      </w:r>
    </w:p>
    <w:p>
      <w:pPr>
        <w:pStyle w:val="Defpara"/>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r>
      <w:r>
        <w:tab/>
        <w:t>but does not include the operation of — </w:t>
      </w:r>
    </w:p>
    <w:p>
      <w:pPr>
        <w:pStyle w:val="Defpara"/>
      </w:pPr>
      <w:r>
        <w:tab/>
        <w:t>(p)</w:t>
      </w:r>
      <w:r>
        <w:tab/>
        <w:t>steel making plants; or</w:t>
      </w:r>
    </w:p>
    <w:p>
      <w:pPr>
        <w:pStyle w:val="Defpara"/>
      </w:pPr>
      <w:r>
        <w:tab/>
        <w:t>(q)</w:t>
      </w:r>
      <w:r>
        <w:tab/>
        <w:t>rolling mills; or</w:t>
      </w:r>
    </w:p>
    <w:p>
      <w:pPr>
        <w:pStyle w:val="Defpara"/>
      </w:pPr>
      <w:r>
        <w:tab/>
        <w:t>(r)</w:t>
      </w:r>
      <w:r>
        <w:tab/>
        <w:t>facilities for the manufacture of goods from mining products; or</w:t>
      </w:r>
    </w:p>
    <w:p>
      <w:pPr>
        <w:pStyle w:val="Defpara"/>
      </w:pPr>
      <w:r>
        <w:tab/>
        <w:t>(s)</w:t>
      </w:r>
      <w:r>
        <w:tab/>
        <w:t>residential facilities or recreational facilities and the ground used for the purpose where such facilities are not located on a mining tenement and directly associated with mining operations; or</w:t>
      </w:r>
    </w:p>
    <w:p>
      <w:pPr>
        <w:pStyle w:val="Defpara"/>
      </w:pPr>
      <w:r>
        <w:tab/>
        <w:t>(t)</w:t>
      </w:r>
      <w:r>
        <w:tab/>
        <w:t>sand, gravel, limestone, or rock excavation carried on by or for any State agency or instrumentality or any local government for the use or disposition by any such agency, instrumentality or local government; or</w:t>
      </w:r>
    </w:p>
    <w:p>
      <w:pPr>
        <w:pStyle w:val="Defpara"/>
      </w:pPr>
      <w:r>
        <w:tab/>
        <w:t>(u)</w:t>
      </w:r>
      <w:r>
        <w:tab/>
        <w:t>excavation activities on private land by and for the use of the owner of the land;</w:t>
      </w:r>
    </w:p>
    <w:p>
      <w:pPr>
        <w:pStyle w:val="Defstart"/>
      </w:pPr>
      <w:r>
        <w:rPr>
          <w:b/>
        </w:rPr>
        <w:tab/>
        <w:t>“</w:t>
      </w:r>
      <w:r>
        <w:rPr>
          <w:rStyle w:val="CharDefText"/>
        </w:rPr>
        <w:t>plan</w:t>
      </w:r>
      <w:r>
        <w:rPr>
          <w:b/>
        </w:rPr>
        <w:t>”</w:t>
      </w:r>
      <w:r>
        <w:t xml:space="preserve"> includes a correct copy or tracing of an original or section of a plan;</w:t>
      </w:r>
    </w:p>
    <w:p>
      <w:pPr>
        <w:pStyle w:val="Defstart"/>
      </w:pPr>
      <w:r>
        <w:rPr>
          <w:b/>
        </w:rPr>
        <w:tab/>
        <w:t>“</w:t>
      </w:r>
      <w:r>
        <w:rPr>
          <w:rStyle w:val="CharDefText"/>
        </w:rPr>
        <w:t>plant</w:t>
      </w:r>
      <w:r>
        <w:rPr>
          <w:b/>
        </w:rPr>
        <w:t>”</w:t>
      </w:r>
      <w:r>
        <w:t xml:space="preserve"> includes machinery, equipment, appliance, implement, or tool and any component or fitting of or accessory to any such article;</w:t>
      </w:r>
    </w:p>
    <w:p>
      <w:pPr>
        <w:pStyle w:val="Defstart"/>
      </w:pPr>
      <w:r>
        <w:rPr>
          <w:b/>
        </w:rPr>
        <w:tab/>
        <w:t>“</w:t>
      </w:r>
      <w:r>
        <w:rPr>
          <w:rStyle w:val="CharDefText"/>
        </w:rPr>
        <w:t>practicable</w:t>
      </w:r>
      <w:r>
        <w:rPr>
          <w:b/>
        </w:rPr>
        <w:t>”</w:t>
      </w:r>
      <w:r>
        <w:t xml:space="preserve"> means reasonably practicable having regard, where the context permits, to — </w:t>
      </w:r>
    </w:p>
    <w:p>
      <w:pPr>
        <w:pStyle w:val="Defpara"/>
      </w:pPr>
      <w:r>
        <w:tab/>
        <w:t>(a)</w:t>
      </w:r>
      <w:r>
        <w:tab/>
        <w:t>the severity of any potential injury or harm to health that may be involved and the degree of risk of such injury or harm occurring; and</w:t>
      </w:r>
    </w:p>
    <w:p>
      <w:pPr>
        <w:pStyle w:val="Defpara"/>
      </w:pPr>
      <w:r>
        <w:tab/>
        <w:t>(b)</w:t>
      </w:r>
      <w:r>
        <w:tab/>
        <w:t>the state of knowledge about — </w:t>
      </w:r>
    </w:p>
    <w:p>
      <w:pPr>
        <w:pStyle w:val="Defsubpara"/>
        <w:rPr>
          <w:snapToGrid w:val="0"/>
        </w:rPr>
      </w:pPr>
      <w:r>
        <w:rPr>
          <w:snapToGrid w:val="0"/>
        </w:rPr>
        <w:tab/>
        <w:t>(i)</w:t>
      </w:r>
      <w:r>
        <w:rPr>
          <w:snapToGrid w:val="0"/>
        </w:rPr>
        <w:tab/>
        <w:t>the injury or harm to health referred to in paragraph (a); and</w:t>
      </w:r>
    </w:p>
    <w:p>
      <w:pPr>
        <w:pStyle w:val="Defsubpara"/>
        <w:rPr>
          <w:snapToGrid w:val="0"/>
        </w:rPr>
      </w:pPr>
      <w:r>
        <w:rPr>
          <w:snapToGrid w:val="0"/>
        </w:rPr>
        <w:tab/>
        <w:t>(ii)</w:t>
      </w:r>
      <w:r>
        <w:rPr>
          <w:snapToGrid w:val="0"/>
        </w:rPr>
        <w:tab/>
        <w:t>the risk of that injury or harm to health occurring; and</w:t>
      </w:r>
    </w:p>
    <w:p>
      <w:pPr>
        <w:pStyle w:val="Defsubpara"/>
        <w:rPr>
          <w:snapToGrid w:val="0"/>
        </w:rPr>
      </w:pPr>
      <w:r>
        <w:rPr>
          <w:snapToGrid w:val="0"/>
        </w:rPr>
        <w:tab/>
        <w:t>(iii)</w:t>
      </w:r>
      <w:r>
        <w:rPr>
          <w:snapToGrid w:val="0"/>
        </w:rPr>
        <w:tab/>
        <w:t>means of removing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rPr>
          <w:spacing w:val="-4"/>
        </w:rPr>
      </w:pPr>
      <w:r>
        <w:rPr>
          <w:b/>
          <w:spacing w:val="-4"/>
        </w:rPr>
        <w:tab/>
        <w:t>“</w:t>
      </w:r>
      <w:r>
        <w:rPr>
          <w:rStyle w:val="CharDefText"/>
          <w:spacing w:val="-4"/>
        </w:rPr>
        <w:t>principal employer</w:t>
      </w:r>
      <w:r>
        <w:rPr>
          <w:b/>
          <w:spacing w:val="-4"/>
        </w:rPr>
        <w:t>”</w:t>
      </w:r>
      <w:r>
        <w:rPr>
          <w:spacing w:val="-4"/>
        </w:rPr>
        <w:t xml:space="preserve"> in relation to a mine, means the employer who is the proprietor, lessee, or occupier of the mine and who has overall control and supervision of the mine, mining operations at the mine, and the manager of the mine;</w:t>
      </w:r>
    </w:p>
    <w:p>
      <w:pPr>
        <w:pStyle w:val="Defstart"/>
      </w:pPr>
      <w:r>
        <w:rPr>
          <w:b/>
        </w:rPr>
        <w:tab/>
        <w:t>“</w:t>
      </w:r>
      <w:r>
        <w:rPr>
          <w:rStyle w:val="CharDefText"/>
        </w:rPr>
        <w:t>prohibition notice</w:t>
      </w:r>
      <w:r>
        <w:rPr>
          <w:b/>
        </w:rPr>
        <w:t>”</w:t>
      </w:r>
      <w:r>
        <w:t xml:space="preserve"> means a prohibition notice issued under Part 3 Division 3;</w:t>
      </w:r>
    </w:p>
    <w:p>
      <w:pPr>
        <w:pStyle w:val="Defstart"/>
      </w:pPr>
      <w:r>
        <w:rPr>
          <w:b/>
        </w:rPr>
        <w:tab/>
        <w:t>“</w:t>
      </w:r>
      <w:r>
        <w:rPr>
          <w:rStyle w:val="CharDefText"/>
        </w:rPr>
        <w:t>provisional improvement notice</w:t>
      </w:r>
      <w:r>
        <w:rPr>
          <w:b/>
        </w:rPr>
        <w:t>”</w:t>
      </w:r>
      <w:r>
        <w:t xml:space="preserve"> means a provisional improvement notice issued under Part 3 Division 4;</w:t>
      </w:r>
    </w:p>
    <w:p>
      <w:pPr>
        <w:pStyle w:val="Defstart"/>
      </w:pPr>
      <w:r>
        <w:rPr>
          <w:b/>
        </w:rPr>
        <w:tab/>
        <w:t>“</w:t>
      </w:r>
      <w:r>
        <w:rPr>
          <w:rStyle w:val="CharDefText"/>
        </w:rPr>
        <w:t>quarry</w:t>
      </w:r>
      <w:r>
        <w:rPr>
          <w:b/>
        </w:rPr>
        <w:t>”</w:t>
      </w:r>
      <w:r>
        <w:t xml:space="preserve"> or </w:t>
      </w:r>
      <w:r>
        <w:rPr>
          <w:b/>
        </w:rPr>
        <w:t>“</w:t>
      </w:r>
      <w:r>
        <w:rPr>
          <w:rStyle w:val="CharDefText"/>
        </w:rPr>
        <w:t>open cut</w:t>
      </w:r>
      <w:r>
        <w:rPr>
          <w:b/>
        </w:rPr>
        <w:t>”</w:t>
      </w:r>
      <w:r>
        <w:t xml:space="preserve"> or </w:t>
      </w:r>
      <w:r>
        <w:rPr>
          <w:b/>
        </w:rPr>
        <w:t>“</w:t>
      </w:r>
      <w:r>
        <w:rPr>
          <w:rStyle w:val="CharDefText"/>
        </w:rPr>
        <w:t>open pit</w:t>
      </w:r>
      <w:r>
        <w:rPr>
          <w:b/>
        </w:rPr>
        <w:t>”</w:t>
      </w:r>
      <w:r>
        <w:t xml:space="preserve"> means a surface mining operation in which mineral or rock is extracted from the earth by excavating into a natural surface gradient and includes — </w:t>
      </w:r>
    </w:p>
    <w:p>
      <w:pPr>
        <w:pStyle w:val="Defpara"/>
      </w:pPr>
      <w:r>
        <w:tab/>
        <w:t>(a)</w:t>
      </w:r>
      <w:r>
        <w:tab/>
        <w:t>harvesting evaporites;</w:t>
      </w:r>
    </w:p>
    <w:p>
      <w:pPr>
        <w:pStyle w:val="Defpara"/>
      </w:pPr>
      <w:r>
        <w:tab/>
        <w:t>(b)</w:t>
      </w:r>
      <w:r>
        <w:tab/>
        <w:t>strip mining;</w:t>
      </w:r>
    </w:p>
    <w:p>
      <w:pPr>
        <w:pStyle w:val="Defpara"/>
      </w:pPr>
      <w:r>
        <w:tab/>
        <w:t>(c)</w:t>
      </w:r>
      <w:r>
        <w:tab/>
        <w:t>extraction of sand, clay and gravel;</w:t>
      </w:r>
    </w:p>
    <w:p>
      <w:pPr>
        <w:pStyle w:val="Defpara"/>
      </w:pPr>
      <w:r>
        <w:tab/>
        <w:t>(d)</w:t>
      </w:r>
      <w:r>
        <w:tab/>
        <w:t>hydraulic mining; and</w:t>
      </w:r>
    </w:p>
    <w:p>
      <w:pPr>
        <w:pStyle w:val="Defpara"/>
      </w:pPr>
      <w:r>
        <w:tab/>
        <w:t>(e)</w:t>
      </w:r>
      <w:r>
        <w:tab/>
        <w:t xml:space="preserve">solution mining through bore holes or existing openings within the earth, whether natural or resulting from previous mining; </w:t>
      </w:r>
    </w:p>
    <w:p>
      <w:pPr>
        <w:pStyle w:val="Defstart"/>
      </w:pPr>
      <w:r>
        <w:rPr>
          <w:b/>
        </w:rPr>
        <w:tab/>
        <w:t>“</w:t>
      </w:r>
      <w:r>
        <w:rPr>
          <w:rStyle w:val="CharDefText"/>
        </w:rPr>
        <w:t>quarry manager</w:t>
      </w:r>
      <w:r>
        <w:rPr>
          <w:b/>
        </w:rPr>
        <w:t>”</w:t>
      </w:r>
      <w:r>
        <w:t xml:space="preserve"> means the person who has, under the general direction and control of the registered manager, the immediate direction and control of the quarry operations of a mine;</w:t>
      </w:r>
    </w:p>
    <w:p>
      <w:pPr>
        <w:pStyle w:val="Defstart"/>
      </w:pPr>
      <w:r>
        <w:rPr>
          <w:b/>
        </w:rPr>
        <w:tab/>
        <w:t>“</w:t>
      </w:r>
      <w:r>
        <w:rPr>
          <w:rStyle w:val="CharDefText"/>
        </w:rPr>
        <w:t>quarry operations</w:t>
      </w:r>
      <w:r>
        <w:rPr>
          <w:b/>
        </w:rPr>
        <w:t>”</w:t>
      </w:r>
      <w:r>
        <w:t xml:space="preserve"> include activities associated with the extraction of minerals or rock from the open pit but do not include administrative or engineering services or the operation of a treatment plant;</w:t>
      </w:r>
    </w:p>
    <w:p>
      <w:pPr>
        <w:pStyle w:val="Defstart"/>
      </w:pPr>
      <w:r>
        <w:rPr>
          <w:b/>
        </w:rPr>
        <w:tab/>
        <w:t>“</w:t>
      </w:r>
      <w:r>
        <w:rPr>
          <w:rStyle w:val="CharDefText"/>
        </w:rPr>
        <w:t>radiation</w:t>
      </w:r>
      <w:r>
        <w:rPr>
          <w:b/>
        </w:rPr>
        <w:t>”</w:t>
      </w:r>
      <w:r>
        <w:t xml:space="preserve"> means ionising radiation, that is, electromagnetic or corpuscular radiation capable of producing ions directly or indirectly;</w:t>
      </w:r>
    </w:p>
    <w:p>
      <w:pPr>
        <w:pStyle w:val="Defstart"/>
      </w:pPr>
      <w:r>
        <w:rPr>
          <w:b/>
        </w:rPr>
        <w:tab/>
        <w:t>“</w:t>
      </w:r>
      <w:r>
        <w:rPr>
          <w:rStyle w:val="CharDefText"/>
        </w:rPr>
        <w:t>radioactive</w:t>
      </w:r>
      <w:r>
        <w:rPr>
          <w:b/>
        </w:rPr>
        <w:t>”</w:t>
      </w:r>
      <w:r>
        <w:t xml:space="preserve"> means spontaneously emitting radiation by nuclear transformation;</w:t>
      </w:r>
    </w:p>
    <w:p>
      <w:pPr>
        <w:pStyle w:val="Defstart"/>
      </w:pPr>
      <w:r>
        <w:rPr>
          <w:b/>
        </w:rPr>
        <w:tab/>
        <w:t>“</w:t>
      </w:r>
      <w:r>
        <w:rPr>
          <w:rStyle w:val="CharDefText"/>
        </w:rPr>
        <w:t>receiver</w:t>
      </w:r>
      <w:r>
        <w:rPr>
          <w:b/>
        </w:rPr>
        <w:t>”</w:t>
      </w:r>
      <w:r>
        <w:t xml:space="preserve"> includes a receiver and manager;</w:t>
      </w:r>
    </w:p>
    <w:p>
      <w:pPr>
        <w:pStyle w:val="Defstart"/>
      </w:pPr>
      <w:r>
        <w:rPr>
          <w:b/>
        </w:rPr>
        <w:tab/>
        <w:t>“</w:t>
      </w:r>
      <w:r>
        <w:rPr>
          <w:rStyle w:val="CharDefText"/>
        </w:rPr>
        <w:t>record book</w:t>
      </w:r>
      <w:r>
        <w:rPr>
          <w:b/>
        </w:rPr>
        <w:t>”</w:t>
      </w:r>
      <w:r>
        <w:t xml:space="preserve"> means the record book referred to in section 23;</w:t>
      </w:r>
    </w:p>
    <w:p>
      <w:pPr>
        <w:pStyle w:val="Defstart"/>
      </w:pPr>
      <w:r>
        <w:rPr>
          <w:b/>
        </w:rPr>
        <w:tab/>
        <w:t>“</w:t>
      </w:r>
      <w:r>
        <w:rPr>
          <w:rStyle w:val="CharDefText"/>
        </w:rPr>
        <w:t>registered manager</w:t>
      </w:r>
      <w:r>
        <w:rPr>
          <w:b/>
        </w:rPr>
        <w:t>”</w:t>
      </w:r>
      <w:r>
        <w:t xml:space="preserve"> means a person who is appointed registered manager of a mine under section 33;</w:t>
      </w:r>
    </w:p>
    <w:p>
      <w:pPr>
        <w:pStyle w:val="Defstart"/>
      </w:pPr>
      <w:r>
        <w:rPr>
          <w:b/>
        </w:rPr>
        <w:tab/>
        <w:t>“</w:t>
      </w:r>
      <w:r>
        <w:rPr>
          <w:rStyle w:val="CharDefText"/>
        </w:rPr>
        <w:t>repealed Acts</w:t>
      </w:r>
      <w:r>
        <w:rPr>
          <w:b/>
        </w:rPr>
        <w:t>”</w:t>
      </w:r>
      <w:r>
        <w:t xml:space="preserve"> means the </w:t>
      </w:r>
      <w:r>
        <w:rPr>
          <w:i/>
        </w:rPr>
        <w:t>Mines Regulation Act 1946</w:t>
      </w:r>
      <w:r>
        <w:t xml:space="preserve"> and the </w:t>
      </w:r>
      <w:r>
        <w:rPr>
          <w:i/>
        </w:rPr>
        <w:t xml:space="preserve">Coal Mines Regulation Act 1946 </w:t>
      </w:r>
      <w:r>
        <w:t>repealed by this Act;</w:t>
      </w:r>
    </w:p>
    <w:p>
      <w:pPr>
        <w:pStyle w:val="Defstart"/>
      </w:pPr>
      <w:r>
        <w:rPr>
          <w:b/>
        </w:rPr>
        <w:tab/>
        <w:t>“</w:t>
      </w:r>
      <w:r>
        <w:rPr>
          <w:rStyle w:val="CharDefText"/>
        </w:rPr>
        <w:t>rise</w:t>
      </w:r>
      <w:r>
        <w:rPr>
          <w:b/>
        </w:rPr>
        <w:t>”</w:t>
      </w:r>
      <w:r>
        <w:t xml:space="preserve"> means a vertical or steeply inclined development opening driven upward from any level in an underground mine;</w:t>
      </w:r>
    </w:p>
    <w:p>
      <w:pPr>
        <w:pStyle w:val="Defstart"/>
      </w:pPr>
      <w:r>
        <w:rPr>
          <w:b/>
        </w:rPr>
        <w:tab/>
        <w:t>“</w:t>
      </w:r>
      <w:r>
        <w:rPr>
          <w:rStyle w:val="CharDefText"/>
        </w:rPr>
        <w:t>risk</w:t>
      </w:r>
      <w:r>
        <w:rPr>
          <w:b/>
        </w:rPr>
        <w:t>”</w:t>
      </w:r>
      <w:r>
        <w:t xml:space="preserve"> in relation to any injury or harm, means the probability of that injury or harm occurring;</w:t>
      </w:r>
    </w:p>
    <w:p>
      <w:pPr>
        <w:pStyle w:val="Defstart"/>
      </w:pPr>
      <w:r>
        <w:rPr>
          <w:b/>
        </w:rPr>
        <w:tab/>
        <w:t>“</w:t>
      </w:r>
      <w:r>
        <w:rPr>
          <w:rStyle w:val="CharDefText"/>
        </w:rPr>
        <w:t>rock</w:t>
      </w:r>
      <w:r>
        <w:rPr>
          <w:b/>
        </w:rPr>
        <w:t>”</w:t>
      </w:r>
      <w:r>
        <w:t xml:space="preserve"> means any portion of the earth’s crust, whether consolidated or not;</w:t>
      </w:r>
    </w:p>
    <w:p>
      <w:pPr>
        <w:pStyle w:val="Defstart"/>
      </w:pPr>
      <w:r>
        <w:rPr>
          <w:b/>
        </w:rPr>
        <w:tab/>
        <w:t>“</w:t>
      </w:r>
      <w:r>
        <w:rPr>
          <w:rStyle w:val="CharDefText"/>
        </w:rPr>
        <w:t>safety and health committee</w:t>
      </w:r>
      <w:r>
        <w:rPr>
          <w:b/>
        </w:rPr>
        <w:t>”</w:t>
      </w:r>
      <w:r>
        <w:t xml:space="preserve"> means a safety and health committee established under section 65 or 67A;</w:t>
      </w:r>
    </w:p>
    <w:p>
      <w:pPr>
        <w:pStyle w:val="Defstart"/>
      </w:pPr>
      <w:r>
        <w:rPr>
          <w:b/>
        </w:rPr>
        <w:tab/>
        <w:t>“</w:t>
      </w:r>
      <w:r>
        <w:rPr>
          <w:rStyle w:val="CharDefText"/>
        </w:rPr>
        <w:t>safety and health magistrate</w:t>
      </w:r>
      <w:r>
        <w:rPr>
          <w:b/>
        </w:rPr>
        <w:t>”</w:t>
      </w:r>
      <w:r>
        <w:t xml:space="preserve"> means a person holding office as a safety and health magistrate under section 51B of the </w:t>
      </w:r>
      <w:r>
        <w:rPr>
          <w:i/>
        </w:rPr>
        <w:t>Occupational Safety and Health Act 1984</w:t>
      </w:r>
      <w:r>
        <w:t>;</w:t>
      </w:r>
    </w:p>
    <w:p>
      <w:pPr>
        <w:pStyle w:val="Defstart"/>
      </w:pPr>
      <w:r>
        <w:rPr>
          <w:b/>
        </w:rPr>
        <w:tab/>
        <w:t>“</w:t>
      </w:r>
      <w:r>
        <w:rPr>
          <w:rStyle w:val="CharDefText"/>
        </w:rPr>
        <w:t>safety and health representative</w:t>
      </w:r>
      <w:r>
        <w:rPr>
          <w:b/>
        </w:rPr>
        <w:t>”</w:t>
      </w:r>
      <w:r>
        <w:t xml:space="preserve"> means a safety and health representative elected under section 56;</w:t>
      </w:r>
    </w:p>
    <w:p>
      <w:pPr>
        <w:pStyle w:val="Defstart"/>
      </w:pPr>
      <w:r>
        <w:rPr>
          <w:b/>
        </w:rPr>
        <w:tab/>
        <w:t>“</w:t>
      </w:r>
      <w:r>
        <w:rPr>
          <w:rStyle w:val="CharDefText"/>
        </w:rPr>
        <w:t>self</w:t>
      </w:r>
      <w:r>
        <w:rPr>
          <w:rStyle w:val="CharDefText"/>
        </w:rPr>
        <w:noBreakHyphen/>
        <w:t>employed person</w:t>
      </w:r>
      <w:r>
        <w:rPr>
          <w:b/>
        </w:rPr>
        <w:t>”</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 or trainee,</w:t>
      </w:r>
    </w:p>
    <w:p>
      <w:pPr>
        <w:pStyle w:val="Defstart"/>
      </w:pPr>
      <w:r>
        <w:tab/>
      </w:r>
      <w:r>
        <w:tab/>
        <w:t>whether or not the individual is an employer;</w:t>
      </w:r>
    </w:p>
    <w:p>
      <w:pPr>
        <w:pStyle w:val="Defstart"/>
      </w:pPr>
      <w:r>
        <w:rPr>
          <w:b/>
        </w:rPr>
        <w:tab/>
        <w:t>“</w:t>
      </w:r>
      <w:r>
        <w:rPr>
          <w:rStyle w:val="CharDefText"/>
        </w:rPr>
        <w:t>senior inspector</w:t>
      </w:r>
      <w:r>
        <w:rPr>
          <w:b/>
        </w:rPr>
        <w:t>”</w:t>
      </w:r>
      <w:r>
        <w:t xml:space="preserve"> means a person who is a district inspector and has been appointed by the State mining engineer as the senior inspector responsible for all, or a specified part, of the State;</w:t>
      </w:r>
    </w:p>
    <w:p>
      <w:pPr>
        <w:pStyle w:val="Defstart"/>
      </w:pPr>
      <w:r>
        <w:rPr>
          <w:b/>
        </w:rPr>
        <w:tab/>
        <w:t>“</w:t>
      </w:r>
      <w:r>
        <w:rPr>
          <w:rStyle w:val="CharDefText"/>
        </w:rPr>
        <w:t>shaft</w:t>
      </w:r>
      <w:r>
        <w:rPr>
          <w:b/>
        </w:rPr>
        <w:t>”</w:t>
      </w:r>
      <w:r>
        <w:t xml:space="preserve"> means — </w:t>
      </w:r>
    </w:p>
    <w:p>
      <w:pPr>
        <w:pStyle w:val="Defpara"/>
      </w:pPr>
      <w:r>
        <w:tab/>
        <w:t>(a)</w:t>
      </w:r>
      <w:r>
        <w:tab/>
        <w:t>a vertical or inclined development opening into or within a mine through which persons and materials are raised and lowered using winding engines and through which services including ventilation may be provided; and</w:t>
      </w:r>
    </w:p>
    <w:p>
      <w:pPr>
        <w:pStyle w:val="Defpara"/>
      </w:pPr>
      <w:r>
        <w:tab/>
        <w:t>(b)</w:t>
      </w:r>
      <w:r>
        <w:tab/>
        <w:t>a vertical or inclined development opening into or within a mine used for ventilation,</w:t>
      </w:r>
    </w:p>
    <w:p>
      <w:pPr>
        <w:pStyle w:val="Defstart"/>
      </w:pPr>
      <w:r>
        <w:tab/>
      </w:r>
      <w:r>
        <w:tab/>
        <w:t>but does not include a winze constructed from the surface or an underground level which may be used temporarily for the raising and lowering of persons or materials unless, in the opinion of an inspector, the winze is used as a shaft;</w:t>
      </w:r>
    </w:p>
    <w:p>
      <w:pPr>
        <w:pStyle w:val="Defstart"/>
      </w:pPr>
      <w:r>
        <w:rPr>
          <w:b/>
        </w:rPr>
        <w:tab/>
        <w:t>“</w:t>
      </w:r>
      <w:r>
        <w:rPr>
          <w:rStyle w:val="CharDefText"/>
        </w:rPr>
        <w:t>special inspector</w:t>
      </w:r>
      <w:r>
        <w:rPr>
          <w:b/>
        </w:rPr>
        <w:t>”</w:t>
      </w:r>
      <w:r>
        <w:t xml:space="preserve"> means a special inspector of mines appointed under section 17 in accordance with section 18;</w:t>
      </w:r>
    </w:p>
    <w:p>
      <w:pPr>
        <w:pStyle w:val="Defstart"/>
      </w:pPr>
      <w:r>
        <w:rPr>
          <w:b/>
        </w:rPr>
        <w:tab/>
        <w:t>“</w:t>
      </w:r>
      <w:r>
        <w:rPr>
          <w:rStyle w:val="CharDefText"/>
        </w:rPr>
        <w:t>State coal mining engineer</w:t>
      </w:r>
      <w:r>
        <w:rPr>
          <w:b/>
        </w:rPr>
        <w:t>”</w:t>
      </w:r>
      <w:r>
        <w:t xml:space="preserve"> means the State coal mining engineer appointed under section 16;</w:t>
      </w:r>
    </w:p>
    <w:p>
      <w:pPr>
        <w:pStyle w:val="Defstart"/>
      </w:pPr>
      <w:r>
        <w:rPr>
          <w:b/>
        </w:rPr>
        <w:tab/>
        <w:t>“</w:t>
      </w:r>
      <w:r>
        <w:rPr>
          <w:rStyle w:val="CharDefText"/>
        </w:rPr>
        <w:t>State mining engineer</w:t>
      </w:r>
      <w:r>
        <w:rPr>
          <w:b/>
        </w:rPr>
        <w:t>”</w:t>
      </w:r>
      <w:r>
        <w:t xml:space="preserve"> means the State mining engineer appointed under section 16;</w:t>
      </w:r>
    </w:p>
    <w:p>
      <w:pPr>
        <w:pStyle w:val="Defstart"/>
      </w:pPr>
      <w:r>
        <w:rPr>
          <w:b/>
        </w:rPr>
        <w:tab/>
        <w:t>“</w:t>
      </w:r>
      <w:r>
        <w:rPr>
          <w:rStyle w:val="CharDefText"/>
        </w:rPr>
        <w:t>supervisor</w:t>
      </w:r>
      <w:r>
        <w:rPr>
          <w:b/>
        </w:rPr>
        <w:t>”</w:t>
      </w:r>
      <w:r>
        <w:t xml:space="preserve"> in relation to underground mining operations or to a quarry, means a person who has the immediate supervision of employees and the direction of mining operations under the control of an underground manager, underground superintendent, quarry manager, or foreman;</w:t>
      </w:r>
    </w:p>
    <w:p>
      <w:pPr>
        <w:pStyle w:val="Defstart"/>
      </w:pPr>
      <w:r>
        <w:rPr>
          <w:b/>
        </w:rPr>
        <w:tab/>
        <w:t>“</w:t>
      </w:r>
      <w:r>
        <w:rPr>
          <w:rStyle w:val="CharDefText"/>
        </w:rPr>
        <w:t>supply</w:t>
      </w:r>
      <w:r>
        <w:rPr>
          <w:b/>
        </w:rPr>
        <w:t>”</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t>“</w:t>
      </w:r>
      <w:r>
        <w:rPr>
          <w:rStyle w:val="CharDefText"/>
        </w:rPr>
        <w:t>trade union</w:t>
      </w:r>
      <w:r>
        <w:rPr>
          <w:b/>
        </w:rPr>
        <w:t>”</w:t>
      </w:r>
      <w:r>
        <w:t xml:space="preserve"> means —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 xml:space="preserve">Industrial Relations Act 1988 </w:t>
      </w:r>
      <w:r>
        <w:t>of the Commonwealth and having employees as some or all of its members, or a branch of such an organisation;</w:t>
      </w:r>
    </w:p>
    <w:p>
      <w:pPr>
        <w:pStyle w:val="Defstart"/>
      </w:pPr>
      <w:r>
        <w:rPr>
          <w:b/>
        </w:rPr>
        <w:tab/>
        <w:t>“</w:t>
      </w:r>
      <w:r>
        <w:rPr>
          <w:rStyle w:val="CharDefText"/>
        </w:rPr>
        <w:t>trainee</w:t>
      </w:r>
      <w:r>
        <w:rPr>
          <w:b/>
        </w:rPr>
        <w:t>”</w:t>
      </w:r>
      <w:r>
        <w:t xml:space="preserve"> means a person belonging to a class of persons defined by the regulations as trainees for the purposes of this Act;</w:t>
      </w:r>
    </w:p>
    <w:p>
      <w:pPr>
        <w:pStyle w:val="Defstart"/>
      </w:pPr>
      <w:r>
        <w:rPr>
          <w:b/>
        </w:rPr>
        <w:tab/>
        <w:t>“</w:t>
      </w:r>
      <w:r>
        <w:rPr>
          <w:rStyle w:val="CharDefText"/>
        </w:rPr>
        <w:t>Tribunal</w:t>
      </w:r>
      <w:r>
        <w:rPr>
          <w:b/>
        </w:rPr>
        <w:t>”</w:t>
      </w:r>
      <w:r>
        <w:t xml:space="preserve"> has the meaning given by section 51G(2) of the </w:t>
      </w:r>
      <w:r>
        <w:rPr>
          <w:i/>
        </w:rPr>
        <w:t>Occupational Safety and Health Act 1984</w:t>
      </w:r>
      <w:r>
        <w:t>;</w:t>
      </w:r>
    </w:p>
    <w:p>
      <w:pPr>
        <w:pStyle w:val="Defstart"/>
      </w:pPr>
      <w:r>
        <w:rPr>
          <w:b/>
        </w:rPr>
        <w:tab/>
        <w:t>“</w:t>
      </w:r>
      <w:r>
        <w:rPr>
          <w:rStyle w:val="CharDefText"/>
        </w:rPr>
        <w:t>tunnel</w:t>
      </w:r>
      <w:r>
        <w:rPr>
          <w:b/>
        </w:rPr>
        <w:t>”</w:t>
      </w:r>
      <w:r>
        <w:t xml:space="preserve"> or </w:t>
      </w:r>
      <w:r>
        <w:rPr>
          <w:b/>
        </w:rPr>
        <w:t>“</w:t>
      </w:r>
      <w:r>
        <w:rPr>
          <w:rStyle w:val="CharDefText"/>
        </w:rPr>
        <w:t>adit</w:t>
      </w:r>
      <w:r>
        <w:rPr>
          <w:b/>
        </w:rPr>
        <w:t>”</w:t>
      </w:r>
      <w:r>
        <w:t xml:space="preserve"> means a horizontal or moderately graded development opening into a mine through which persons and materials are transported and services, including ventilation, are maintained, or any combination of these functions or services is maintained;</w:t>
      </w:r>
    </w:p>
    <w:p>
      <w:pPr>
        <w:pStyle w:val="Defstart"/>
      </w:pPr>
      <w:r>
        <w:rPr>
          <w:b/>
        </w:rPr>
        <w:tab/>
        <w:t>“</w:t>
      </w:r>
      <w:r>
        <w:rPr>
          <w:rStyle w:val="CharDefText"/>
        </w:rPr>
        <w:t>underground</w:t>
      </w:r>
      <w:r>
        <w:rPr>
          <w:b/>
        </w:rPr>
        <w:t>”</w:t>
      </w:r>
      <w:r>
        <w: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t>
      </w:r>
    </w:p>
    <w:p>
      <w:pPr>
        <w:pStyle w:val="Defstart"/>
      </w:pPr>
      <w:r>
        <w:rPr>
          <w:b/>
        </w:rPr>
        <w:tab/>
        <w:t>“</w:t>
      </w:r>
      <w:r>
        <w:rPr>
          <w:rStyle w:val="CharDefText"/>
        </w:rPr>
        <w:t>underground manager</w:t>
      </w:r>
      <w:r>
        <w:rPr>
          <w:b/>
        </w:rPr>
        <w:t>”</w:t>
      </w:r>
      <w:r>
        <w:t xml:space="preserve"> means the person who has, under the general direction and control of the registered manager, the immediate direction and control of the underground operations of a mine;</w:t>
      </w:r>
    </w:p>
    <w:p>
      <w:pPr>
        <w:pStyle w:val="Defstart"/>
      </w:pPr>
      <w:r>
        <w:rPr>
          <w:b/>
        </w:rPr>
        <w:tab/>
        <w:t>“</w:t>
      </w:r>
      <w:r>
        <w:rPr>
          <w:rStyle w:val="CharDefText"/>
        </w:rPr>
        <w:t>underground superintendent</w:t>
      </w:r>
      <w:r>
        <w:rPr>
          <w:b/>
        </w:rPr>
        <w:t>”</w:t>
      </w:r>
      <w:r>
        <w:t xml:space="preserve"> means an underground manager or assistant underground manager of a mine, or a section of a mine, to whom the underground foreman or underground supervisor is responsible;</w:t>
      </w:r>
    </w:p>
    <w:p>
      <w:pPr>
        <w:pStyle w:val="Defstart"/>
      </w:pPr>
      <w:r>
        <w:rPr>
          <w:b/>
        </w:rPr>
        <w:tab/>
        <w:t>“</w:t>
      </w:r>
      <w:r>
        <w:rPr>
          <w:rStyle w:val="CharDefText"/>
        </w:rPr>
        <w:t>winding engine</w:t>
      </w:r>
      <w:r>
        <w:rPr>
          <w:b/>
        </w:rPr>
        <w:t>”</w:t>
      </w:r>
      <w:r>
        <w:t xml:space="preserve"> means any machinery used to raise or lower, by means of a rope or ropes, conveyances in a shaft or winze for the transport of persons, material, or rock but does not include any lifting machine, endless rope haulage or scraper winch installation;</w:t>
      </w:r>
    </w:p>
    <w:p>
      <w:pPr>
        <w:pStyle w:val="Defstart"/>
      </w:pPr>
      <w:r>
        <w:rPr>
          <w:b/>
        </w:rPr>
        <w:tab/>
        <w:t>“</w:t>
      </w:r>
      <w:r>
        <w:rPr>
          <w:rStyle w:val="CharDefText"/>
        </w:rPr>
        <w:t>winze</w:t>
      </w:r>
      <w:r>
        <w:rPr>
          <w:b/>
        </w:rPr>
        <w:t>”</w:t>
      </w:r>
      <w:r>
        <w:t xml:space="preserve"> means a vertical or steeply inclined development opening sunk downward from any level in an underground mine, or from the surface into a mine;</w:t>
      </w:r>
    </w:p>
    <w:p>
      <w:pPr>
        <w:pStyle w:val="Defstart"/>
      </w:pPr>
      <w:r>
        <w:rPr>
          <w:b/>
        </w:rPr>
        <w:tab/>
        <w:t>“</w:t>
      </w:r>
      <w:r>
        <w:rPr>
          <w:rStyle w:val="CharDefText"/>
        </w:rPr>
        <w:t>workmen’s inspector</w:t>
      </w:r>
      <w:r>
        <w:rPr>
          <w:b/>
        </w:rPr>
        <w:t>”</w:t>
      </w:r>
      <w:r>
        <w:t xml:space="preserve"> means a workmen’s inspector of mines appointed under a repealed Act;</w:t>
      </w:r>
    </w:p>
    <w:p>
      <w:pPr>
        <w:pStyle w:val="Defstart"/>
      </w:pPr>
      <w:r>
        <w:rPr>
          <w:b/>
        </w:rPr>
        <w:tab/>
        <w:t>“</w:t>
      </w:r>
      <w:r>
        <w:rPr>
          <w:rStyle w:val="CharDefText"/>
        </w:rPr>
        <w:t>workplace</w:t>
      </w:r>
      <w:r>
        <w:rPr>
          <w:b/>
        </w:rPr>
        <w:t>”</w:t>
      </w:r>
      <w:r>
        <w:t xml:space="preserve"> in relation to a mine, means a place, whether or not in a vehicle, building, or other structure, where employees or self</w:t>
      </w:r>
      <w:r>
        <w:noBreakHyphen/>
        <w:t>employed persons work or are likely to be in the course of their work, but does not include catering, residential, or recreational facilities for employees or self</w:t>
      </w:r>
      <w:r>
        <w:noBreakHyphen/>
        <w:t>employed persons except in the case of persons who are employed to service and maintain those facilities.</w:t>
      </w:r>
    </w:p>
    <w:p>
      <w:pPr>
        <w:pStyle w:val="Subsection"/>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rPr>
          <w:snapToGrid w:val="0"/>
        </w:rPr>
      </w:pPr>
      <w:r>
        <w:rPr>
          <w:snapToGrid w:val="0"/>
        </w:rPr>
        <w:tab/>
        <w:t>(3)</w:t>
      </w:r>
      <w:r>
        <w:rPr>
          <w:snapToGrid w:val="0"/>
        </w:rPr>
        <w:tab/>
        <w:t>Where mining operations are being carried on in conjunction with one another at 2 or more places, the State mining engineer may notify the principal employer in writing that each of those places or such of those places as are specified in the notice are to be regarded as separate mines for the purposes of this Act.</w:t>
      </w:r>
    </w:p>
    <w:p>
      <w:pPr>
        <w:pStyle w:val="Subsection"/>
        <w:keepNext/>
        <w:keepLines/>
        <w:rPr>
          <w:snapToGrid w:val="0"/>
        </w:rPr>
      </w:pPr>
      <w:r>
        <w:rPr>
          <w:snapToGrid w:val="0"/>
        </w:rPr>
        <w:tab/>
        <w:t>(4)</w:t>
      </w:r>
      <w:r>
        <w:rPr>
          <w:snapToGrid w:val="0"/>
        </w:rPr>
        <w:tab/>
        <w:t>For the purposes of sections </w:t>
      </w:r>
      <w:r>
        <w:t xml:space="preserve">8B(2), 9A(2), 10A(2), 12A(2), 12C(2), 13A(2), 15(2), 15E(2), 99A(2)(a)(iv) and 100A(2)(a)(iii) </w:t>
      </w:r>
      <w:r>
        <w:rPr>
          <w:snapToGrid w:val="0"/>
        </w:rPr>
        <w:t>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Footnotesection"/>
      </w:pPr>
      <w:r>
        <w:tab/>
        <w:t xml:space="preserve">[Section 4 amended by No. 30 of 1995 s. 53 and 76(1); No. 79 of 1995 s. 67(4); No. 14 of 1996 s. 4; No. 16 of 2002 s. 3; No. 7 of 2004 s. 70; No. 51 of 2004 s. 115(2); No. 68 of 2004 s. 14, 49, 73, 80 and 88.] </w:t>
      </w:r>
    </w:p>
    <w:p>
      <w:pPr>
        <w:pStyle w:val="Heading5"/>
      </w:pPr>
      <w:bookmarkStart w:id="7" w:name="_Toc192041018"/>
      <w:r>
        <w:rPr>
          <w:rStyle w:val="CharSectno"/>
        </w:rPr>
        <w:t>4A</w:t>
      </w:r>
      <w:r>
        <w:t>.</w:t>
      </w:r>
      <w:r>
        <w:tab/>
        <w:t>Penalty levels defined</w:t>
      </w:r>
      <w:bookmarkEnd w:id="7"/>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keepNext/>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corporation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corporation — </w:t>
      </w:r>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4A inserted by No. 68 of 2004 s. 15.]</w:t>
      </w:r>
    </w:p>
    <w:p>
      <w:pPr>
        <w:pStyle w:val="Heading5"/>
      </w:pPr>
      <w:bookmarkStart w:id="8" w:name="_Toc192041019"/>
      <w:r>
        <w:rPr>
          <w:rStyle w:val="CharSectno"/>
        </w:rPr>
        <w:t>4B</w:t>
      </w:r>
      <w:r>
        <w:t>.</w:t>
      </w:r>
      <w:r>
        <w:tab/>
        <w:t>Meaning of “</w:t>
      </w:r>
      <w:r>
        <w:rPr>
          <w:rStyle w:val="CharDefText"/>
          <w:b/>
          <w:bCs/>
        </w:rPr>
        <w:t>first offence</w:t>
      </w:r>
      <w:r>
        <w:t>” and “</w:t>
      </w:r>
      <w:r>
        <w:rPr>
          <w:rStyle w:val="CharDefText"/>
          <w:b/>
          <w:bCs/>
        </w:rPr>
        <w:t>subsequent offence</w:t>
      </w:r>
      <w:r>
        <w:t>”</w:t>
      </w:r>
      <w:bookmarkEnd w:id="8"/>
    </w:p>
    <w:p>
      <w:pPr>
        <w:pStyle w:val="Subsection"/>
        <w:outlineLvl w:val="0"/>
      </w:pPr>
      <w:r>
        <w:tab/>
        <w:t>(1)</w:t>
      </w:r>
      <w:r>
        <w:tab/>
        <w:t xml:space="preserve">In this section — </w:t>
      </w:r>
    </w:p>
    <w:p>
      <w:pPr>
        <w:pStyle w:val="Defstart"/>
      </w:pPr>
      <w:r>
        <w:rPr>
          <w:b/>
        </w:rPr>
        <w:tab/>
        <w:t>“</w:t>
      </w:r>
      <w:r>
        <w:rPr>
          <w:rStyle w:val="CharDefText"/>
        </w:rPr>
        <w:t>relevant day</w:t>
      </w:r>
      <w:r>
        <w:rPr>
          <w:b/>
        </w:rPr>
        <w:t>”</w:t>
      </w:r>
      <w:r>
        <w:t xml:space="preserve"> means the day on which section 15 of the </w:t>
      </w:r>
      <w:r>
        <w:rPr>
          <w:i/>
        </w:rPr>
        <w:t>Mines Safety and Inspection Amendment Act 2004</w:t>
      </w:r>
      <w:r>
        <w:t xml:space="preserve"> comes into operation.</w:t>
      </w:r>
    </w:p>
    <w:p>
      <w:pPr>
        <w:pStyle w:val="Subsection"/>
        <w:outlineLvl w:val="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4B inserted by No. 68 of 2004 s. 15.]</w:t>
      </w:r>
    </w:p>
    <w:p>
      <w:pPr>
        <w:pStyle w:val="Heading5"/>
        <w:rPr>
          <w:snapToGrid w:val="0"/>
        </w:rPr>
      </w:pPr>
      <w:bookmarkStart w:id="9" w:name="_Toc192041020"/>
      <w:r>
        <w:rPr>
          <w:rStyle w:val="CharSectno"/>
        </w:rPr>
        <w:t>5</w:t>
      </w:r>
      <w:r>
        <w:rPr>
          <w:snapToGrid w:val="0"/>
        </w:rPr>
        <w:t>.</w:t>
      </w:r>
      <w:r>
        <w:rPr>
          <w:snapToGrid w:val="0"/>
        </w:rPr>
        <w:tab/>
        <w:t>Crown bound</w:t>
      </w:r>
      <w:bookmarkEnd w:id="9"/>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10" w:name="_Toc192041021"/>
      <w:r>
        <w:rPr>
          <w:rStyle w:val="CharSectno"/>
        </w:rPr>
        <w:t>6</w:t>
      </w:r>
      <w:r>
        <w:rPr>
          <w:snapToGrid w:val="0"/>
        </w:rPr>
        <w:t>.</w:t>
      </w:r>
      <w:r>
        <w:rPr>
          <w:snapToGrid w:val="0"/>
        </w:rPr>
        <w:tab/>
        <w:t>Application to certain excavations, shafts, or tunnels</w:t>
      </w:r>
      <w:bookmarkEnd w:id="10"/>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declare any surface or underground excavation, shaft, or tunnel constructed for purposes other than those set out in the definition of “mining operations”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pPr>
      <w:bookmarkStart w:id="11" w:name="_Toc192041022"/>
      <w:r>
        <w:rPr>
          <w:rStyle w:val="CharSectno"/>
        </w:rPr>
        <w:t>6A</w:t>
      </w:r>
      <w:r>
        <w:t>.</w:t>
      </w:r>
      <w:r>
        <w:tab/>
        <w:t xml:space="preserve">Application of this Act to a workplace under the </w:t>
      </w:r>
      <w:r>
        <w:rPr>
          <w:i/>
        </w:rPr>
        <w:t>Occupational Safety and Health Act 1984</w:t>
      </w:r>
      <w:bookmarkEnd w:id="11"/>
    </w:p>
    <w:p>
      <w:pPr>
        <w:pStyle w:val="Subsection"/>
      </w:pPr>
      <w:r>
        <w:tab/>
        <w:t>(1)</w:t>
      </w:r>
      <w:r>
        <w:tab/>
        <w:t xml:space="preserve">In this section — </w:t>
      </w:r>
    </w:p>
    <w:p>
      <w:pPr>
        <w:pStyle w:val="Defstart"/>
      </w:pPr>
      <w:r>
        <w:rPr>
          <w:b/>
        </w:rPr>
        <w:tab/>
        <w:t>“</w:t>
      </w:r>
      <w:r>
        <w:rPr>
          <w:rStyle w:val="CharDefText"/>
        </w:rPr>
        <w:t>specified</w:t>
      </w:r>
      <w:r>
        <w:rPr>
          <w:b/>
        </w:rPr>
        <w:t>”</w:t>
      </w:r>
      <w:r>
        <w:t xml:space="preserve"> means specified in an instrument under this section;</w:t>
      </w:r>
    </w:p>
    <w:p>
      <w:pPr>
        <w:pStyle w:val="Defstart"/>
      </w:pPr>
      <w:r>
        <w:rPr>
          <w:b/>
        </w:rPr>
        <w:tab/>
        <w:t>“</w:t>
      </w:r>
      <w:r>
        <w:rPr>
          <w:rStyle w:val="CharDefText"/>
        </w:rPr>
        <w:t>workplace</w:t>
      </w:r>
      <w:r>
        <w:rPr>
          <w:b/>
        </w:rPr>
        <w:t>”</w:t>
      </w:r>
      <w:r>
        <w:t xml:space="preserve"> has the meaning given by the </w:t>
      </w:r>
      <w:r>
        <w:rPr>
          <w:i/>
        </w:rPr>
        <w:t>Occupational Safety and Health Act 1984</w:t>
      </w:r>
      <w:r>
        <w:t>.</w:t>
      </w:r>
    </w:p>
    <w:p>
      <w:pPr>
        <w:pStyle w:val="Subsection"/>
      </w:pPr>
      <w:r>
        <w:tab/>
        <w:t>(2)</w:t>
      </w:r>
      <w:r>
        <w:tab/>
        <w:t xml:space="preserve">The Minister and the Minister for the time being administering the </w:t>
      </w:r>
      <w:r>
        <w:rPr>
          <w:i/>
        </w:rPr>
        <w:t>Occupational Safety and Health Act 1984</w:t>
      </w:r>
      <w:r>
        <w:t xml:space="preserve"> may, by instrument in writing, jointly declare that for a specified period — </w:t>
      </w:r>
    </w:p>
    <w:p>
      <w:pPr>
        <w:pStyle w:val="Indenta"/>
      </w:pPr>
      <w:r>
        <w:tab/>
        <w:t>(a)</w:t>
      </w:r>
      <w:r>
        <w:tab/>
        <w:t>this Act; or</w:t>
      </w:r>
    </w:p>
    <w:p>
      <w:pPr>
        <w:pStyle w:val="Indenta"/>
      </w:pPr>
      <w:r>
        <w:tab/>
        <w:t>(b)</w:t>
      </w:r>
      <w:r>
        <w:tab/>
        <w:t>any specified provision of this Act,</w:t>
      </w:r>
    </w:p>
    <w:p>
      <w:pPr>
        <w:pStyle w:val="Subsection"/>
      </w:pPr>
      <w:r>
        <w:tab/>
      </w:r>
      <w:r>
        <w:tab/>
        <w:t xml:space="preserve">applies, to the exclusion of any inconsistent provision of the </w:t>
      </w:r>
      <w:r>
        <w:rPr>
          <w:i/>
        </w:rPr>
        <w:t>Occupational Safety and Health Act 1984</w:t>
      </w:r>
      <w:r>
        <w:t xml:space="preserve">, to or in relation to — </w:t>
      </w:r>
    </w:p>
    <w:p>
      <w:pPr>
        <w:pStyle w:val="Indenta"/>
      </w:pPr>
      <w:r>
        <w:tab/>
        <w:t>(c)</w:t>
      </w:r>
      <w:r>
        <w:tab/>
        <w:t xml:space="preserve">a specified workplace, or a specified part of a workplace, as if it were a mine or a part of a mine; </w:t>
      </w:r>
    </w:p>
    <w:p>
      <w:pPr>
        <w:pStyle w:val="Indenta"/>
      </w:pPr>
      <w:r>
        <w:tab/>
        <w:t>(d)</w:t>
      </w:r>
      <w:r>
        <w:tab/>
        <w:t>a specified activity as if it were a mining operation; and</w:t>
      </w:r>
    </w:p>
    <w:p>
      <w:pPr>
        <w:pStyle w:val="Indenta"/>
      </w:pPr>
      <w:r>
        <w:tab/>
        <w:t>(e)</w:t>
      </w:r>
      <w:r>
        <w:tab/>
        <w:t>a specified act, matter or thing as if it were an act, matter or thing to which this Act applies.</w:t>
      </w:r>
    </w:p>
    <w:p>
      <w:pPr>
        <w:pStyle w:val="Subsection"/>
      </w:pPr>
      <w:r>
        <w:tab/>
        <w:t>(3)</w:t>
      </w:r>
      <w:r>
        <w:tab/>
        <w:t xml:space="preserve">The reference in subsection (2) to any inconsistent provision of the </w:t>
      </w:r>
      <w:r>
        <w:rPr>
          <w:i/>
        </w:rPr>
        <w:t>Occupational Safety and Health Act 1984</w:t>
      </w:r>
      <w:r>
        <w:t xml:space="preserve"> does not include any provision of Part II of that Act.</w:t>
      </w:r>
    </w:p>
    <w:p>
      <w:pPr>
        <w:pStyle w:val="Subsection"/>
      </w:pPr>
      <w:r>
        <w:tab/>
        <w:t>(4)</w:t>
      </w:r>
      <w:r>
        <w:tab/>
        <w:t xml:space="preserve">An instrument under this section may contain provisions of a savings or transitional nature in relation to the application of this Act or the </w:t>
      </w:r>
      <w:r>
        <w:rPr>
          <w:i/>
        </w:rPr>
        <w:t>Occupational Safety and Health Act 1984</w:t>
      </w:r>
      <w:r>
        <w:t xml:space="preserve"> to any person, activity, matter or thing.</w:t>
      </w:r>
    </w:p>
    <w:p>
      <w:pPr>
        <w:pStyle w:val="Subsection"/>
      </w:pPr>
      <w:r>
        <w:tab/>
        <w:t>(5)</w:t>
      </w:r>
      <w:r>
        <w:tab/>
        <w:t xml:space="preserve">An instrument under this section is subsidiary legislation for the purposes of the </w:t>
      </w:r>
      <w:r>
        <w:rPr>
          <w:i/>
        </w:rPr>
        <w:t>Interpretation Act 1984</w:t>
      </w:r>
      <w:r>
        <w:t>.</w:t>
      </w:r>
    </w:p>
    <w:p>
      <w:pPr>
        <w:pStyle w:val="Footnotesection"/>
      </w:pPr>
      <w:r>
        <w:tab/>
        <w:t>[Section 6A inserted by No. 68 of 2004 s. 89.]</w:t>
      </w:r>
    </w:p>
    <w:p>
      <w:pPr>
        <w:pStyle w:val="Heading5"/>
        <w:rPr>
          <w:snapToGrid w:val="0"/>
        </w:rPr>
      </w:pPr>
      <w:bookmarkStart w:id="12" w:name="_Toc192041023"/>
      <w:r>
        <w:rPr>
          <w:rStyle w:val="CharSectno"/>
        </w:rPr>
        <w:t>7</w:t>
      </w:r>
      <w:r>
        <w:rPr>
          <w:snapToGrid w:val="0"/>
        </w:rPr>
        <w:t>.</w:t>
      </w:r>
      <w:r>
        <w:rPr>
          <w:snapToGrid w:val="0"/>
        </w:rPr>
        <w:tab/>
        <w:t>Relationship with other Acts</w:t>
      </w:r>
      <w:bookmarkEnd w:id="12"/>
    </w:p>
    <w:p>
      <w:pPr>
        <w:pStyle w:val="Subsection"/>
        <w:rPr>
          <w:snapToGrid w:val="0"/>
        </w:rPr>
      </w:pPr>
      <w:r>
        <w:rPr>
          <w:snapToGrid w:val="0"/>
        </w:rPr>
        <w:tab/>
        <w:t>(1)</w:t>
      </w:r>
      <w:r>
        <w:rPr>
          <w:snapToGrid w:val="0"/>
        </w:rPr>
        <w:tab/>
        <w:t xml:space="preserve">If a provision of this Act is inconsistent with a provision of the </w:t>
      </w:r>
      <w:r>
        <w:rPr>
          <w:i/>
          <w:snapToGrid w:val="0"/>
        </w:rPr>
        <w:t>Radiation Safety Act 1975,</w:t>
      </w:r>
      <w:r>
        <w:rPr>
          <w:snapToGrid w:val="0"/>
        </w:rPr>
        <w:t xml:space="preserve"> the latter provision prevails to the extent of the inconsistency.</w:t>
      </w:r>
    </w:p>
    <w:p>
      <w:pPr>
        <w:pStyle w:val="Subsection"/>
        <w:rPr>
          <w:snapToGrid w:val="0"/>
        </w:rPr>
      </w:pPr>
      <w:r>
        <w:rPr>
          <w:snapToGrid w:val="0"/>
        </w:rPr>
        <w:tab/>
        <w:t>(2)</w:t>
      </w:r>
      <w:r>
        <w:rPr>
          <w:snapToGrid w:val="0"/>
        </w:rPr>
        <w:tab/>
        <w:t xml:space="preserve">This Act does not apply to or in relation to a railway to which the </w:t>
      </w:r>
      <w:r>
        <w:rPr>
          <w:i/>
          <w:snapToGrid w:val="0"/>
        </w:rPr>
        <w:t>Rail Safety Act 1998</w:t>
      </w:r>
      <w:r>
        <w:rPr>
          <w:snapToGrid w:val="0"/>
        </w:rPr>
        <w:t xml:space="preserve"> applies or to the ownership or operation of such a railway.</w:t>
      </w:r>
    </w:p>
    <w:p>
      <w:pPr>
        <w:pStyle w:val="Footnotesection"/>
      </w:pPr>
      <w:r>
        <w:tab/>
        <w:t>[Section 7 amended by No. 32 of 1998 s. 64(2).]</w:t>
      </w:r>
    </w:p>
    <w:p>
      <w:pPr>
        <w:pStyle w:val="Heading5"/>
        <w:rPr>
          <w:snapToGrid w:val="0"/>
        </w:rPr>
      </w:pPr>
      <w:bookmarkStart w:id="13" w:name="_Toc192041024"/>
      <w:r>
        <w:rPr>
          <w:rStyle w:val="CharSectno"/>
        </w:rPr>
        <w:t>8</w:t>
      </w:r>
      <w:r>
        <w:rPr>
          <w:snapToGrid w:val="0"/>
        </w:rPr>
        <w:t>.</w:t>
      </w:r>
      <w:r>
        <w:rPr>
          <w:snapToGrid w:val="0"/>
        </w:rPr>
        <w:tab/>
        <w:t>Power to exempt</w:t>
      </w:r>
      <w:bookmarkEnd w:id="13"/>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pPr>
      <w:bookmarkStart w:id="14" w:name="_Toc192041025"/>
      <w:r>
        <w:rPr>
          <w:rStyle w:val="CharPartNo"/>
        </w:rPr>
        <w:t>Part 2</w:t>
      </w:r>
      <w:r>
        <w:t> — </w:t>
      </w:r>
      <w:r>
        <w:rPr>
          <w:rStyle w:val="CharPartText"/>
        </w:rPr>
        <w:t>General duties relating to occupational safety and health</w:t>
      </w:r>
      <w:bookmarkEnd w:id="14"/>
      <w:r>
        <w:rPr>
          <w:rStyle w:val="CharPartText"/>
        </w:rPr>
        <w:t xml:space="preserve"> </w:t>
      </w:r>
    </w:p>
    <w:p>
      <w:pPr>
        <w:pStyle w:val="Footnoteheading"/>
      </w:pPr>
      <w:r>
        <w:tab/>
        <w:t xml:space="preserve">[Heading amended by No. 30 of 1995 s. 76(1).] </w:t>
      </w:r>
    </w:p>
    <w:p>
      <w:pPr>
        <w:pStyle w:val="Heading3"/>
      </w:pPr>
      <w:bookmarkStart w:id="15" w:name="_Toc192041026"/>
      <w:r>
        <w:rPr>
          <w:rStyle w:val="CharDivNo"/>
        </w:rPr>
        <w:t>Division 1</w:t>
      </w:r>
      <w:r>
        <w:t> — </w:t>
      </w:r>
      <w:r>
        <w:rPr>
          <w:rStyle w:val="CharDivText"/>
        </w:rPr>
        <w:t>Preliminary</w:t>
      </w:r>
      <w:bookmarkEnd w:id="15"/>
    </w:p>
    <w:p>
      <w:pPr>
        <w:pStyle w:val="Footnoteheading"/>
      </w:pPr>
      <w:r>
        <w:tab/>
        <w:t xml:space="preserve">[Heading inserted by No. 68 of 2004 s. 17.] </w:t>
      </w:r>
    </w:p>
    <w:p>
      <w:pPr>
        <w:pStyle w:val="Heading5"/>
      </w:pPr>
      <w:bookmarkStart w:id="16" w:name="_Toc192041027"/>
      <w:r>
        <w:rPr>
          <w:rStyle w:val="CharSectno"/>
        </w:rPr>
        <w:t>8A</w:t>
      </w:r>
      <w:r>
        <w:t>.</w:t>
      </w:r>
      <w:r>
        <w:tab/>
        <w:t>General and particular duties</w:t>
      </w:r>
      <w:bookmarkEnd w:id="16"/>
    </w:p>
    <w:p>
      <w:pPr>
        <w:pStyle w:val="Subsection"/>
        <w:outlineLvl w:val="0"/>
      </w:pPr>
      <w:r>
        <w:tab/>
        <w:t>(1)</w:t>
      </w:r>
      <w:r>
        <w:tab/>
        <w:t xml:space="preserve">A duty imposed on a person under this Part — </w:t>
      </w:r>
    </w:p>
    <w:p>
      <w:pPr>
        <w:pStyle w:val="Indenta"/>
      </w:pPr>
      <w:r>
        <w:tab/>
        <w:t>(a)</w:t>
      </w:r>
      <w:r>
        <w:tab/>
        <w:t>does not affect the application of any other more specific duty imposed on that person under this Act; and</w:t>
      </w:r>
    </w:p>
    <w:p>
      <w:pPr>
        <w:pStyle w:val="Indenta"/>
      </w:pPr>
      <w:r>
        <w:tab/>
        <w:t>(b)</w:t>
      </w:r>
      <w:r>
        <w:tab/>
        <w:t>applies despite any other more specific duty imposed on that person under this Act.</w:t>
      </w:r>
    </w:p>
    <w:p>
      <w:pPr>
        <w:pStyle w:val="Subsection"/>
        <w:outlineLvl w:val="0"/>
      </w:pPr>
      <w:r>
        <w:tab/>
        <w:t>(2)</w:t>
      </w:r>
      <w:r>
        <w:tab/>
        <w:t>Subsection (1) has effect subject to section 101A.</w:t>
      </w:r>
    </w:p>
    <w:p>
      <w:pPr>
        <w:pStyle w:val="Footnotesection"/>
      </w:pPr>
      <w:r>
        <w:tab/>
        <w:t>[Section 8A inserted by No. 68 of 2004 s. 17.]</w:t>
      </w:r>
    </w:p>
    <w:p>
      <w:pPr>
        <w:pStyle w:val="Heading5"/>
      </w:pPr>
      <w:bookmarkStart w:id="17" w:name="_Toc192041028"/>
      <w:r>
        <w:rPr>
          <w:rStyle w:val="CharSectno"/>
        </w:rPr>
        <w:t>8B</w:t>
      </w:r>
      <w:r>
        <w:t>.</w:t>
      </w:r>
      <w:r>
        <w:tab/>
        <w:t>Meaning of gross negligence in relation to certain breaches of this Part</w:t>
      </w:r>
      <w:bookmarkEnd w:id="17"/>
    </w:p>
    <w:p>
      <w:pPr>
        <w:pStyle w:val="Subsection"/>
      </w:pPr>
      <w:r>
        <w:tab/>
        <w:t>(1)</w:t>
      </w:r>
      <w:r>
        <w:tab/>
        <w:t>This section applies to a contravention of section 9(1), 10(1) or (3), 12(1) or (2), 12B(2), 13, 14(1), (2), (3) or (4) or 15D(2).</w:t>
      </w:r>
    </w:p>
    <w:p>
      <w:pPr>
        <w:pStyle w:val="Subsection"/>
      </w:pPr>
      <w:r>
        <w:tab/>
        <w:t>(2)</w:t>
      </w:r>
      <w:r>
        <w:tab/>
        <w:t xml:space="preserve">For the purposes of this Part, a contravention of a provision mentioned in subsection (1) is committed in circumstances of gross negligence if — </w:t>
      </w:r>
    </w:p>
    <w:p>
      <w:pPr>
        <w:pStyle w:val="Indenta"/>
        <w:outlineLvl w:val="0"/>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keepNext/>
        <w:outlineLvl w:val="0"/>
      </w:pPr>
      <w:r>
        <w:tab/>
        <w:t>(b)</w:t>
      </w:r>
      <w:r>
        <w:tab/>
        <w:t>the contravention did in fact cause the death of, or serious harm to, such a person.</w:t>
      </w:r>
    </w:p>
    <w:p>
      <w:pPr>
        <w:pStyle w:val="Footnotesection"/>
      </w:pPr>
      <w:r>
        <w:tab/>
        <w:t>[Section 8B inserted by No. 68 of 2004 s. 17.]</w:t>
      </w:r>
    </w:p>
    <w:p>
      <w:pPr>
        <w:pStyle w:val="Heading3"/>
      </w:pPr>
      <w:bookmarkStart w:id="18" w:name="_Toc192041029"/>
      <w:r>
        <w:rPr>
          <w:rStyle w:val="CharDivNo"/>
        </w:rPr>
        <w:t>Division 2</w:t>
      </w:r>
      <w:r>
        <w:t> — </w:t>
      </w:r>
      <w:r>
        <w:rPr>
          <w:rStyle w:val="CharDivText"/>
        </w:rPr>
        <w:t>General duties</w:t>
      </w:r>
      <w:bookmarkEnd w:id="18"/>
    </w:p>
    <w:p>
      <w:pPr>
        <w:pStyle w:val="Footnoteheading"/>
      </w:pPr>
      <w:r>
        <w:tab/>
        <w:t xml:space="preserve">[Heading inserted by No. 68 of 2004 s. 5.] </w:t>
      </w:r>
    </w:p>
    <w:p>
      <w:pPr>
        <w:pStyle w:val="Heading5"/>
        <w:rPr>
          <w:snapToGrid w:val="0"/>
        </w:rPr>
      </w:pPr>
      <w:bookmarkStart w:id="19" w:name="_Toc192041030"/>
      <w:r>
        <w:rPr>
          <w:rStyle w:val="CharSectno"/>
        </w:rPr>
        <w:t>9</w:t>
      </w:r>
      <w:r>
        <w:rPr>
          <w:snapToGrid w:val="0"/>
        </w:rPr>
        <w:t>.</w:t>
      </w:r>
      <w:r>
        <w:rPr>
          <w:snapToGrid w:val="0"/>
        </w:rPr>
        <w:tab/>
        <w:t>Duties of employers</w:t>
      </w:r>
      <w:bookmarkEnd w:id="19"/>
      <w:r>
        <w:rPr>
          <w:snapToGrid w:val="0"/>
        </w:rPr>
        <w:t xml:space="preserve"> </w:t>
      </w:r>
    </w:p>
    <w:p>
      <w:pPr>
        <w:pStyle w:val="Subsection"/>
        <w:rPr>
          <w:snapToGrid w:val="0"/>
        </w:rPr>
      </w:pPr>
      <w:r>
        <w:rPr>
          <w:snapToGrid w:val="0"/>
        </w:rPr>
        <w:tab/>
        <w:t>(1)</w:t>
      </w:r>
      <w:r>
        <w:rPr>
          <w:snapToGrid w:val="0"/>
        </w:rPr>
        <w:tab/>
        <w:t>An employer must, so far as is practicable, provide and maintain at a mine a working environment in which that employer’s employees are not exposed to hazards and, in particular, but without limiting the generality of that general obligation, an employer must — </w:t>
      </w:r>
    </w:p>
    <w:p>
      <w:pPr>
        <w:pStyle w:val="Indenta"/>
        <w:rPr>
          <w:snapToGrid w:val="0"/>
        </w:rPr>
      </w:pPr>
      <w:r>
        <w:rPr>
          <w:snapToGrid w:val="0"/>
        </w:rPr>
        <w:tab/>
        <w:t>(a)</w:t>
      </w:r>
      <w:r>
        <w:rPr>
          <w:snapToGrid w:val="0"/>
        </w:rPr>
        <w:tab/>
        <w:t>provide and maintain workplaces, plant, and systems of work of a kind that, so far as is practicable, the employer’s employees are not exposed to hazards; and</w:t>
      </w:r>
    </w:p>
    <w:p>
      <w:pPr>
        <w:pStyle w:val="Indenta"/>
        <w:rPr>
          <w:snapToGrid w:val="0"/>
        </w:rPr>
      </w:pPr>
      <w:r>
        <w:rPr>
          <w:snapToGrid w:val="0"/>
        </w:rPr>
        <w:tab/>
        <w:t>(b)</w:t>
      </w:r>
      <w:r>
        <w:rPr>
          <w:snapToGrid w:val="0"/>
        </w:rPr>
        <w:tab/>
        <w:t>provide such information, instructions and training to and supervision of employees as is necessary to enable them to perform their work in such a manner that they are not exposed to hazards; and</w:t>
      </w:r>
    </w:p>
    <w:p>
      <w:pPr>
        <w:pStyle w:val="Indenta"/>
        <w:rPr>
          <w:snapToGrid w:val="0"/>
        </w:rPr>
      </w:pPr>
      <w:r>
        <w:rPr>
          <w:snapToGrid w:val="0"/>
        </w:rPr>
        <w:tab/>
        <w:t>(c)</w:t>
      </w:r>
      <w:r>
        <w:rPr>
          <w:snapToGrid w:val="0"/>
        </w:rPr>
        <w:tab/>
        <w:t>consult and co</w:t>
      </w:r>
      <w:r>
        <w:rPr>
          <w:snapToGrid w:val="0"/>
        </w:rPr>
        <w:softHyphen/>
        <w:t>operate with safety and health representatives, if any, and other employees at the mine where that employer’s employees work, regarding occupational safety and health at the mine; and</w:t>
      </w:r>
    </w:p>
    <w:p>
      <w:pPr>
        <w:pStyle w:val="Indenta"/>
        <w:rPr>
          <w:snapToGrid w:val="0"/>
        </w:rPr>
      </w:pPr>
      <w:r>
        <w:rPr>
          <w:snapToGrid w:val="0"/>
        </w:rPr>
        <w:tab/>
        <w:t>(d)</w:t>
      </w:r>
      <w:r>
        <w:rPr>
          <w:snapToGrid w:val="0"/>
        </w:rPr>
        <w:tab/>
        <w: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 </w:t>
      </w:r>
    </w:p>
    <w:p>
      <w:pPr>
        <w:pStyle w:val="Indenti"/>
        <w:rPr>
          <w:snapToGrid w:val="0"/>
        </w:rPr>
      </w:pPr>
      <w:r>
        <w:rPr>
          <w:snapToGrid w:val="0"/>
        </w:rPr>
        <w:tab/>
        <w:t>(i)</w:t>
      </w:r>
      <w:r>
        <w:rPr>
          <w:snapToGrid w:val="0"/>
        </w:rPr>
        <w:tab/>
        <w:t>the use, cleaning, maintenance, transportation, and disposal of plant; and</w:t>
      </w:r>
    </w:p>
    <w:p>
      <w:pPr>
        <w:pStyle w:val="Indenti"/>
        <w:keepNext/>
        <w:keepLines/>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at the mine is carried out in such a manner that that employer’s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must be had to the functions performed by employees and the capacities in which they are employed.</w:t>
      </w:r>
    </w:p>
    <w:p>
      <w:pPr>
        <w:pStyle w:val="Ednotesubsection"/>
        <w:tabs>
          <w:tab w:val="clear" w:pos="595"/>
          <w:tab w:val="clear" w:pos="879"/>
          <w:tab w:val="left" w:pos="240"/>
          <w:tab w:val="left" w:pos="1200"/>
        </w:tabs>
        <w:ind w:left="1200" w:hanging="1200"/>
      </w:pPr>
      <w:r>
        <w:tab/>
        <w:t>[(3)</w:t>
      </w:r>
      <w:r>
        <w:noBreakHyphen/>
        <w:t>(4)</w:t>
      </w:r>
      <w:r>
        <w:tab/>
        <w:t>repealed]</w:t>
      </w:r>
    </w:p>
    <w:p>
      <w:pPr>
        <w:pStyle w:val="Subsection"/>
        <w:rPr>
          <w:snapToGrid w:val="0"/>
        </w:rPr>
      </w:pPr>
      <w:r>
        <w:rPr>
          <w:snapToGrid w:val="0"/>
        </w:rPr>
        <w:tab/>
        <w:t>(5)</w:t>
      </w:r>
      <w:r>
        <w:rPr>
          <w:snapToGrid w:val="0"/>
        </w:rPr>
        <w:tab/>
        <w:t>The duties imposed under subsection (1) on an employer who is the principal employer at a mine are not taken to be carried out only by the appointment of a manager for the mine.</w:t>
      </w:r>
    </w:p>
    <w:p>
      <w:pPr>
        <w:pStyle w:val="Subsection"/>
        <w:rPr>
          <w:snapToGrid w:val="0"/>
          <w:spacing w:val="-4"/>
        </w:rPr>
      </w:pPr>
      <w:r>
        <w:rPr>
          <w:snapToGrid w:val="0"/>
          <w:spacing w:val="-4"/>
        </w:rPr>
        <w:tab/>
        <w:t>(6)</w:t>
      </w:r>
      <w:r>
        <w:rPr>
          <w:snapToGrid w:val="0"/>
          <w:spacing w:val="-4"/>
        </w:rPr>
        <w:tab/>
        <w: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t>
      </w:r>
    </w:p>
    <w:p>
      <w:pPr>
        <w:pStyle w:val="Footnotesection"/>
      </w:pPr>
      <w:r>
        <w:tab/>
        <w:t xml:space="preserve">[Section 9 amended by No. 30 of 1995 s. 54 and 76(2) and (4); No. 68 of 2004 s. 6 and 18.] </w:t>
      </w:r>
    </w:p>
    <w:p>
      <w:pPr>
        <w:pStyle w:val="Heading5"/>
      </w:pPr>
      <w:bookmarkStart w:id="20" w:name="_Toc192041031"/>
      <w:r>
        <w:rPr>
          <w:rStyle w:val="CharSectno"/>
        </w:rPr>
        <w:t>9A</w:t>
      </w:r>
      <w:r>
        <w:t>.</w:t>
      </w:r>
      <w:r>
        <w:tab/>
        <w:t>Breaches of section 9(1)</w:t>
      </w:r>
      <w:bookmarkEnd w:id="20"/>
    </w:p>
    <w:p>
      <w:pPr>
        <w:pStyle w:val="Subsection"/>
      </w:pPr>
      <w:r>
        <w:tab/>
        <w:t>(1)</w:t>
      </w:r>
      <w:r>
        <w:tab/>
        <w:t>If an employer contravenes section 9(1)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9(1); and</w:t>
      </w:r>
    </w:p>
    <w:p>
      <w:pPr>
        <w:pStyle w:val="Indenti"/>
      </w:pPr>
      <w:r>
        <w:tab/>
        <w:t>(ii)</w:t>
      </w:r>
      <w:r>
        <w:tab/>
        <w:t>by the contravention causes the death of, or serious harm to, an employee;</w:t>
      </w:r>
    </w:p>
    <w:p>
      <w:pPr>
        <w:pStyle w:val="Indenta"/>
      </w:pPr>
      <w:r>
        <w:tab/>
      </w:r>
      <w:r>
        <w:tab/>
        <w:t>and</w:t>
      </w:r>
    </w:p>
    <w:p>
      <w:pPr>
        <w:pStyle w:val="Indenta"/>
        <w:keepNext/>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9(1); and</w:t>
      </w:r>
    </w:p>
    <w:p>
      <w:pPr>
        <w:pStyle w:val="Indenta"/>
        <w:rPr>
          <w:snapToGrid w:val="0"/>
        </w:rPr>
      </w:pPr>
      <w:r>
        <w:tab/>
        <w:t>(b)</w:t>
      </w:r>
      <w:r>
        <w:tab/>
        <w:t>neither</w:t>
      </w:r>
      <w:r>
        <w:rPr>
          <w:snapToGrid w:val="0"/>
        </w:rPr>
        <w:t xml:space="preserve"> subsection (1) nor subsection (2) applies, </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9A inserted by No. 68 of 2004 s. 19.]</w:t>
      </w:r>
    </w:p>
    <w:p>
      <w:pPr>
        <w:pStyle w:val="Heading5"/>
        <w:rPr>
          <w:snapToGrid w:val="0"/>
        </w:rPr>
      </w:pPr>
      <w:bookmarkStart w:id="21" w:name="_Toc192041032"/>
      <w:r>
        <w:rPr>
          <w:rStyle w:val="CharSectno"/>
        </w:rPr>
        <w:t>10</w:t>
      </w:r>
      <w:r>
        <w:rPr>
          <w:snapToGrid w:val="0"/>
        </w:rPr>
        <w:t>.</w:t>
      </w:r>
      <w:r>
        <w:rPr>
          <w:snapToGrid w:val="0"/>
        </w:rPr>
        <w:tab/>
        <w:t>Duties of employees</w:t>
      </w:r>
      <w:bookmarkEnd w:id="21"/>
      <w:r>
        <w:rPr>
          <w:snapToGrid w:val="0"/>
        </w:rPr>
        <w:t xml:space="preserve"> </w:t>
      </w:r>
    </w:p>
    <w:p>
      <w:pPr>
        <w:pStyle w:val="Subsection"/>
        <w:rPr>
          <w:snapToGrid w:val="0"/>
        </w:rPr>
      </w:pPr>
      <w:r>
        <w:rPr>
          <w:snapToGrid w:val="0"/>
        </w:rPr>
        <w:tab/>
        <w:t>(1)</w:t>
      </w:r>
      <w:r>
        <w:rPr>
          <w:snapToGrid w:val="0"/>
        </w:rPr>
        <w:tab/>
        <w:t>An employee at a mine must take reasonable care — </w:t>
      </w:r>
    </w:p>
    <w:p>
      <w:pPr>
        <w:pStyle w:val="Indenta"/>
        <w:rPr>
          <w:snapToGrid w:val="0"/>
        </w:rPr>
      </w:pPr>
      <w:r>
        <w:rPr>
          <w:snapToGrid w:val="0"/>
        </w:rPr>
        <w:tab/>
        <w:t>(a)</w:t>
      </w:r>
      <w:r>
        <w:rPr>
          <w:snapToGrid w:val="0"/>
        </w:rPr>
        <w:tab/>
        <w:t>to ensure his or her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rPr>
          <w:snapToGrid w:val="0"/>
        </w:rPr>
      </w:pPr>
      <w:r>
        <w:rPr>
          <w:snapToGrid w:val="0"/>
        </w:rPr>
        <w:tab/>
        <w:t>(2)</w:t>
      </w:r>
      <w:r>
        <w:rPr>
          <w:snapToGrid w:val="0"/>
        </w:rPr>
        <w:tab/>
        <w:t>Without limiting the generality of subsection (1), an employee contravenes that subsection if that employee — </w:t>
      </w:r>
    </w:p>
    <w:p>
      <w:pPr>
        <w:pStyle w:val="Indenta"/>
        <w:rPr>
          <w:snapToGrid w:val="0"/>
          <w:spacing w:val="-4"/>
        </w:rPr>
      </w:pPr>
      <w:r>
        <w:rPr>
          <w:snapToGrid w:val="0"/>
          <w:spacing w:val="-4"/>
        </w:rPr>
        <w:tab/>
        <w:t>(a)</w:t>
      </w:r>
      <w:r>
        <w:rPr>
          <w:snapToGrid w:val="0"/>
          <w:spacing w:val="-4"/>
        </w:rPr>
        <w:tab/>
        <w:t>fails to comply, so far as the employee is reasonably able, with instructions given by that employee’s employer or the manager of the mine for the employee’s own safety or health or for the safety or health of other persons; or</w:t>
      </w:r>
    </w:p>
    <w:p>
      <w:pPr>
        <w:pStyle w:val="Indenta"/>
        <w:rPr>
          <w:snapToGrid w:val="0"/>
        </w:rPr>
      </w:pPr>
      <w:r>
        <w:rPr>
          <w:snapToGrid w:val="0"/>
        </w:rPr>
        <w:tab/>
        <w:t>(b)</w:t>
      </w:r>
      <w:r>
        <w:rPr>
          <w:snapToGrid w:val="0"/>
        </w:rPr>
        <w:tab/>
        <w:t>fails to use such protective clothing and equipment as is provided, or provided for, by the employer as mentioned in section 9(1)(d) in a manner in which the employee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being an underground worker, fails on leaving work at the end of a shift to report to the person in immediate authority over that employee and, where practicable, the person relieving that employee, on the state of that part of the works where the employee has been working.</w:t>
      </w:r>
    </w:p>
    <w:p>
      <w:pPr>
        <w:pStyle w:val="Subsection"/>
        <w:rPr>
          <w:snapToGrid w:val="0"/>
        </w:rPr>
      </w:pPr>
      <w:r>
        <w:rPr>
          <w:snapToGrid w:val="0"/>
        </w:rPr>
        <w:tab/>
        <w:t>(3)</w:t>
      </w:r>
      <w:r>
        <w:rPr>
          <w:snapToGrid w:val="0"/>
        </w:rPr>
        <w:tab/>
        <w:t>An employee must cooperate with his or her employer and the manager of the mine in the carrying out by those persons of the obligations imposed on those persons under this Act.</w:t>
      </w:r>
    </w:p>
    <w:p>
      <w:pPr>
        <w:pStyle w:val="Footnotesection"/>
      </w:pPr>
      <w:r>
        <w:tab/>
        <w:t xml:space="preserve">[Section 10 amended by No. 30 of 1995 s. 55 and 76(1), (3) and (4); No. 68 of 2004 s. 20.] </w:t>
      </w:r>
    </w:p>
    <w:p>
      <w:pPr>
        <w:pStyle w:val="Heading5"/>
      </w:pPr>
      <w:bookmarkStart w:id="22" w:name="_Toc192041033"/>
      <w:r>
        <w:rPr>
          <w:rStyle w:val="CharSectno"/>
        </w:rPr>
        <w:t>10A</w:t>
      </w:r>
      <w:r>
        <w:t>.</w:t>
      </w:r>
      <w:r>
        <w:tab/>
        <w:t>Breaches of section 10(1) or (3)</w:t>
      </w:r>
      <w:bookmarkEnd w:id="22"/>
    </w:p>
    <w:p>
      <w:pPr>
        <w:pStyle w:val="Subsection"/>
      </w:pPr>
      <w:r>
        <w:tab/>
        <w:t>(1)</w:t>
      </w:r>
      <w:r>
        <w:tab/>
        <w:t xml:space="preserve">If an employee contravenes section 10(1)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10(1)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10(1)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10A inserted by No. 68 of 2004 s. 21.]</w:t>
      </w:r>
    </w:p>
    <w:p>
      <w:pPr>
        <w:pStyle w:val="Heading5"/>
        <w:rPr>
          <w:snapToGrid w:val="0"/>
        </w:rPr>
      </w:pPr>
      <w:bookmarkStart w:id="23" w:name="_Toc192041034"/>
      <w:r>
        <w:rPr>
          <w:rStyle w:val="CharSectno"/>
        </w:rPr>
        <w:t>11</w:t>
      </w:r>
      <w:r>
        <w:rPr>
          <w:snapToGrid w:val="0"/>
        </w:rPr>
        <w:t>.</w:t>
      </w:r>
      <w:r>
        <w:rPr>
          <w:snapToGrid w:val="0"/>
        </w:rPr>
        <w:tab/>
        <w:t>Reporting of dangerous situations or occurrences</w:t>
      </w:r>
      <w:bookmarkEnd w:id="23"/>
      <w:r>
        <w:rPr>
          <w:snapToGrid w:val="0"/>
        </w:rPr>
        <w:t xml:space="preserve"> </w:t>
      </w:r>
    </w:p>
    <w:p>
      <w:pPr>
        <w:pStyle w:val="Subsection"/>
        <w:rPr>
          <w:snapToGrid w:val="0"/>
        </w:rPr>
      </w:pPr>
      <w:r>
        <w:rPr>
          <w:snapToGrid w:val="0"/>
        </w:rPr>
        <w:tab/>
        <w:t>(1)</w:t>
      </w:r>
      <w:r>
        <w:rPr>
          <w:snapToGrid w:val="0"/>
        </w:rPr>
        <w:tab/>
        <w:t>Every person working in a mine must report immediately to the person in immediate authority over that person — </w:t>
      </w:r>
    </w:p>
    <w:p>
      <w:pPr>
        <w:pStyle w:val="Indenta"/>
        <w:rPr>
          <w:snapToGrid w:val="0"/>
        </w:rPr>
      </w:pPr>
      <w:r>
        <w:rPr>
          <w:snapToGrid w:val="0"/>
        </w:rPr>
        <w:tab/>
        <w:t>(a)</w:t>
      </w:r>
      <w:r>
        <w:rPr>
          <w:snapToGrid w:val="0"/>
        </w:rPr>
        <w:tab/>
        <w:t>any potentially serious occurrence that arises in the course of or in connection with that person’s work; and</w:t>
      </w:r>
    </w:p>
    <w:p>
      <w:pPr>
        <w:pStyle w:val="Indenta"/>
        <w:keepNext/>
        <w:keepLines/>
        <w:rPr>
          <w:snapToGrid w:val="0"/>
        </w:rPr>
      </w:pPr>
      <w:r>
        <w:rPr>
          <w:snapToGrid w:val="0"/>
        </w:rPr>
        <w:tab/>
        <w:t>(b)</w:t>
      </w:r>
      <w:r>
        <w:rPr>
          <w:snapToGrid w:val="0"/>
        </w:rPr>
        <w:tab/>
        <w:t>any situation at the mine that the person has reason to believe could constitute a hazard to any person,</w:t>
      </w:r>
    </w:p>
    <w:p>
      <w:pPr>
        <w:pStyle w:val="Subsection"/>
        <w:rPr>
          <w:snapToGrid w:val="0"/>
        </w:rPr>
      </w:pPr>
      <w:r>
        <w:rPr>
          <w:snapToGrid w:val="0"/>
        </w:rPr>
        <w:tab/>
      </w:r>
      <w:r>
        <w:rPr>
          <w:snapToGrid w:val="0"/>
        </w:rPr>
        <w:tab/>
        <w:t>and a person receiving a report under this subsection must convey the information in that report immediately to the manager of the mine or to a person designated for the purpose by the manager.</w:t>
      </w:r>
    </w:p>
    <w:p>
      <w:pPr>
        <w:pStyle w:val="Subsection"/>
        <w:rPr>
          <w:snapToGrid w:val="0"/>
        </w:rPr>
      </w:pPr>
      <w:r>
        <w:rPr>
          <w:snapToGrid w:val="0"/>
        </w:rPr>
        <w:tab/>
        <w:t>(2)</w:t>
      </w:r>
      <w:r>
        <w:rPr>
          <w:snapToGrid w:val="0"/>
        </w:rPr>
        <w:tab/>
        <w:t>If a person who is required by subsection (1) to make a report does not have a person in immediate authority over that person, the report must be made to the manager of the mine.</w:t>
      </w:r>
    </w:p>
    <w:p>
      <w:pPr>
        <w:pStyle w:val="Subsection"/>
        <w:rPr>
          <w:snapToGrid w:val="0"/>
        </w:rPr>
      </w:pPr>
      <w:r>
        <w:rPr>
          <w:snapToGrid w:val="0"/>
        </w:rPr>
        <w:tab/>
        <w:t>(3)</w:t>
      </w:r>
      <w:r>
        <w:rPr>
          <w:snapToGrid w:val="0"/>
        </w:rPr>
        <w:tab/>
        <w:t>Every person working at a mine must, unless a similar report has to his or her knowledge already been made, report immediately to the manager of the mine any injury or harm to health suffered by any other person in connection with work at the mine.</w:t>
      </w:r>
    </w:p>
    <w:p>
      <w:pPr>
        <w:pStyle w:val="Subsection"/>
        <w:spacing w:before="120"/>
        <w:rPr>
          <w:snapToGrid w:val="0"/>
        </w:rPr>
      </w:pPr>
      <w:r>
        <w:rPr>
          <w:snapToGrid w:val="0"/>
        </w:rPr>
        <w:tab/>
        <w:t>(4)</w:t>
      </w:r>
      <w:r>
        <w:rPr>
          <w:snapToGrid w:val="0"/>
        </w:rPr>
        <w:tab/>
        <w:t>A person who contravenes subsection (1), (2) or (3) commits an offence and is liable to a fine of $10 000.</w:t>
      </w:r>
    </w:p>
    <w:p>
      <w:pPr>
        <w:pStyle w:val="Heading5"/>
      </w:pPr>
      <w:bookmarkStart w:id="24" w:name="_Toc192041035"/>
      <w:r>
        <w:rPr>
          <w:rStyle w:val="CharSectno"/>
        </w:rPr>
        <w:t>11A</w:t>
      </w:r>
      <w:r>
        <w:t>.</w:t>
      </w:r>
      <w:r>
        <w:tab/>
        <w:t>Duty of manager to inform person who makes a report under section 11</w:t>
      </w:r>
      <w:bookmarkEnd w:id="24"/>
    </w:p>
    <w:p>
      <w:pPr>
        <w:pStyle w:val="Subsection"/>
      </w:pPr>
      <w:r>
        <w:tab/>
        <w:t>(1)</w:t>
      </w:r>
      <w:r>
        <w:tab/>
        <w:t xml:space="preserve">Where a report is made under section 11(1)(a) or (b) or (3) in relation to a mine, the manager of the mine must, within a reasonable time after the report is received by him or her — </w:t>
      </w:r>
    </w:p>
    <w:p>
      <w:pPr>
        <w:pStyle w:val="Indenta"/>
      </w:pPr>
      <w:r>
        <w:tab/>
        <w:t>(a)</w:t>
      </w:r>
      <w:r>
        <w:tab/>
        <w:t xml:space="preserve">investigate the occurrence, situation, injury or harm that was reported; </w:t>
      </w:r>
    </w:p>
    <w:p>
      <w:pPr>
        <w:pStyle w:val="Indenta"/>
      </w:pPr>
      <w:r>
        <w:tab/>
        <w:t>(b)</w:t>
      </w:r>
      <w:r>
        <w:tab/>
        <w:t>determine the action, if any, that the manager intends to take in respect of the matter; and</w:t>
      </w:r>
    </w:p>
    <w:p>
      <w:pPr>
        <w:pStyle w:val="Indenta"/>
      </w:pPr>
      <w:r>
        <w:tab/>
        <w:t>(c)</w:t>
      </w:r>
      <w:r>
        <w:tab/>
        <w:t>notify the person who made the report of the determination so made.</w:t>
      </w:r>
    </w:p>
    <w:p>
      <w:pPr>
        <w:pStyle w:val="Subsection"/>
      </w:pPr>
      <w:r>
        <w:tab/>
        <w:t>(2)</w:t>
      </w:r>
      <w:r>
        <w:tab/>
        <w:t>A manager who contravenes subsection (1) commits an offence.</w:t>
      </w:r>
    </w:p>
    <w:p>
      <w:pPr>
        <w:pStyle w:val="Footnotesection"/>
      </w:pPr>
      <w:r>
        <w:tab/>
        <w:t>[Section 11A inserted by No. 68 of 2004 s. 7.]</w:t>
      </w:r>
    </w:p>
    <w:p>
      <w:pPr>
        <w:pStyle w:val="Heading5"/>
        <w:rPr>
          <w:snapToGrid w:val="0"/>
        </w:rPr>
      </w:pPr>
      <w:bookmarkStart w:id="25" w:name="_Toc192041036"/>
      <w:r>
        <w:rPr>
          <w:rStyle w:val="CharSectno"/>
        </w:rPr>
        <w:t>12</w:t>
      </w:r>
      <w:r>
        <w:rPr>
          <w:snapToGrid w:val="0"/>
        </w:rPr>
        <w:t>.</w:t>
      </w:r>
      <w:r>
        <w:rPr>
          <w:snapToGrid w:val="0"/>
        </w:rPr>
        <w:tab/>
        <w:t>Duties of employers and self</w:t>
      </w:r>
      <w:r>
        <w:rPr>
          <w:snapToGrid w:val="0"/>
        </w:rPr>
        <w:noBreakHyphen/>
        <w:t>employed persons</w:t>
      </w:r>
      <w:bookmarkEnd w:id="25"/>
      <w:r>
        <w:rPr>
          <w:snapToGrid w:val="0"/>
        </w:rPr>
        <w:t xml:space="preserve"> </w:t>
      </w:r>
    </w:p>
    <w:p>
      <w:pPr>
        <w:pStyle w:val="Subsection"/>
      </w:pPr>
      <w:r>
        <w:tab/>
        <w:t>(1)</w:t>
      </w:r>
      <w:r>
        <w:tab/>
        <w:t>A self</w:t>
      </w:r>
      <w:r>
        <w:noBreakHyphen/>
        <w:t>employed person working at a mine must take reasonable care to ensure his or her own safety and health at work.</w:t>
      </w:r>
    </w:p>
    <w:p>
      <w:pPr>
        <w:pStyle w:val="Subsection"/>
      </w:pPr>
      <w:r>
        <w:tab/>
        <w:t>(2)</w:t>
      </w:r>
      <w:r>
        <w:tab/>
        <w:t>An employer or self</w:t>
      </w:r>
      <w:r>
        <w:noBreakHyphen/>
        <w:t xml:space="preserve">employed person at a mine must,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pPr>
      <w:r>
        <w:tab/>
        <w:t xml:space="preserve">[Section 12 amended by No. 30 of 1995 s. 56 and 76(4); No. 68 of 2004 s. 8 and 22.] </w:t>
      </w:r>
    </w:p>
    <w:p>
      <w:pPr>
        <w:pStyle w:val="Heading5"/>
      </w:pPr>
      <w:bookmarkStart w:id="26" w:name="_Toc192041037"/>
      <w:r>
        <w:rPr>
          <w:rStyle w:val="CharSectno"/>
        </w:rPr>
        <w:t>12A</w:t>
      </w:r>
      <w:r>
        <w:t>.</w:t>
      </w:r>
      <w:r>
        <w:tab/>
        <w:t>Breaches of section 12</w:t>
      </w:r>
      <w:bookmarkEnd w:id="26"/>
    </w:p>
    <w:p>
      <w:pPr>
        <w:pStyle w:val="Subsection"/>
      </w:pPr>
      <w:r>
        <w:tab/>
        <w:t>(1)</w:t>
      </w:r>
      <w:r>
        <w:tab/>
        <w:t>If an employer or a self</w:t>
      </w:r>
      <w:r>
        <w:noBreakHyphen/>
        <w:t>employed person contravenes section 12(1) or (2) in circumstances of gross negligence, the employer or the self</w:t>
      </w:r>
      <w:r>
        <w:noBreakHyphen/>
        <w:t>employed person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12(1)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12(1)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12A inserted by No. 68 of 2004 s. 23.]</w:t>
      </w:r>
    </w:p>
    <w:p>
      <w:pPr>
        <w:pStyle w:val="Heading5"/>
      </w:pPr>
      <w:bookmarkStart w:id="27" w:name="_Toc192041038"/>
      <w:r>
        <w:rPr>
          <w:rStyle w:val="CharSectno"/>
        </w:rPr>
        <w:t>12B</w:t>
      </w:r>
      <w:r>
        <w:t>.</w:t>
      </w:r>
      <w:r>
        <w:tab/>
        <w:t>Duties placed on corporation to which section 15A, 15B or 15C applies</w:t>
      </w:r>
      <w:bookmarkEnd w:id="27"/>
    </w:p>
    <w:p>
      <w:pPr>
        <w:pStyle w:val="Subsection"/>
        <w:spacing w:before="120"/>
      </w:pPr>
      <w:r>
        <w:tab/>
        <w:t>(1)</w:t>
      </w:r>
      <w:r>
        <w:tab/>
        <w:t>If section 15A, 15B or 15C makes any other provision of this Act apply to a corporation as if it were the employer of a particular person, this section and section 12C apply to the corporation at such times as the other provision is made to apply.</w:t>
      </w:r>
    </w:p>
    <w:p>
      <w:pPr>
        <w:pStyle w:val="Subsection"/>
        <w:spacing w:before="120"/>
      </w:pPr>
      <w:r>
        <w:tab/>
        <w:t>(2)</w:t>
      </w:r>
      <w:r>
        <w:tab/>
        <w:t xml:space="preserve">A corporation to which this section applies that carries on operations at a mine must, so far as is practicable, ensure that the safety or health of a person is not adversely affected wholly or in part as a result of — </w:t>
      </w:r>
    </w:p>
    <w:p>
      <w:pPr>
        <w:pStyle w:val="Indenta"/>
        <w:outlineLvl w:val="0"/>
      </w:pPr>
      <w:r>
        <w:tab/>
        <w:t>(a)</w:t>
      </w:r>
      <w:r>
        <w:tab/>
        <w:t xml:space="preserve">work that has been or is being undertaken by — </w:t>
      </w:r>
    </w:p>
    <w:p>
      <w:pPr>
        <w:pStyle w:val="Indenti"/>
      </w:pPr>
      <w:r>
        <w:tab/>
        <w:t>(i)</w:t>
      </w:r>
      <w:r>
        <w:tab/>
        <w:t>the corporation; or</w:t>
      </w:r>
    </w:p>
    <w:p>
      <w:pPr>
        <w:pStyle w:val="Indenti"/>
      </w:pPr>
      <w:r>
        <w:tab/>
        <w:t>(ii)</w:t>
      </w:r>
      <w:r>
        <w:tab/>
        <w:t>a person carrying out work under the direction of the corporation;</w:t>
      </w:r>
    </w:p>
    <w:p>
      <w:pPr>
        <w:pStyle w:val="Indenta"/>
      </w:pPr>
      <w:r>
        <w:tab/>
      </w:r>
      <w:r>
        <w:tab/>
        <w:t>or</w:t>
      </w:r>
    </w:p>
    <w:p>
      <w:pPr>
        <w:pStyle w:val="Indenta"/>
        <w:outlineLvl w:val="0"/>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corporation.</w:t>
      </w:r>
    </w:p>
    <w:p>
      <w:pPr>
        <w:pStyle w:val="Footnotesection"/>
      </w:pPr>
      <w:r>
        <w:tab/>
        <w:t>[Section 12B inserted by No. 68 of 2004 s. 9.]</w:t>
      </w:r>
    </w:p>
    <w:p>
      <w:pPr>
        <w:pStyle w:val="Heading5"/>
        <w:spacing w:before="180"/>
      </w:pPr>
      <w:bookmarkStart w:id="28" w:name="_Toc192041039"/>
      <w:r>
        <w:rPr>
          <w:rStyle w:val="CharSectno"/>
        </w:rPr>
        <w:t>12C</w:t>
      </w:r>
      <w:r>
        <w:t>.</w:t>
      </w:r>
      <w:r>
        <w:tab/>
        <w:t>Breaches of section 12B</w:t>
      </w:r>
      <w:bookmarkEnd w:id="28"/>
    </w:p>
    <w:p>
      <w:pPr>
        <w:pStyle w:val="Subsection"/>
        <w:spacing w:before="120"/>
      </w:pPr>
      <w:r>
        <w:tab/>
        <w:t>(1)</w:t>
      </w:r>
      <w:r>
        <w:tab/>
        <w:t>If a corporation contravenes section 12B(2) in circumstances of gross negligence, the corporation commits an offence and is liable to a level 4 penalty.</w:t>
      </w:r>
    </w:p>
    <w:p>
      <w:pPr>
        <w:pStyle w:val="Subsection"/>
        <w:spacing w:before="120"/>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 corporation — </w:t>
      </w:r>
    </w:p>
    <w:p>
      <w:pPr>
        <w:pStyle w:val="Indenti"/>
        <w:rPr>
          <w:snapToGrid w:val="0"/>
        </w:rPr>
      </w:pPr>
      <w:r>
        <w:tab/>
        <w:t>(i)</w:t>
      </w:r>
      <w:r>
        <w:tab/>
      </w:r>
      <w:r>
        <w:rPr>
          <w:snapToGrid w:val="0"/>
        </w:rPr>
        <w:t>contravenes section 12B(2);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corporation</w:t>
      </w:r>
      <w:r>
        <w:rPr>
          <w:snapToGrid w:val="0"/>
        </w:rPr>
        <w:t xml:space="preserve">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 corporation contravenes section 12B(2);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corporation commits an offence and is liable to a level 2 penalty.</w:t>
      </w:r>
    </w:p>
    <w:p>
      <w:pPr>
        <w:pStyle w:val="Subsection"/>
      </w:pPr>
      <w:r>
        <w:tab/>
        <w:t>(4)</w:t>
      </w:r>
      <w:r>
        <w:tab/>
        <w:t xml:space="preserve">A corporation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12C inserted by No. 68 of 2004 s. 9.]</w:t>
      </w:r>
    </w:p>
    <w:p>
      <w:pPr>
        <w:pStyle w:val="Heading5"/>
        <w:rPr>
          <w:snapToGrid w:val="0"/>
        </w:rPr>
      </w:pPr>
      <w:bookmarkStart w:id="29" w:name="_Toc192041040"/>
      <w:r>
        <w:rPr>
          <w:rStyle w:val="CharSectno"/>
        </w:rPr>
        <w:t>13</w:t>
      </w:r>
      <w:r>
        <w:rPr>
          <w:snapToGrid w:val="0"/>
        </w:rPr>
        <w:t>.</w:t>
      </w:r>
      <w:r>
        <w:rPr>
          <w:snapToGrid w:val="0"/>
        </w:rPr>
        <w:tab/>
        <w:t>Duties of principal employers and managers</w:t>
      </w:r>
      <w:bookmarkEnd w:id="29"/>
      <w:r>
        <w:rPr>
          <w:snapToGrid w:val="0"/>
        </w:rPr>
        <w:t xml:space="preserve"> </w:t>
      </w:r>
    </w:p>
    <w:p>
      <w:pPr>
        <w:pStyle w:val="Subsection"/>
        <w:spacing w:before="120"/>
        <w:rPr>
          <w:snapToGrid w:val="0"/>
        </w:rPr>
      </w:pPr>
      <w:r>
        <w:rPr>
          <w:snapToGrid w:val="0"/>
        </w:rPr>
        <w:tab/>
      </w:r>
      <w:r>
        <w:rPr>
          <w:snapToGrid w:val="0"/>
        </w:rPr>
        <w:tab/>
        <w:t>The principal employer at and the manager of a mine must take such measures as are practicable to ensure that the mine and the means of access to and egress from the mine are such that persons who are at the mine, or use the means of access to or egress from the mine, are not exposed to hazards.</w:t>
      </w:r>
    </w:p>
    <w:p>
      <w:pPr>
        <w:pStyle w:val="Footnotesection"/>
      </w:pPr>
      <w:r>
        <w:tab/>
        <w:t xml:space="preserve">[Section 13 amended by No. 30 of 1995 s. 57; No. 68 of 2004 s. 24.] </w:t>
      </w:r>
    </w:p>
    <w:p>
      <w:pPr>
        <w:pStyle w:val="Heading5"/>
      </w:pPr>
      <w:bookmarkStart w:id="30" w:name="_Toc192041041"/>
      <w:r>
        <w:rPr>
          <w:rStyle w:val="CharSectno"/>
        </w:rPr>
        <w:t>13A</w:t>
      </w:r>
      <w:r>
        <w:t>.</w:t>
      </w:r>
      <w:r>
        <w:tab/>
        <w:t>Breaches of section 13</w:t>
      </w:r>
      <w:bookmarkEnd w:id="30"/>
    </w:p>
    <w:p>
      <w:pPr>
        <w:pStyle w:val="Subsection"/>
      </w:pPr>
      <w:r>
        <w:tab/>
        <w:t>(1)</w:t>
      </w:r>
      <w:r>
        <w:tab/>
        <w:t>If a person contravenes section 13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13; and</w:t>
      </w:r>
    </w:p>
    <w:p>
      <w:pPr>
        <w:pStyle w:val="Indenti"/>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13;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13A inserted by No. 68 of 2004 s. 25.]</w:t>
      </w:r>
    </w:p>
    <w:p>
      <w:pPr>
        <w:pStyle w:val="Heading5"/>
        <w:rPr>
          <w:snapToGrid w:val="0"/>
        </w:rPr>
      </w:pPr>
      <w:bookmarkStart w:id="31" w:name="_Toc192041042"/>
      <w:r>
        <w:rPr>
          <w:rStyle w:val="CharSectno"/>
        </w:rPr>
        <w:t>14</w:t>
      </w:r>
      <w:r>
        <w:rPr>
          <w:snapToGrid w:val="0"/>
        </w:rPr>
        <w:t>.</w:t>
      </w:r>
      <w:r>
        <w:rPr>
          <w:snapToGrid w:val="0"/>
        </w:rPr>
        <w:tab/>
        <w:t>Duties of manufacturers etc.</w:t>
      </w:r>
      <w:bookmarkEnd w:id="31"/>
      <w:r>
        <w:rPr>
          <w:snapToGrid w:val="0"/>
        </w:rPr>
        <w:t xml:space="preserve"> </w:t>
      </w:r>
    </w:p>
    <w:p>
      <w:pPr>
        <w:pStyle w:val="Subsection"/>
        <w:spacing w:before="120"/>
        <w:rPr>
          <w:snapToGrid w:val="0"/>
        </w:rPr>
      </w:pPr>
      <w:r>
        <w:rPr>
          <w:snapToGrid w:val="0"/>
        </w:rPr>
        <w:tab/>
        <w:t>(1)</w:t>
      </w:r>
      <w:r>
        <w:rPr>
          <w:snapToGrid w:val="0"/>
        </w:rPr>
        <w:tab/>
        <w:t>A person who designs, manufactures, imports or supplies any plant for use at a mine must,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 and</w:t>
      </w:r>
    </w:p>
    <w:p>
      <w:pPr>
        <w:pStyle w:val="Indenti"/>
        <w:rPr>
          <w:snapToGrid w:val="0"/>
        </w:rPr>
      </w:pPr>
      <w:r>
        <w:rPr>
          <w:snapToGrid w:val="0"/>
        </w:rPr>
        <w:tab/>
        <w:t>(ii)</w:t>
      </w:r>
      <w:r>
        <w:rPr>
          <w:snapToGrid w:val="0"/>
        </w:rPr>
        <w:tab/>
        <w:t>the specifications of the plant and the data obtained on the testing of the plant as mentioned in paragraph (b); and</w:t>
      </w:r>
    </w:p>
    <w:p>
      <w:pPr>
        <w:pStyle w:val="Indenti"/>
        <w:rPr>
          <w:snapToGrid w:val="0"/>
        </w:rPr>
      </w:pPr>
      <w:r>
        <w:rPr>
          <w:snapToGrid w:val="0"/>
        </w:rPr>
        <w:tab/>
        <w:t>(iii)</w:t>
      </w:r>
      <w:r>
        <w:rPr>
          <w:snapToGrid w:val="0"/>
        </w:rPr>
        <w:tab/>
        <w:t>the conditions necessary to ensure that persons properly using the plant are not, in doing so,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subsequently whenever requested.</w:t>
      </w:r>
    </w:p>
    <w:p>
      <w:pPr>
        <w:pStyle w:val="Subsection"/>
        <w:rPr>
          <w:snapToGrid w:val="0"/>
        </w:rPr>
      </w:pPr>
      <w:r>
        <w:rPr>
          <w:snapToGrid w:val="0"/>
        </w:rPr>
        <w:tab/>
        <w:t>(2)</w:t>
      </w:r>
      <w:r>
        <w:rPr>
          <w:snapToGrid w:val="0"/>
        </w:rPr>
        <w:tab/>
        <w: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A person who designs or constructs any building or structure, including a temporary structure, for use at a mine must, so far as is practicable, ensure that the design and construction of the building or structure is such that — </w:t>
      </w:r>
    </w:p>
    <w:p>
      <w:pPr>
        <w:pStyle w:val="Indenta"/>
        <w:rPr>
          <w:snapToGrid w:val="0"/>
        </w:rPr>
      </w:pPr>
      <w:r>
        <w:rPr>
          <w:snapToGrid w:val="0"/>
        </w:rPr>
        <w:tab/>
        <w:t>(a)</w:t>
      </w:r>
      <w:r>
        <w:rPr>
          <w:snapToGrid w:val="0"/>
        </w:rPr>
        <w:tab/>
        <w:t>persons who properly construct, maintain, repair or service the building or structure; and</w:t>
      </w:r>
    </w:p>
    <w:p>
      <w:pPr>
        <w:pStyle w:val="Indenta"/>
        <w:rPr>
          <w:snapToGrid w:val="0"/>
        </w:rPr>
      </w:pPr>
      <w:r>
        <w:rPr>
          <w:snapToGrid w:val="0"/>
        </w:rPr>
        <w:tab/>
        <w:t>(b)</w:t>
      </w:r>
      <w:r>
        <w:rPr>
          <w:snapToGrid w:val="0"/>
        </w:rPr>
        <w:tab/>
        <w:t>persons who properly use the building or structure,</w:t>
      </w:r>
    </w:p>
    <w:p>
      <w:pPr>
        <w:pStyle w:val="Subsection"/>
        <w:rPr>
          <w:snapToGrid w:val="0"/>
        </w:rPr>
      </w:pPr>
      <w:r>
        <w:rPr>
          <w:snapToGrid w:val="0"/>
        </w:rPr>
        <w:tab/>
      </w:r>
      <w:r>
        <w:rPr>
          <w:snapToGrid w:val="0"/>
        </w:rPr>
        <w:tab/>
        <w:t>are not, in doing so, exposed to hazards.</w:t>
      </w:r>
    </w:p>
    <w:p>
      <w:pPr>
        <w:pStyle w:val="Subsection"/>
        <w:rPr>
          <w:snapToGrid w:val="0"/>
        </w:rPr>
      </w:pPr>
      <w:r>
        <w:rPr>
          <w:snapToGrid w:val="0"/>
        </w:rPr>
        <w:tab/>
        <w:t>(4)</w:t>
      </w:r>
      <w:r>
        <w:rPr>
          <w:snapToGrid w:val="0"/>
        </w:rPr>
        <w:tab/>
        <w: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t>
      </w:r>
    </w:p>
    <w:p>
      <w:pPr>
        <w:pStyle w:val="Footnotesection"/>
      </w:pPr>
      <w:r>
        <w:tab/>
        <w:t xml:space="preserve">[Section 14 amended by No. 30 of 1995 s. 58; No. 68 of 2004 s. 26.] </w:t>
      </w:r>
    </w:p>
    <w:p>
      <w:pPr>
        <w:pStyle w:val="Heading5"/>
      </w:pPr>
      <w:bookmarkStart w:id="32" w:name="_Toc192041043"/>
      <w:r>
        <w:rPr>
          <w:rStyle w:val="CharSectno"/>
        </w:rPr>
        <w:t>15</w:t>
      </w:r>
      <w:r>
        <w:t>.</w:t>
      </w:r>
      <w:r>
        <w:tab/>
        <w:t>Breaches of section 14</w:t>
      </w:r>
      <w:bookmarkEnd w:id="32"/>
    </w:p>
    <w:p>
      <w:pPr>
        <w:pStyle w:val="Subsection"/>
      </w:pPr>
      <w:r>
        <w:tab/>
        <w:t>(1)</w:t>
      </w:r>
      <w:r>
        <w:tab/>
        <w:t>If a person contravenes section 14(1), (2), (3) or (4)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14(1)</w:t>
      </w:r>
      <w:r>
        <w:t>, (2), (3) or (4)</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14(1)</w:t>
      </w:r>
      <w:r>
        <w:t>, (2), (3) or (4);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 inserted by No. 68 of 2004 s. 27.]</w:t>
      </w:r>
    </w:p>
    <w:p>
      <w:pPr>
        <w:pStyle w:val="Heading3"/>
      </w:pPr>
      <w:bookmarkStart w:id="33" w:name="_Toc192041044"/>
      <w:r>
        <w:rPr>
          <w:rStyle w:val="CharDivNo"/>
        </w:rPr>
        <w:t>Division 3</w:t>
      </w:r>
      <w:r>
        <w:t> — </w:t>
      </w:r>
      <w:r>
        <w:rPr>
          <w:rStyle w:val="CharDivText"/>
        </w:rPr>
        <w:t>Certain workplace situations to be treated as employment</w:t>
      </w:r>
      <w:bookmarkEnd w:id="33"/>
    </w:p>
    <w:p>
      <w:pPr>
        <w:pStyle w:val="Footnoteheading"/>
      </w:pPr>
      <w:r>
        <w:tab/>
        <w:t xml:space="preserve">[Heading inserted by No. 68 of 2004 s. 10.] </w:t>
      </w:r>
    </w:p>
    <w:p>
      <w:pPr>
        <w:pStyle w:val="Heading5"/>
      </w:pPr>
      <w:bookmarkStart w:id="34" w:name="_Toc192041045"/>
      <w:r>
        <w:rPr>
          <w:rStyle w:val="CharSectno"/>
        </w:rPr>
        <w:t>15A</w:t>
      </w:r>
      <w:r>
        <w:t>.</w:t>
      </w:r>
      <w:r>
        <w:tab/>
        <w:t>Contract work arrangements</w:t>
      </w:r>
      <w:bookmarkEnd w:id="34"/>
    </w:p>
    <w:p>
      <w:pPr>
        <w:pStyle w:val="Subsection"/>
      </w:pPr>
      <w:r>
        <w:tab/>
        <w:t>(1)</w:t>
      </w:r>
      <w:r>
        <w:tab/>
        <w:t xml:space="preserve">This section applies where a person (the </w:t>
      </w:r>
      <w:r>
        <w:rPr>
          <w:b/>
        </w:rPr>
        <w:t>“</w:t>
      </w:r>
      <w:r>
        <w:rPr>
          <w:rStyle w:val="CharDefText"/>
        </w:rPr>
        <w:t>principal</w:t>
      </w:r>
      <w:r>
        <w:rPr>
          <w:b/>
        </w:rPr>
        <w:t>”</w:t>
      </w:r>
      <w:r>
        <w:t xml:space="preserve">) in the course of mining operations engages a contractor (the </w:t>
      </w:r>
      <w:r>
        <w:rPr>
          <w:b/>
        </w:rPr>
        <w:t>“</w:t>
      </w:r>
      <w:r>
        <w:rPr>
          <w:rStyle w:val="CharDefText"/>
        </w:rPr>
        <w:t>contractor</w:t>
      </w:r>
      <w:r>
        <w:rPr>
          <w:b/>
        </w:rPr>
        <w:t>”</w:t>
      </w:r>
      <w:r>
        <w:t>) to carry out work for the principal.</w:t>
      </w:r>
    </w:p>
    <w:p>
      <w:pPr>
        <w:pStyle w:val="Subsection"/>
      </w:pPr>
      <w:r>
        <w:tab/>
        <w:t>(2)</w:t>
      </w:r>
      <w:r>
        <w:tab/>
        <w:t xml:space="preserve">Where this section applies, section 9 has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 xml:space="preserve">Where this section applies, the further duties referred to in subsection (4) apply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keepNext/>
        <w:keepLines/>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spacing w:before="140"/>
      </w:pPr>
      <w:r>
        <w:tab/>
        <w:t>(4)</w:t>
      </w:r>
      <w:r>
        <w:tab/>
        <w:t xml:space="preserve">The further duties mentioned in subsection (3) are — </w:t>
      </w:r>
    </w:p>
    <w:p>
      <w:pPr>
        <w:pStyle w:val="Indenta"/>
      </w:pPr>
      <w:r>
        <w:tab/>
        <w:t>(a)</w:t>
      </w:r>
      <w:r>
        <w:tab/>
        <w:t>the duties of an employee under section 10; and</w:t>
      </w:r>
    </w:p>
    <w:p>
      <w:pPr>
        <w:pStyle w:val="Indenta"/>
      </w:pPr>
      <w:r>
        <w:tab/>
        <w:t>(b)</w:t>
      </w:r>
      <w:r>
        <w:tab/>
        <w:t>the duties of an employer under section 15D(2).</w:t>
      </w:r>
    </w:p>
    <w:p>
      <w:pPr>
        <w:pStyle w:val="Subsection"/>
        <w:spacing w:before="140"/>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9 or 15D(2);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15D(3).</w:t>
      </w:r>
    </w:p>
    <w:p>
      <w:pPr>
        <w:pStyle w:val="Subsection"/>
        <w:spacing w:before="140"/>
      </w:pPr>
      <w:r>
        <w:tab/>
        <w:t>(6)</w:t>
      </w:r>
      <w:r>
        <w:tab/>
        <w:t>A purported waiver by a contractor of a right that arises directly or indirectly under this section is void.</w:t>
      </w:r>
    </w:p>
    <w:p>
      <w:pPr>
        <w:pStyle w:val="Subsection"/>
        <w:spacing w:before="140"/>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15A inserted by No. 68 of 2004 s. 10.]</w:t>
      </w:r>
    </w:p>
    <w:p>
      <w:pPr>
        <w:pStyle w:val="Heading5"/>
      </w:pPr>
      <w:bookmarkStart w:id="35" w:name="_Toc192041046"/>
      <w:r>
        <w:rPr>
          <w:rStyle w:val="CharSectno"/>
        </w:rPr>
        <w:t>15B</w:t>
      </w:r>
      <w:r>
        <w:t>.</w:t>
      </w:r>
      <w:r>
        <w:tab/>
        <w:t>Labour arrangements in general</w:t>
      </w:r>
      <w:bookmarkEnd w:id="35"/>
    </w:p>
    <w:p>
      <w:pPr>
        <w:pStyle w:val="Subsection"/>
        <w:spacing w:before="140"/>
      </w:pPr>
      <w:r>
        <w:tab/>
        <w:t>(1)</w:t>
      </w:r>
      <w:r>
        <w:tab/>
        <w:t xml:space="preserve">This section applies where — </w:t>
      </w:r>
    </w:p>
    <w:p>
      <w:pPr>
        <w:pStyle w:val="Indenta"/>
      </w:pPr>
      <w:r>
        <w:tab/>
        <w:t>(a)</w:t>
      </w:r>
      <w:r>
        <w:tab/>
        <w:t xml:space="preserve">a person (the </w:t>
      </w:r>
      <w:r>
        <w:rPr>
          <w:b/>
        </w:rPr>
        <w:t>“</w:t>
      </w:r>
      <w:r>
        <w:rPr>
          <w:rStyle w:val="CharDefText"/>
        </w:rPr>
        <w:t>worker</w:t>
      </w:r>
      <w:r>
        <w:rPr>
          <w:b/>
        </w:rPr>
        <w:t>”</w:t>
      </w:r>
      <w:r>
        <w:t xml:space="preserve">) for remuneration carries out work for another person (the </w:t>
      </w:r>
      <w:r>
        <w:rPr>
          <w:b/>
        </w:rPr>
        <w:t>“</w:t>
      </w:r>
      <w:r>
        <w:rPr>
          <w:rStyle w:val="CharDefText"/>
        </w:rPr>
        <w:t>person mentioned in subsection (1)(a)</w:t>
      </w:r>
      <w:r>
        <w:rPr>
          <w:b/>
        </w:rPr>
        <w:t>”</w:t>
      </w:r>
      <w:r>
        <w:t>) in the course of mining operations;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15A nor section 15C applies.</w:t>
      </w:r>
    </w:p>
    <w:p>
      <w:pPr>
        <w:pStyle w:val="Subsection"/>
      </w:pPr>
      <w:r>
        <w:tab/>
        <w:t>(2)</w:t>
      </w:r>
      <w:r>
        <w:tab/>
        <w:t xml:space="preserve">Where this section applies, section 9 has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9; and</w:t>
      </w:r>
    </w:p>
    <w:p>
      <w:pPr>
        <w:pStyle w:val="Indenta"/>
      </w:pPr>
      <w:r>
        <w:tab/>
        <w:t>(d)</w:t>
      </w:r>
      <w:r>
        <w:tab/>
        <w:t>is a matter over which that person has the capacity to exercise control.</w:t>
      </w:r>
    </w:p>
    <w:p>
      <w:pPr>
        <w:pStyle w:val="Subsection"/>
      </w:pPr>
      <w:r>
        <w:tab/>
        <w:t>(3)</w:t>
      </w:r>
      <w:r>
        <w:tab/>
        <w:t xml:space="preserve">Where this section applies, section 10 has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An agreement or arrangement is void for the purposes of this section to the extent that it purports to give control to the worker of any matter that — </w:t>
      </w:r>
    </w:p>
    <w:p>
      <w:pPr>
        <w:pStyle w:val="Indenta"/>
      </w:pPr>
      <w:r>
        <w:tab/>
        <w:t>(a)</w:t>
      </w:r>
      <w:r>
        <w:tab/>
        <w:t>comes within section 9; and</w:t>
      </w:r>
    </w:p>
    <w:p>
      <w:pPr>
        <w:pStyle w:val="Indenta"/>
      </w:pPr>
      <w:r>
        <w:tab/>
        <w:t>(b)</w:t>
      </w:r>
      <w:r>
        <w:tab/>
        <w:t>is a matter over which the person mentioned in subsection (1)(a) has the capacity to exercise control.</w:t>
      </w:r>
    </w:p>
    <w:p>
      <w:pPr>
        <w:pStyle w:val="Subsection"/>
      </w:pPr>
      <w:r>
        <w:tab/>
        <w:t>(5)</w:t>
      </w:r>
      <w:r>
        <w:tab/>
        <w:t>This section applies despite anything to the contrary in, or any inconsistent provision of, an agreement, whether made orally or in writing.</w:t>
      </w:r>
    </w:p>
    <w:p>
      <w:pPr>
        <w:pStyle w:val="Subsection"/>
      </w:pPr>
      <w:r>
        <w:tab/>
        <w:t>(6)</w:t>
      </w:r>
      <w:r>
        <w:tab/>
        <w:t>A purported waiver by a worker of a right that arises directly or indirectly under this section is void.</w:t>
      </w:r>
    </w:p>
    <w:p>
      <w:pPr>
        <w:pStyle w:val="Footnotesection"/>
      </w:pPr>
      <w:r>
        <w:tab/>
        <w:t>[Section 15B inserted by No. 68 of 2004 s. 10.]</w:t>
      </w:r>
    </w:p>
    <w:p>
      <w:pPr>
        <w:pStyle w:val="Heading5"/>
      </w:pPr>
      <w:bookmarkStart w:id="36" w:name="_Toc192041047"/>
      <w:r>
        <w:rPr>
          <w:rStyle w:val="CharSectno"/>
        </w:rPr>
        <w:t>15C</w:t>
      </w:r>
      <w:r>
        <w:t>.</w:t>
      </w:r>
      <w:r>
        <w:tab/>
        <w:t>Labour hire arrangements</w:t>
      </w:r>
      <w:bookmarkEnd w:id="36"/>
    </w:p>
    <w:p>
      <w:pPr>
        <w:pStyle w:val="Subsection"/>
      </w:pPr>
      <w:r>
        <w:tab/>
        <w:t>(1)</w:t>
      </w:r>
      <w:r>
        <w:tab/>
        <w:t xml:space="preserve">In this section — </w:t>
      </w:r>
    </w:p>
    <w:p>
      <w:pPr>
        <w:pStyle w:val="Defstart"/>
      </w:pPr>
      <w:r>
        <w:rPr>
          <w:b/>
        </w:rPr>
        <w:tab/>
        <w:t>“</w:t>
      </w:r>
      <w:r>
        <w:rPr>
          <w:rStyle w:val="CharDefText"/>
        </w:rPr>
        <w:t>agent</w:t>
      </w:r>
      <w:r>
        <w:rPr>
          <w:b/>
        </w:rPr>
        <w:t>”</w:t>
      </w:r>
      <w:r>
        <w:t xml:space="preserve"> —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t>“</w:t>
      </w:r>
      <w:r>
        <w:rPr>
          <w:rStyle w:val="CharDefText"/>
        </w:rPr>
        <w:t>worker</w:t>
      </w:r>
      <w:r>
        <w:rPr>
          <w:b/>
        </w:rPr>
        <w:t>”</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b/>
        </w:rPr>
        <w:t>“</w:t>
      </w:r>
      <w:r>
        <w:rPr>
          <w:rStyle w:val="CharDefText"/>
        </w:rPr>
        <w:t>client</w:t>
      </w:r>
      <w:r>
        <w:rPr>
          <w:b/>
        </w:rPr>
        <w:t>”</w:t>
      </w:r>
      <w:r>
        <w:t>) in the course of mining operations carried on by the client.</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pPr>
      <w:r>
        <w:tab/>
        <w:t>(4)</w:t>
      </w:r>
      <w:r>
        <w:tab/>
        <w:t xml:space="preserve">Where this section applies, section 9 has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r>
      <w:r>
        <w:tab/>
        <w:t xml:space="preserve">in relation to any matter that — </w:t>
      </w:r>
    </w:p>
    <w:p>
      <w:pPr>
        <w:pStyle w:val="Indenta"/>
      </w:pPr>
      <w:r>
        <w:tab/>
        <w:t>(c)</w:t>
      </w:r>
      <w:r>
        <w:tab/>
        <w:t>comes within section 9; and</w:t>
      </w:r>
    </w:p>
    <w:p>
      <w:pPr>
        <w:pStyle w:val="Indenta"/>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pPr>
      <w:r>
        <w:tab/>
        <w:t>(5)</w:t>
      </w:r>
      <w:r>
        <w:tab/>
        <w:t xml:space="preserve">Where this section applies, section 10 has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t>(6)</w:t>
      </w:r>
      <w:r>
        <w:tab/>
        <w:t>This section applies despite anything to the contrary in, or any inconsistent provision of, an agreement, whether made orally or in writing.</w:t>
      </w:r>
    </w:p>
    <w:p>
      <w:pPr>
        <w:pStyle w:val="Subsection"/>
      </w:pPr>
      <w:r>
        <w:tab/>
        <w:t>(7)</w:t>
      </w:r>
      <w:r>
        <w:tab/>
        <w:t>A purported waiver by a worker of a right that arises directly or indirectly under this section is void.</w:t>
      </w:r>
    </w:p>
    <w:p>
      <w:pPr>
        <w:pStyle w:val="Footnotesection"/>
      </w:pPr>
      <w:r>
        <w:tab/>
        <w:t>[Section 15C inserted by No. 68 of 2004 s. 10.]</w:t>
      </w:r>
    </w:p>
    <w:p>
      <w:pPr>
        <w:pStyle w:val="Heading3"/>
      </w:pPr>
      <w:bookmarkStart w:id="37" w:name="_Toc192041048"/>
      <w:r>
        <w:rPr>
          <w:rStyle w:val="CharDivNo"/>
        </w:rPr>
        <w:t>Division 4</w:t>
      </w:r>
      <w:r>
        <w:t> — </w:t>
      </w:r>
      <w:r>
        <w:rPr>
          <w:rStyle w:val="CharDivText"/>
        </w:rPr>
        <w:t>Other duties</w:t>
      </w:r>
      <w:bookmarkEnd w:id="37"/>
    </w:p>
    <w:p>
      <w:pPr>
        <w:pStyle w:val="Footnoteheading"/>
      </w:pPr>
      <w:r>
        <w:tab/>
        <w:t xml:space="preserve">[Heading inserted by No. 68 of 2004 s. 10.] </w:t>
      </w:r>
    </w:p>
    <w:p>
      <w:pPr>
        <w:pStyle w:val="Heading5"/>
      </w:pPr>
      <w:bookmarkStart w:id="38" w:name="_Toc192041049"/>
      <w:r>
        <w:rPr>
          <w:rStyle w:val="CharSectno"/>
        </w:rPr>
        <w:t>15D</w:t>
      </w:r>
      <w:r>
        <w:t>.</w:t>
      </w:r>
      <w:r>
        <w:tab/>
        <w:t>Duty of employer in respect of certain residential accommodation</w:t>
      </w:r>
      <w:bookmarkEnd w:id="38"/>
    </w:p>
    <w:p>
      <w:pPr>
        <w:pStyle w:val="Subsection"/>
      </w:pPr>
      <w:r>
        <w:tab/>
        <w:t>(1)</w:t>
      </w:r>
      <w:r>
        <w:tab/>
        <w:t xml:space="preserve">In this section — </w:t>
      </w:r>
    </w:p>
    <w:p>
      <w:pPr>
        <w:pStyle w:val="Defstart"/>
      </w:pPr>
      <w:r>
        <w:tab/>
      </w:r>
      <w:r>
        <w:rPr>
          <w:b/>
        </w:rPr>
        <w:t>“</w:t>
      </w:r>
      <w:r>
        <w:rPr>
          <w:rStyle w:val="CharDefText"/>
        </w:rPr>
        <w:t>residential premises</w:t>
      </w:r>
      <w:r>
        <w:rPr>
          <w:b/>
        </w:rPr>
        <w:t>”</w:t>
      </w:r>
      <w:r>
        <w:t xml:space="preserve"> — </w:t>
      </w:r>
    </w:p>
    <w:p>
      <w:pPr>
        <w:pStyle w:val="Defpara"/>
      </w:pPr>
      <w:r>
        <w:tab/>
        <w:t>(a)</w:t>
      </w:r>
      <w:r>
        <w:tab/>
        <w:t xml:space="preserve">means residential premises that are situated outside — </w:t>
      </w:r>
    </w:p>
    <w:p>
      <w:pPr>
        <w:pStyle w:val="Defsubpara"/>
      </w:pPr>
      <w:r>
        <w:tab/>
        <w:t>(i)</w:t>
      </w:r>
      <w:r>
        <w:tab/>
        <w:t xml:space="preserve">a townsite within the meaning in section 26(1) of the </w:t>
      </w:r>
      <w:r>
        <w:rPr>
          <w:i/>
        </w:rPr>
        <w:t>Land Administration Act 1997</w:t>
      </w:r>
      <w:r>
        <w:t>; and</w:t>
      </w:r>
    </w:p>
    <w:p>
      <w:pPr>
        <w:pStyle w:val="Defsubpara"/>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 but</w:t>
      </w:r>
    </w:p>
    <w:p>
      <w:pPr>
        <w:pStyle w:val="Defpara"/>
      </w:pPr>
      <w:r>
        <w:tab/>
        <w:t>(c)</w:t>
      </w:r>
      <w:r>
        <w:tab/>
        <w:t>does not include any premises that come within paragraph (k) of the definition of “mining operations” in section 4(1).</w:t>
      </w:r>
    </w:p>
    <w:p>
      <w:pPr>
        <w:pStyle w:val="Subsection"/>
        <w:spacing w:before="120"/>
      </w:pPr>
      <w:r>
        <w:tab/>
        <w:t>(2)</w:t>
      </w:r>
      <w:r>
        <w:tab/>
        <w:t xml:space="preserve">Where — </w:t>
      </w:r>
    </w:p>
    <w:p>
      <w:pPr>
        <w:pStyle w:val="Indenta"/>
      </w:pPr>
      <w:r>
        <w:tab/>
        <w:t>(a)</w:t>
      </w:r>
      <w:r>
        <w:tab/>
        <w:t>an employee who is employed in mining operations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spacing w:before="120"/>
      </w:pPr>
      <w:r>
        <w:tab/>
        <w:t>(3)</w:t>
      </w:r>
      <w:r>
        <w:tab/>
        <w:t>Subsection (2) does not apply if the occupancy is pursuant to a written agreement containing terms that might reasonably be expected to apply to a letting of the residential premises to a tenant.</w:t>
      </w:r>
    </w:p>
    <w:p>
      <w:pPr>
        <w:pStyle w:val="Footnotesection"/>
      </w:pPr>
      <w:r>
        <w:tab/>
        <w:t>[Section 15D inserted by No. 68 of 2004 s. 10; amended by No. 38 of 2005 s. 15.]</w:t>
      </w:r>
    </w:p>
    <w:p>
      <w:pPr>
        <w:pStyle w:val="Heading5"/>
      </w:pPr>
      <w:bookmarkStart w:id="39" w:name="_Toc192041050"/>
      <w:r>
        <w:rPr>
          <w:rStyle w:val="CharSectno"/>
        </w:rPr>
        <w:t>15E</w:t>
      </w:r>
      <w:r>
        <w:t>.</w:t>
      </w:r>
      <w:r>
        <w:tab/>
        <w:t>Breaches of section 15D</w:t>
      </w:r>
      <w:bookmarkEnd w:id="39"/>
    </w:p>
    <w:p>
      <w:pPr>
        <w:pStyle w:val="Subsection"/>
        <w:spacing w:before="120"/>
      </w:pPr>
      <w:r>
        <w:tab/>
        <w:t>(1)</w:t>
      </w:r>
      <w:r>
        <w:tab/>
        <w:t>If an employer contravenes section 15D(2)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15D(2);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15D(2);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15E inserted by No. 68 of 2004 s. 10.]</w:t>
      </w:r>
    </w:p>
    <w:p>
      <w:pPr>
        <w:pStyle w:val="Heading5"/>
      </w:pPr>
      <w:bookmarkStart w:id="40" w:name="_Toc192041051"/>
      <w:r>
        <w:rPr>
          <w:rStyle w:val="CharSectno"/>
        </w:rPr>
        <w:t>15F</w:t>
      </w:r>
      <w:r>
        <w:t>.</w:t>
      </w:r>
      <w:r>
        <w:tab/>
        <w:t>Notification of hazard to the principal employer and manager</w:t>
      </w:r>
      <w:bookmarkEnd w:id="40"/>
    </w:p>
    <w:p>
      <w:pPr>
        <w:pStyle w:val="Subsection"/>
      </w:pPr>
      <w:r>
        <w:tab/>
        <w:t>(1)</w:t>
      </w:r>
      <w:r>
        <w:tab/>
        <w:t xml:space="preserve">In this section — </w:t>
      </w:r>
    </w:p>
    <w:p>
      <w:pPr>
        <w:pStyle w:val="Defstart"/>
      </w:pPr>
      <w:r>
        <w:rPr>
          <w:b/>
        </w:rPr>
        <w:tab/>
        <w:t>“</w:t>
      </w:r>
      <w:r>
        <w:rPr>
          <w:rStyle w:val="CharDefText"/>
        </w:rPr>
        <w:t>mine</w:t>
      </w:r>
      <w:r>
        <w:rPr>
          <w:b/>
        </w:rPr>
        <w:t>”</w:t>
      </w:r>
      <w:r>
        <w:t xml:space="preserve"> includes the means of access to and egress from a mine.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keepNext/>
      </w:pPr>
      <w:r>
        <w:tab/>
      </w:r>
      <w:r>
        <w:tab/>
        <w:t xml:space="preserve">at a mine becomes of the opinion that — </w:t>
      </w:r>
    </w:p>
    <w:p>
      <w:pPr>
        <w:pStyle w:val="Indenta"/>
      </w:pPr>
      <w:r>
        <w:tab/>
        <w:t>(c)</w:t>
      </w:r>
      <w:r>
        <w:tab/>
        <w:t>a situation exists at the mine that could constitute a hazard to any person;</w:t>
      </w:r>
    </w:p>
    <w:p>
      <w:pPr>
        <w:pStyle w:val="Indenta"/>
      </w:pPr>
      <w:r>
        <w:tab/>
        <w:t>(d)</w:t>
      </w:r>
      <w:r>
        <w:tab/>
        <w:t>the hazard is one that the principal employer at, and the manager of, the mine have a duty to remedy under section 13; and</w:t>
      </w:r>
    </w:p>
    <w:p>
      <w:pPr>
        <w:pStyle w:val="Indenta"/>
      </w:pPr>
      <w:r>
        <w:tab/>
        <w:t>(e)</w:t>
      </w:r>
      <w:r>
        <w:tab/>
        <w:t>the situation has not come to the attention of either of those persons,</w:t>
      </w:r>
    </w:p>
    <w:p>
      <w:pPr>
        <w:pStyle w:val="Subsection"/>
      </w:pPr>
      <w:r>
        <w:tab/>
      </w:r>
      <w:r>
        <w:tab/>
        <w:t>the employer or self</w:t>
      </w:r>
      <w:r>
        <w:noBreakHyphen/>
        <w:t>employed person must, so far as it is reasonably practicable to do so, give notice of the situation to either the principal employer or the manager.</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who fails to comply with subsection (2) commits an offence.</w:t>
      </w:r>
    </w:p>
    <w:p>
      <w:pPr>
        <w:pStyle w:val="Footnotesection"/>
      </w:pPr>
      <w:r>
        <w:tab/>
        <w:t>[Section 15F inserted by No. 68 of 2004 s. 10.]</w:t>
      </w:r>
    </w:p>
    <w:p>
      <w:pPr>
        <w:pStyle w:val="Heading2"/>
      </w:pPr>
      <w:bookmarkStart w:id="41" w:name="_Toc192041052"/>
      <w:r>
        <w:rPr>
          <w:rStyle w:val="CharPartNo"/>
        </w:rPr>
        <w:t>Part 3</w:t>
      </w:r>
      <w:r>
        <w:t> — </w:t>
      </w:r>
      <w:r>
        <w:rPr>
          <w:rStyle w:val="CharPartText"/>
        </w:rPr>
        <w:t>Administration of Act</w:t>
      </w:r>
      <w:bookmarkEnd w:id="41"/>
      <w:r>
        <w:rPr>
          <w:rStyle w:val="CharPartText"/>
        </w:rPr>
        <w:t xml:space="preserve"> </w:t>
      </w:r>
    </w:p>
    <w:p>
      <w:pPr>
        <w:pStyle w:val="Heading3"/>
        <w:rPr>
          <w:snapToGrid w:val="0"/>
        </w:rPr>
      </w:pPr>
      <w:bookmarkStart w:id="42" w:name="_Toc192041053"/>
      <w:r>
        <w:rPr>
          <w:rStyle w:val="CharDivNo"/>
        </w:rPr>
        <w:t>Division 1</w:t>
      </w:r>
      <w:r>
        <w:rPr>
          <w:snapToGrid w:val="0"/>
        </w:rPr>
        <w:t> — </w:t>
      </w:r>
      <w:r>
        <w:rPr>
          <w:rStyle w:val="CharDivText"/>
        </w:rPr>
        <w:t>Inspectors of mines</w:t>
      </w:r>
      <w:bookmarkEnd w:id="42"/>
      <w:r>
        <w:rPr>
          <w:rStyle w:val="CharDivText"/>
        </w:rPr>
        <w:t xml:space="preserve"> </w:t>
      </w:r>
    </w:p>
    <w:p>
      <w:pPr>
        <w:pStyle w:val="Heading5"/>
        <w:rPr>
          <w:snapToGrid w:val="0"/>
        </w:rPr>
      </w:pPr>
      <w:bookmarkStart w:id="43" w:name="_Toc192041054"/>
      <w:r>
        <w:rPr>
          <w:rStyle w:val="CharSectno"/>
        </w:rPr>
        <w:t>16</w:t>
      </w:r>
      <w:r>
        <w:rPr>
          <w:snapToGrid w:val="0"/>
        </w:rPr>
        <w:t>.</w:t>
      </w:r>
      <w:r>
        <w:rPr>
          <w:snapToGrid w:val="0"/>
        </w:rPr>
        <w:tab/>
        <w:t>State mining engineer and State coal mining engineer</w:t>
      </w:r>
      <w:bookmarkEnd w:id="43"/>
      <w:r>
        <w:rPr>
          <w:snapToGrid w:val="0"/>
        </w:rPr>
        <w:t xml:space="preserve"> </w:t>
      </w:r>
    </w:p>
    <w:p>
      <w:pPr>
        <w:pStyle w:val="Subsection"/>
        <w:rPr>
          <w:snapToGrid w:val="0"/>
        </w:rPr>
      </w:pPr>
      <w:r>
        <w:rPr>
          <w:snapToGrid w:val="0"/>
        </w:rPr>
        <w:tab/>
        <w:t>(1)</w:t>
      </w:r>
      <w:r>
        <w:rPr>
          <w:snapToGrid w:val="0"/>
        </w:rPr>
        <w:tab/>
        <w:t xml:space="preserve">A person shall be appointed under and subject to the </w:t>
      </w:r>
      <w:r>
        <w:rPr>
          <w:i/>
          <w:snapToGrid w:val="0"/>
        </w:rPr>
        <w:t xml:space="preserve">Public Sector Management Act 1994 </w:t>
      </w:r>
      <w:r>
        <w:rPr>
          <w:snapToGrid w:val="0"/>
        </w:rPr>
        <w:t>to be the State mining engineer.</w:t>
      </w:r>
    </w:p>
    <w:p>
      <w:pPr>
        <w:pStyle w:val="Subsection"/>
        <w:rPr>
          <w:snapToGrid w:val="0"/>
        </w:rPr>
      </w:pPr>
      <w:r>
        <w:rPr>
          <w:snapToGrid w:val="0"/>
        </w:rPr>
        <w:tab/>
        <w:t>(2)</w:t>
      </w:r>
      <w:r>
        <w:rPr>
          <w:snapToGrid w:val="0"/>
        </w:rPr>
        <w:tab/>
        <w:t xml:space="preserve">A person shall be appointed under and subject to the </w:t>
      </w:r>
      <w:r>
        <w:rPr>
          <w:i/>
          <w:snapToGrid w:val="0"/>
        </w:rPr>
        <w:t xml:space="preserve">Public Sector Management Act 1994 </w:t>
      </w:r>
      <w:r>
        <w:rPr>
          <w:snapToGrid w:val="0"/>
        </w:rPr>
        <w:t>to be the State coal mining engineer.</w:t>
      </w:r>
    </w:p>
    <w:p>
      <w:pPr>
        <w:pStyle w:val="Subsection"/>
        <w:rPr>
          <w:snapToGrid w:val="0"/>
        </w:rPr>
      </w:pPr>
      <w:r>
        <w:rPr>
          <w:snapToGrid w:val="0"/>
        </w:rPr>
        <w:tab/>
        <w:t>(3)</w:t>
      </w:r>
      <w:r>
        <w:rPr>
          <w:snapToGrid w:val="0"/>
        </w:rPr>
        <w:tab/>
        <w:t>To be eligible for appointment as the State mining engineer or the State coal mining engineer, a person must hold a first class mine manager’s certificate of competency.</w:t>
      </w:r>
    </w:p>
    <w:p>
      <w:pPr>
        <w:pStyle w:val="Subsection"/>
        <w:rPr>
          <w:snapToGrid w:val="0"/>
        </w:rPr>
      </w:pPr>
      <w:r>
        <w:rPr>
          <w:snapToGrid w:val="0"/>
        </w:rPr>
        <w:tab/>
        <w:t>(4)</w:t>
      </w:r>
      <w:r>
        <w:rPr>
          <w:snapToGrid w:val="0"/>
        </w:rPr>
        <w:tab/>
        <w:t>The State mining engineer, the State coal mining engineer, and the deputy State mining engineer have the powers conferred on an inspector by Division 2.</w:t>
      </w:r>
    </w:p>
    <w:p>
      <w:pPr>
        <w:pStyle w:val="Subsection"/>
        <w:rPr>
          <w:snapToGrid w:val="0"/>
        </w:rPr>
      </w:pPr>
      <w:r>
        <w:rPr>
          <w:snapToGrid w:val="0"/>
        </w:rPr>
        <w:tab/>
        <w:t>(5)</w:t>
      </w:r>
      <w:r>
        <w:rPr>
          <w:snapToGrid w:val="0"/>
        </w:rPr>
        <w:tab/>
        <w:t>The State mining engineer may, either generally or as otherwise provided by the instrument of delegation, by instrument in writing delegate to any person any power or duty conferred or imposed on the State mining engineer under this Act other than this power of delegation.</w:t>
      </w:r>
    </w:p>
    <w:p>
      <w:pPr>
        <w:pStyle w:val="Subsection"/>
        <w:rPr>
          <w:snapToGrid w:val="0"/>
        </w:rPr>
      </w:pPr>
      <w:r>
        <w:rPr>
          <w:snapToGrid w:val="0"/>
        </w:rPr>
        <w:tab/>
        <w:t>(6)</w:t>
      </w:r>
      <w:r>
        <w:rPr>
          <w:snapToGrid w:val="0"/>
        </w:rPr>
        <w:tab/>
        <w:t>Any act or thing done by a delegate under a delegation under this section has the same force and effect as if it had been done by the State mining engineer.</w:t>
      </w:r>
    </w:p>
    <w:p>
      <w:pPr>
        <w:pStyle w:val="Subsection"/>
        <w:rPr>
          <w:snapToGrid w:val="0"/>
        </w:rPr>
      </w:pPr>
      <w:r>
        <w:rPr>
          <w:snapToGrid w:val="0"/>
        </w:rPr>
        <w:tab/>
        <w:t>(7)</w:t>
      </w:r>
      <w:r>
        <w:rPr>
          <w:snapToGrid w:val="0"/>
        </w:rPr>
        <w:tab/>
        <w: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t>
      </w:r>
    </w:p>
    <w:p>
      <w:pPr>
        <w:pStyle w:val="Heading5"/>
        <w:keepNext w:val="0"/>
        <w:keepLines w:val="0"/>
        <w:rPr>
          <w:snapToGrid w:val="0"/>
        </w:rPr>
      </w:pPr>
      <w:bookmarkStart w:id="44" w:name="_Toc192041055"/>
      <w:r>
        <w:rPr>
          <w:rStyle w:val="CharSectno"/>
        </w:rPr>
        <w:t>17</w:t>
      </w:r>
      <w:r>
        <w:rPr>
          <w:snapToGrid w:val="0"/>
        </w:rPr>
        <w:t>.</w:t>
      </w:r>
      <w:r>
        <w:rPr>
          <w:snapToGrid w:val="0"/>
        </w:rPr>
        <w:tab/>
        <w:t>Appointment of inspectors of mines</w:t>
      </w:r>
      <w:bookmarkEnd w:id="44"/>
      <w:r>
        <w:rPr>
          <w:snapToGrid w:val="0"/>
        </w:rPr>
        <w:t xml:space="preserve"> </w:t>
      </w:r>
    </w:p>
    <w:p>
      <w:pPr>
        <w:pStyle w:val="Subsection"/>
        <w:rPr>
          <w:snapToGrid w:val="0"/>
        </w:rPr>
      </w:pPr>
      <w:r>
        <w:rPr>
          <w:snapToGrid w:val="0"/>
        </w:rPr>
        <w:tab/>
        <w:t>(1)</w:t>
      </w:r>
      <w:r>
        <w:rPr>
          <w:snapToGrid w:val="0"/>
        </w:rPr>
        <w:tab/>
        <w:t>The Minister may appoint suitable persons to be inspectors of mines.</w:t>
      </w:r>
    </w:p>
    <w:p>
      <w:pPr>
        <w:pStyle w:val="Subsection"/>
        <w:rPr>
          <w:snapToGrid w:val="0"/>
        </w:rPr>
      </w:pPr>
      <w:r>
        <w:rPr>
          <w:snapToGrid w:val="0"/>
        </w:rPr>
        <w:tab/>
        <w:t>(2)</w:t>
      </w:r>
      <w:r>
        <w:rPr>
          <w:snapToGrid w:val="0"/>
        </w:rPr>
        <w:tab/>
        <w:t>There are to be 3 categories of inspectors, namely, district inspectors, special inspectors, and employee’s inspectors.</w:t>
      </w:r>
    </w:p>
    <w:p>
      <w:pPr>
        <w:pStyle w:val="Subsection"/>
        <w:rPr>
          <w:snapToGrid w:val="0"/>
        </w:rPr>
      </w:pPr>
      <w:r>
        <w:rPr>
          <w:snapToGrid w:val="0"/>
        </w:rPr>
        <w:tab/>
        <w:t>(3)</w:t>
      </w:r>
      <w:r>
        <w:rPr>
          <w:snapToGrid w:val="0"/>
        </w:rPr>
        <w:tab/>
        <w:t>Subject to section 16(7), inspectors are subject to the control and direction of the State mining engineer and are to act in such areas of the State as the State mining engineer directs.</w:t>
      </w:r>
    </w:p>
    <w:p>
      <w:pPr>
        <w:pStyle w:val="Heading5"/>
        <w:rPr>
          <w:snapToGrid w:val="0"/>
        </w:rPr>
      </w:pPr>
      <w:bookmarkStart w:id="45" w:name="_Toc192041056"/>
      <w:r>
        <w:rPr>
          <w:rStyle w:val="CharSectno"/>
        </w:rPr>
        <w:t>18</w:t>
      </w:r>
      <w:r>
        <w:rPr>
          <w:snapToGrid w:val="0"/>
        </w:rPr>
        <w:t>.</w:t>
      </w:r>
      <w:r>
        <w:rPr>
          <w:snapToGrid w:val="0"/>
        </w:rPr>
        <w:tab/>
        <w:t>District and special inspectors</w:t>
      </w:r>
      <w:bookmarkEnd w:id="45"/>
      <w:r>
        <w:rPr>
          <w:snapToGrid w:val="0"/>
        </w:rPr>
        <w:t xml:space="preserve"> </w:t>
      </w:r>
    </w:p>
    <w:p>
      <w:pPr>
        <w:pStyle w:val="Subsection"/>
        <w:rPr>
          <w:snapToGrid w:val="0"/>
        </w:rPr>
      </w:pPr>
      <w:r>
        <w:rPr>
          <w:snapToGrid w:val="0"/>
        </w:rPr>
        <w:tab/>
        <w:t>(1)</w:t>
      </w:r>
      <w:r>
        <w:rPr>
          <w:snapToGrid w:val="0"/>
        </w:rPr>
        <w:tab/>
        <w:t xml:space="preserve">District and special inspectors, including district inspectors who are senior inspectors or hold administrative positions in the inspectorate structure of the department, are to be appointed under and subject to the </w:t>
      </w:r>
      <w:r>
        <w:rPr>
          <w:i/>
          <w:snapToGrid w:val="0"/>
        </w:rPr>
        <w:t>Public Sector Management Act 1994</w:t>
      </w:r>
      <w:r>
        <w:rPr>
          <w:snapToGrid w:val="0"/>
        </w:rPr>
        <w:t>.</w:t>
      </w:r>
    </w:p>
    <w:p>
      <w:pPr>
        <w:pStyle w:val="Subsection"/>
        <w:rPr>
          <w:snapToGrid w:val="0"/>
        </w:rPr>
      </w:pPr>
      <w:r>
        <w:rPr>
          <w:snapToGrid w:val="0"/>
        </w:rPr>
        <w:tab/>
        <w:t>(2)</w:t>
      </w:r>
      <w:r>
        <w:rPr>
          <w:snapToGrid w:val="0"/>
        </w:rPr>
        <w:tab/>
        <w:t>To be eligible for appointment as a district inspector, a person must hold a first class mine manager’s certificate of competency.</w:t>
      </w:r>
    </w:p>
    <w:p>
      <w:pPr>
        <w:pStyle w:val="Subsection"/>
        <w:rPr>
          <w:snapToGrid w:val="0"/>
        </w:rPr>
      </w:pPr>
      <w:r>
        <w:rPr>
          <w:snapToGrid w:val="0"/>
        </w:rPr>
        <w:tab/>
        <w:t>(3)</w:t>
      </w:r>
      <w:r>
        <w:rPr>
          <w:snapToGrid w:val="0"/>
        </w:rPr>
        <w:tab/>
        <w:t>Special inspectors may be appointed for the purpose of making inspections, inquiries, and investigations that require technical or scientific training or knowledge as directed by the State mining engineer.</w:t>
      </w:r>
    </w:p>
    <w:p>
      <w:pPr>
        <w:pStyle w:val="Subsection"/>
        <w:rPr>
          <w:snapToGrid w:val="0"/>
        </w:rPr>
      </w:pPr>
      <w:r>
        <w:rPr>
          <w:snapToGrid w:val="0"/>
        </w:rPr>
        <w:tab/>
        <w:t>(4)</w:t>
      </w:r>
      <w:r>
        <w:rPr>
          <w:snapToGrid w:val="0"/>
        </w:rPr>
        <w:tab/>
        <w: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t>
      </w:r>
    </w:p>
    <w:p>
      <w:pPr>
        <w:pStyle w:val="Heading5"/>
        <w:rPr>
          <w:snapToGrid w:val="0"/>
        </w:rPr>
      </w:pPr>
      <w:bookmarkStart w:id="46" w:name="_Toc192041057"/>
      <w:r>
        <w:rPr>
          <w:rStyle w:val="CharSectno"/>
        </w:rPr>
        <w:t>19</w:t>
      </w:r>
      <w:r>
        <w:rPr>
          <w:snapToGrid w:val="0"/>
        </w:rPr>
        <w:t>.</w:t>
      </w:r>
      <w:r>
        <w:rPr>
          <w:snapToGrid w:val="0"/>
        </w:rPr>
        <w:tab/>
        <w:t>Employee’s inspectors</w:t>
      </w:r>
      <w:bookmarkEnd w:id="46"/>
      <w:r>
        <w:rPr>
          <w:snapToGrid w:val="0"/>
        </w:rPr>
        <w:t xml:space="preserve"> </w:t>
      </w:r>
    </w:p>
    <w:p>
      <w:pPr>
        <w:pStyle w:val="Subsection"/>
        <w:rPr>
          <w:snapToGrid w:val="0"/>
        </w:rPr>
      </w:pPr>
      <w:r>
        <w:rPr>
          <w:snapToGrid w:val="0"/>
        </w:rPr>
        <w:tab/>
        <w:t>(1)</w:t>
      </w:r>
      <w:r>
        <w:rPr>
          <w:snapToGrid w:val="0"/>
        </w:rPr>
        <w:tab/>
        <w:t>Employee’s inspectors are to be appointed following their election in accordance with the regulations by a majority of persons who are employed at the mines in the regions designated for the purpose by the State mining engineer and who exercise their vote.</w:t>
      </w:r>
    </w:p>
    <w:p>
      <w:pPr>
        <w:pStyle w:val="Subsection"/>
        <w:rPr>
          <w:snapToGrid w:val="0"/>
        </w:rPr>
      </w:pPr>
      <w:r>
        <w:rPr>
          <w:snapToGrid w:val="0"/>
        </w:rPr>
        <w:tab/>
        <w:t>(2)</w:t>
      </w:r>
      <w:r>
        <w:rPr>
          <w:snapToGrid w:val="0"/>
        </w:rPr>
        <w:tab/>
        <w:t>To be eligible for appointment as an employee’s inspector, a person must hold a certificate of competency as an underground supervisor or, in relation to underground coal mines, a deputy and have been engaged in general practical underground mining work as a working miner for not less than 5 years, but the State mining engineer may, in respect of a particular sector of the mining industry or a particular region of the State and in special circumstances, accept the eligibility of persons with lesser qualifications or experience.</w:t>
      </w:r>
    </w:p>
    <w:p>
      <w:pPr>
        <w:pStyle w:val="Subsection"/>
        <w:spacing w:before="120"/>
        <w:rPr>
          <w:snapToGrid w:val="0"/>
        </w:rPr>
      </w:pPr>
      <w:r>
        <w:rPr>
          <w:snapToGrid w:val="0"/>
        </w:rPr>
        <w:tab/>
        <w:t>(3)</w:t>
      </w:r>
      <w:r>
        <w:rPr>
          <w:snapToGrid w:val="0"/>
        </w:rPr>
        <w:tab/>
        <w:t>Every employee’s inspector is to be appointed for a term of not more than 4 years and employed on such terms and conditions as are determined by the Minister after consultation with the Minister for Public Sector Management.</w:t>
      </w:r>
    </w:p>
    <w:p>
      <w:pPr>
        <w:pStyle w:val="Subsection"/>
        <w:spacing w:before="120"/>
        <w:rPr>
          <w:snapToGrid w:val="0"/>
        </w:rPr>
      </w:pPr>
      <w:r>
        <w:rPr>
          <w:snapToGrid w:val="0"/>
        </w:rPr>
        <w:tab/>
        <w:t>(4)</w:t>
      </w:r>
      <w:r>
        <w:rPr>
          <w:snapToGrid w:val="0"/>
        </w:rPr>
        <w:tab/>
        <w:t>An employee’s inspector is eligible for reappointment following re</w:t>
      </w:r>
      <w:r>
        <w:rPr>
          <w:snapToGrid w:val="0"/>
        </w:rPr>
        <w:noBreakHyphen/>
        <w:t>election.</w:t>
      </w:r>
    </w:p>
    <w:p>
      <w:pPr>
        <w:pStyle w:val="Subsection"/>
        <w:spacing w:before="120"/>
        <w:rPr>
          <w:snapToGrid w:val="0"/>
        </w:rPr>
      </w:pPr>
      <w:r>
        <w:rPr>
          <w:snapToGrid w:val="0"/>
        </w:rPr>
        <w:tab/>
        <w:t>(5)</w:t>
      </w:r>
      <w:r>
        <w:rPr>
          <w:snapToGrid w:val="0"/>
        </w:rPr>
        <w:tab/>
        <w:t>An employee’s inspector may be removed from office by the Minister on the grounds of misconduct, neglect of duty or incompetence.</w:t>
      </w:r>
    </w:p>
    <w:p>
      <w:pPr>
        <w:pStyle w:val="Heading5"/>
        <w:rPr>
          <w:snapToGrid w:val="0"/>
        </w:rPr>
      </w:pPr>
      <w:bookmarkStart w:id="47" w:name="_Toc192041058"/>
      <w:r>
        <w:rPr>
          <w:rStyle w:val="CharSectno"/>
        </w:rPr>
        <w:t>20</w:t>
      </w:r>
      <w:r>
        <w:rPr>
          <w:snapToGrid w:val="0"/>
        </w:rPr>
        <w:t>.</w:t>
      </w:r>
      <w:r>
        <w:rPr>
          <w:snapToGrid w:val="0"/>
        </w:rPr>
        <w:tab/>
        <w:t>Assistant inspectors</w:t>
      </w:r>
      <w:bookmarkEnd w:id="47"/>
      <w:r>
        <w:rPr>
          <w:snapToGrid w:val="0"/>
        </w:rPr>
        <w:t xml:space="preserve"> </w:t>
      </w:r>
    </w:p>
    <w:p>
      <w:pPr>
        <w:pStyle w:val="Subsection"/>
        <w:spacing w:before="120"/>
        <w:rPr>
          <w:snapToGrid w:val="0"/>
        </w:rPr>
      </w:pPr>
      <w:r>
        <w:rPr>
          <w:snapToGrid w:val="0"/>
        </w:rPr>
        <w:tab/>
        <w:t>(1)</w:t>
      </w:r>
      <w:r>
        <w:rPr>
          <w:snapToGrid w:val="0"/>
        </w:rPr>
        <w:tab/>
        <w:t>The Minister may appoint eligible persons to be assistant inspectors of mines.</w:t>
      </w:r>
    </w:p>
    <w:p>
      <w:pPr>
        <w:pStyle w:val="Subsection"/>
        <w:spacing w:before="120"/>
        <w:rPr>
          <w:snapToGrid w:val="0"/>
        </w:rPr>
      </w:pPr>
      <w:r>
        <w:rPr>
          <w:snapToGrid w:val="0"/>
        </w:rPr>
        <w:tab/>
        <w:t>(2)</w:t>
      </w:r>
      <w:r>
        <w:rPr>
          <w:snapToGrid w:val="0"/>
        </w:rPr>
        <w:tab/>
        <w:t>A person is eligible to be appointed as an assistant inspector of mines if that person has served not less than 12 years in total as an employee’s inspector or a workmen’s inspector.</w:t>
      </w:r>
    </w:p>
    <w:p>
      <w:pPr>
        <w:pStyle w:val="Subsection"/>
        <w:spacing w:before="120"/>
        <w:rPr>
          <w:snapToGrid w:val="0"/>
        </w:rPr>
      </w:pPr>
      <w:r>
        <w:rPr>
          <w:snapToGrid w:val="0"/>
        </w:rPr>
        <w:tab/>
        <w:t>(3)</w:t>
      </w:r>
      <w:r>
        <w:rPr>
          <w:snapToGrid w:val="0"/>
        </w:rPr>
        <w:tab/>
        <w:t>An assistant inspector is to be employed on such terms and conditions as are determined by the Minister after consultation with the Minister for Public Sector Management.</w:t>
      </w:r>
    </w:p>
    <w:p>
      <w:pPr>
        <w:pStyle w:val="Heading3"/>
        <w:rPr>
          <w:snapToGrid w:val="0"/>
        </w:rPr>
      </w:pPr>
      <w:bookmarkStart w:id="48" w:name="_Toc192041059"/>
      <w:r>
        <w:rPr>
          <w:rStyle w:val="CharDivNo"/>
        </w:rPr>
        <w:t>Division 2</w:t>
      </w:r>
      <w:r>
        <w:rPr>
          <w:snapToGrid w:val="0"/>
        </w:rPr>
        <w:t> — </w:t>
      </w:r>
      <w:r>
        <w:rPr>
          <w:rStyle w:val="CharDivText"/>
        </w:rPr>
        <w:t>Inspections</w:t>
      </w:r>
      <w:bookmarkEnd w:id="48"/>
      <w:r>
        <w:rPr>
          <w:rStyle w:val="CharDivText"/>
        </w:rPr>
        <w:t xml:space="preserve"> </w:t>
      </w:r>
    </w:p>
    <w:p>
      <w:pPr>
        <w:pStyle w:val="Heading5"/>
      </w:pPr>
      <w:bookmarkStart w:id="49" w:name="_Toc192041060"/>
      <w:r>
        <w:rPr>
          <w:rStyle w:val="CharSectno"/>
        </w:rPr>
        <w:t>20A</w:t>
      </w:r>
      <w:r>
        <w:t>.</w:t>
      </w:r>
      <w:r>
        <w:tab/>
        <w:t>Extended meaning of “employer” and “employee”</w:t>
      </w:r>
      <w:bookmarkEnd w:id="49"/>
    </w:p>
    <w:p>
      <w:pPr>
        <w:pStyle w:val="Subsection"/>
        <w:spacing w:before="120"/>
      </w:pPr>
      <w:r>
        <w:tab/>
      </w:r>
      <w:r>
        <w:tab/>
        <w:t xml:space="preserve">In this Division — </w:t>
      </w:r>
    </w:p>
    <w:p>
      <w:pPr>
        <w:pStyle w:val="Defstart"/>
      </w:pPr>
      <w:r>
        <w:rPr>
          <w:b/>
        </w:rPr>
        <w:tab/>
        <w:t>“</w:t>
      </w:r>
      <w:r>
        <w:rPr>
          <w:rStyle w:val="CharDefText"/>
        </w:rPr>
        <w:t>employer</w:t>
      </w:r>
      <w:r>
        <w:rPr>
          <w:b/>
        </w:rPr>
        <w:t>”</w:t>
      </w:r>
      <w:r>
        <w:t xml:space="preserve"> and </w:t>
      </w:r>
      <w:r>
        <w:rPr>
          <w:b/>
        </w:rPr>
        <w:t>“</w:t>
      </w:r>
      <w:r>
        <w:rPr>
          <w:rStyle w:val="CharDefText"/>
        </w:rPr>
        <w:t>employee</w:t>
      </w:r>
      <w:r>
        <w:rPr>
          <w:b/>
        </w:rPr>
        <w:t>”</w:t>
      </w:r>
      <w:r>
        <w:t xml:space="preserve"> </w:t>
      </w:r>
      <w:r>
        <w:rPr>
          <w:spacing w:val="-2"/>
        </w:rPr>
        <w:t>include a person taken to be an employer and an employee respectively by operation of section 15A, 15B or 15C</w:t>
      </w:r>
      <w:r>
        <w:rPr>
          <w:rFonts w:ascii="Times" w:hAnsi="Times"/>
          <w:spacing w:val="-2"/>
        </w:rPr>
        <w:t>.</w:t>
      </w:r>
    </w:p>
    <w:p>
      <w:pPr>
        <w:pStyle w:val="Footnotesection"/>
      </w:pPr>
      <w:r>
        <w:tab/>
        <w:t>[Section 20A inserted by No. 68 of 2004 s. 11.]</w:t>
      </w:r>
    </w:p>
    <w:p>
      <w:pPr>
        <w:pStyle w:val="Heading5"/>
        <w:rPr>
          <w:snapToGrid w:val="0"/>
        </w:rPr>
      </w:pPr>
      <w:bookmarkStart w:id="50" w:name="_Toc192041061"/>
      <w:r>
        <w:rPr>
          <w:rStyle w:val="CharSectno"/>
        </w:rPr>
        <w:t>21</w:t>
      </w:r>
      <w:r>
        <w:rPr>
          <w:snapToGrid w:val="0"/>
        </w:rPr>
        <w:t>.</w:t>
      </w:r>
      <w:r>
        <w:rPr>
          <w:snapToGrid w:val="0"/>
        </w:rPr>
        <w:tab/>
        <w:t>Powers of inspectors</w:t>
      </w:r>
      <w:bookmarkEnd w:id="50"/>
      <w:r>
        <w:rPr>
          <w:snapToGrid w:val="0"/>
        </w:rPr>
        <w:t xml:space="preserve"> </w:t>
      </w:r>
    </w:p>
    <w:p>
      <w:pPr>
        <w:pStyle w:val="Subsection"/>
        <w:spacing w:before="120"/>
        <w:rPr>
          <w:snapToGrid w:val="0"/>
        </w:rPr>
      </w:pPr>
      <w:r>
        <w:rPr>
          <w:snapToGrid w:val="0"/>
        </w:rPr>
        <w:tab/>
        <w:t>(1)</w:t>
      </w:r>
      <w:r>
        <w:rPr>
          <w:snapToGrid w:val="0"/>
        </w:rPr>
        <w:tab/>
        <w:t>A district inspector or special inspector may, for the purposes of this Act — </w:t>
      </w:r>
    </w:p>
    <w:p>
      <w:pPr>
        <w:pStyle w:val="Indenta"/>
        <w:spacing w:before="60"/>
        <w:rPr>
          <w:snapToGrid w:val="0"/>
        </w:rPr>
      </w:pPr>
      <w:r>
        <w:rPr>
          <w:snapToGrid w:val="0"/>
        </w:rPr>
        <w:tab/>
        <w:t>(a)</w:t>
      </w:r>
      <w:r>
        <w:rPr>
          <w:snapToGrid w:val="0"/>
        </w:rPr>
        <w:tab/>
        <w:t>at all times of the day or night, enter, inspect, and examine any mine and examine any plant, substance, or other thing whatsoever at the mine (but must do so in such a manner as not unnecessarily to impede or obstruct the working of the mine);</w:t>
      </w:r>
    </w:p>
    <w:p>
      <w:pPr>
        <w:pStyle w:val="Indenta"/>
        <w:spacing w:before="60"/>
        <w:rPr>
          <w:snapToGrid w:val="0"/>
        </w:rPr>
      </w:pPr>
      <w:r>
        <w:rPr>
          <w:snapToGrid w:val="0"/>
        </w:rPr>
        <w:tab/>
        <w:t>(b)</w:t>
      </w:r>
      <w:r>
        <w:rPr>
          <w:snapToGrid w:val="0"/>
        </w:rPr>
        <w:tab/>
        <w:t>when entering a mine, take with the inspector such equipment and materials as the inspector considers appropriate;</w:t>
      </w:r>
    </w:p>
    <w:p>
      <w:pPr>
        <w:pStyle w:val="Indenta"/>
        <w:spacing w:before="60"/>
        <w:rPr>
          <w:snapToGrid w:val="0"/>
        </w:rPr>
      </w:pPr>
      <w:r>
        <w:rPr>
          <w:snapToGrid w:val="0"/>
        </w:rPr>
        <w:tab/>
        <w:t>(c)</w:t>
      </w:r>
      <w:r>
        <w:rPr>
          <w:snapToGrid w:val="0"/>
        </w:rPr>
        <w:tab/>
        <w:t>conduct such examination and inquiry as the inspector considers necessary to ascertain whether the provisions of this Act have been and are being complied with in respect of a mine or a mining operation;</w:t>
      </w:r>
    </w:p>
    <w:p>
      <w:pPr>
        <w:pStyle w:val="Indenta"/>
        <w:spacing w:before="60"/>
      </w:pPr>
      <w:r>
        <w:tab/>
        <w:t>(ca)</w:t>
      </w:r>
      <w:r>
        <w:tab/>
        <w:t>provide information to any person for the purpose of facilitating compliance with this Act;</w:t>
      </w:r>
    </w:p>
    <w:p>
      <w:pPr>
        <w:pStyle w:val="Indenta"/>
        <w:spacing w:before="60"/>
        <w:rPr>
          <w:snapToGrid w:val="0"/>
        </w:rPr>
      </w:pPr>
      <w:r>
        <w:rPr>
          <w:snapToGrid w:val="0"/>
        </w:rPr>
        <w:tab/>
        <w:t>(d)</w:t>
      </w:r>
      <w:r>
        <w:rPr>
          <w:snapToGrid w:val="0"/>
        </w:rPr>
        <w:tab/>
        <w:t>take and remove samples of any substance or thing whatsoever at a mine without paying for them;</w:t>
      </w:r>
    </w:p>
    <w:p>
      <w:pPr>
        <w:pStyle w:val="Indenta"/>
        <w:spacing w:before="60"/>
        <w:rPr>
          <w:snapToGrid w:val="0"/>
        </w:rPr>
      </w:pPr>
      <w:r>
        <w:rPr>
          <w:snapToGrid w:val="0"/>
        </w:rPr>
        <w:tab/>
        <w:t>(e)</w:t>
      </w:r>
      <w:r>
        <w:rPr>
          <w:snapToGrid w:val="0"/>
        </w:rPr>
        <w:tab/>
        <w:t>take possession of any plant or thing for further examination or testing or for use as evidence;</w:t>
      </w:r>
    </w:p>
    <w:p>
      <w:pPr>
        <w:pStyle w:val="Indenta"/>
        <w:spacing w:before="60"/>
        <w:rPr>
          <w:snapToGrid w:val="0"/>
        </w:rPr>
      </w:pPr>
      <w:r>
        <w:rPr>
          <w:snapToGrid w:val="0"/>
        </w:rPr>
        <w:tab/>
        <w:t>(f)</w:t>
      </w:r>
      <w:r>
        <w:rPr>
          <w:snapToGrid w:val="0"/>
        </w:rPr>
        <w:tab/>
        <w:t>take photographs and measurements, and make sketches and recordings;</w:t>
      </w:r>
    </w:p>
    <w:p>
      <w:pPr>
        <w:pStyle w:val="Indenta"/>
        <w:spacing w:before="60"/>
        <w:rPr>
          <w:snapToGrid w:val="0"/>
        </w:rPr>
      </w:pPr>
      <w:r>
        <w:rPr>
          <w:snapToGrid w:val="0"/>
        </w:rPr>
        <w:tab/>
        <w:t>(g)</w:t>
      </w:r>
      <w:r>
        <w:rPr>
          <w:snapToGrid w:val="0"/>
        </w:rPr>
        <w:tab/>
        <w:t>require the production of, examine, and take copies of or extracts from, any document;</w:t>
      </w:r>
    </w:p>
    <w:p>
      <w:pPr>
        <w:pStyle w:val="Indenta"/>
        <w:spacing w:before="60"/>
        <w:rPr>
          <w:snapToGrid w:val="0"/>
        </w:rPr>
      </w:pPr>
      <w:r>
        <w:rPr>
          <w:snapToGrid w:val="0"/>
        </w:rPr>
        <w:tab/>
        <w:t>(h)</w:t>
      </w:r>
      <w:r>
        <w:rPr>
          <w:snapToGrid w:val="0"/>
        </w:rPr>
        <w:tab/>
        <w:t>require that the mine, or any part of it, be left undisturbed for as long as is specified in the requirement;</w:t>
      </w:r>
    </w:p>
    <w:p>
      <w:pPr>
        <w:pStyle w:val="Indenta"/>
        <w:spacing w:before="60"/>
      </w:pPr>
      <w:r>
        <w:tab/>
        <w:t>(i)</w:t>
      </w:r>
      <w:r>
        <w:tab/>
        <w:t xml:space="preserve">in accordance with subsections (1a) and (1b), interview any person who the district inspector or special inspector (the </w:t>
      </w:r>
      <w:r>
        <w:rPr>
          <w:b/>
        </w:rPr>
        <w:t>“</w:t>
      </w:r>
      <w:r>
        <w:rPr>
          <w:rStyle w:val="CharDefText"/>
        </w:rPr>
        <w:t>inspector</w:t>
      </w:r>
      <w:r>
        <w:rPr>
          <w:b/>
        </w:rPr>
        <w:t>”</w:t>
      </w:r>
      <w:r>
        <w:t xml:space="preserve">) has reasonable grounds to believe — </w:t>
      </w:r>
    </w:p>
    <w:p>
      <w:pPr>
        <w:pStyle w:val="Indenti"/>
      </w:pPr>
      <w:r>
        <w:tab/>
        <w:t>(i)</w:t>
      </w:r>
      <w:r>
        <w:tab/>
        <w:t xml:space="preserve">is, or was at any time during the preceding 3 years — </w:t>
      </w:r>
    </w:p>
    <w:p>
      <w:pPr>
        <w:pStyle w:val="IndentI0"/>
      </w:pPr>
      <w:r>
        <w:tab/>
        <w:t>(I)</w:t>
      </w:r>
      <w:r>
        <w:tab/>
        <w:t>an employee working at a mine; or</w:t>
      </w:r>
    </w:p>
    <w:p>
      <w:pPr>
        <w:pStyle w:val="IndentI0"/>
      </w:pPr>
      <w:r>
        <w:tab/>
        <w:t>(II)</w:t>
      </w:r>
      <w:r>
        <w:tab/>
        <w:t>an employee occupying residential premises mentioned in section 15D(2),</w:t>
      </w:r>
    </w:p>
    <w:p>
      <w:pPr>
        <w:pStyle w:val="Indenti"/>
      </w:pPr>
      <w:r>
        <w:tab/>
      </w:r>
      <w:r>
        <w:tab/>
        <w:t>in relation to which the inspector is inquiring;</w:t>
      </w:r>
    </w:p>
    <w:p>
      <w:pPr>
        <w:pStyle w:val="Indenti"/>
      </w:pPr>
      <w:r>
        <w:tab/>
        <w:t>(ii)</w:t>
      </w:r>
      <w:r>
        <w:tab/>
        <w:t>was at such a mine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pPr>
      <w:r>
        <w:tab/>
        <w:t>(ia)</w:t>
      </w:r>
      <w:r>
        <w:tab/>
        <w:t>require the attendance of any person for an interview under paragraph (i);</w:t>
      </w:r>
    </w:p>
    <w:p>
      <w:pPr>
        <w:pStyle w:val="Indenta"/>
        <w:rPr>
          <w:snapToGrid w:val="0"/>
        </w:rPr>
      </w:pPr>
      <w:r>
        <w:rPr>
          <w:snapToGrid w:val="0"/>
        </w:rPr>
        <w:tab/>
        <w:t>(j)</w:t>
      </w:r>
      <w:r>
        <w:rPr>
          <w:snapToGrid w:val="0"/>
        </w:rPr>
        <w:tab/>
        <w:t>require any person whom the inspector interviews under paragraph (i) to answer any question put to that person and, if the inspector considers it appropriate, to verify any such answer by statutory declaration;</w:t>
      </w:r>
    </w:p>
    <w:p>
      <w:pPr>
        <w:pStyle w:val="Indenta"/>
        <w:rPr>
          <w:snapToGrid w:val="0"/>
        </w:rPr>
      </w:pPr>
      <w:r>
        <w:rPr>
          <w:snapToGrid w:val="0"/>
        </w:rPr>
        <w:tab/>
        <w:t>(k)</w:t>
      </w:r>
      <w:r>
        <w:rPr>
          <w:snapToGrid w:val="0"/>
        </w:rPr>
        <w:tab/>
        <w:t>require any person to state his or her name and address;</w:t>
      </w:r>
    </w:p>
    <w:p>
      <w:pPr>
        <w:pStyle w:val="Indenta"/>
        <w:rPr>
          <w:snapToGrid w:val="0"/>
        </w:rPr>
      </w:pPr>
      <w:r>
        <w:rPr>
          <w:snapToGrid w:val="0"/>
        </w:rPr>
        <w:tab/>
        <w:t>(l)</w:t>
      </w:r>
      <w:r>
        <w:rPr>
          <w:snapToGrid w:val="0"/>
        </w:rPr>
        <w:tab/>
        <w:t>require the employer or the manager or any person who works at a mine to give such assistance to the inspector as the inspector considers necessary for the performance of the inspector’s functions under this Act;</w:t>
      </w:r>
    </w:p>
    <w:p>
      <w:pPr>
        <w:pStyle w:val="Indenta"/>
        <w:rPr>
          <w:snapToGrid w:val="0"/>
        </w:rPr>
      </w:pPr>
      <w:r>
        <w:rPr>
          <w:snapToGrid w:val="0"/>
        </w:rPr>
        <w:tab/>
        <w:t>(m)</w:t>
      </w:r>
      <w:r>
        <w:rPr>
          <w:snapToGrid w:val="0"/>
        </w:rPr>
        <w:tab/>
        <w:t>initiate and conduct prosecutions of persons for offences under this Act;</w:t>
      </w:r>
    </w:p>
    <w:p>
      <w:pPr>
        <w:pStyle w:val="Indenta"/>
        <w:rPr>
          <w:snapToGrid w:val="0"/>
        </w:rPr>
      </w:pPr>
      <w:r>
        <w:rPr>
          <w:snapToGrid w:val="0"/>
        </w:rPr>
        <w:tab/>
        <w:t>(n)</w:t>
      </w:r>
      <w:r>
        <w:rPr>
          <w:snapToGrid w:val="0"/>
        </w:rPr>
        <w:tab/>
        <w:t>obtain written statements from potential witnesses, and appear at inquiries held regarding mining accidents, and at inquests and call and examine witnesses and cross</w:t>
      </w:r>
      <w:r>
        <w:rPr>
          <w:snapToGrid w:val="0"/>
        </w:rPr>
        <w:noBreakHyphen/>
        <w:t>examine witnesses;</w:t>
      </w:r>
    </w:p>
    <w:p>
      <w:pPr>
        <w:pStyle w:val="Indenta"/>
        <w:rPr>
          <w:snapToGrid w:val="0"/>
        </w:rPr>
      </w:pPr>
      <w:r>
        <w:rPr>
          <w:snapToGrid w:val="0"/>
        </w:rPr>
        <w:tab/>
        <w:t>(o)</w:t>
      </w:r>
      <w:r>
        <w:rPr>
          <w:snapToGrid w:val="0"/>
        </w:rPr>
        <w:tab/>
        <w:t>exercise such other powers as are conferred on an inspector by the regulations or as may be necessary for the performance of the inspector’s functions under this Act and for carrying this Act into effect.</w:t>
      </w:r>
    </w:p>
    <w:p>
      <w:pPr>
        <w:pStyle w:val="Subsection"/>
      </w:pPr>
      <w:r>
        <w:tab/>
        <w:t>(1a)</w:t>
      </w:r>
      <w:r>
        <w:tab/>
        <w:t xml:space="preserve">An interview referred to in subsection (1)(i)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(3).</w:t>
      </w:r>
    </w:p>
    <w:p>
      <w:pPr>
        <w:pStyle w:val="Subsection"/>
      </w:pPr>
      <w:r>
        <w:tab/>
        <w:t>(1b)</w:t>
      </w:r>
      <w:r>
        <w:tab/>
        <w:t xml:space="preserve">Subsection (1a)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An employee’s inspector or an assistant inspector may, for the purposes of this Act — </w:t>
      </w:r>
    </w:p>
    <w:p>
      <w:pPr>
        <w:pStyle w:val="Indenta"/>
        <w:rPr>
          <w:snapToGrid w:val="0"/>
        </w:rPr>
      </w:pPr>
      <w:r>
        <w:rPr>
          <w:snapToGrid w:val="0"/>
        </w:rPr>
        <w:tab/>
        <w:t>(a)</w:t>
      </w:r>
      <w:r>
        <w:rPr>
          <w:snapToGrid w:val="0"/>
        </w:rPr>
        <w:tab/>
        <w:t>exercise any of the powers conferred on a district inspector by subsection (1) except for those conferred by paragraphs (m) and (n) of that subsection;</w:t>
      </w:r>
    </w:p>
    <w:p>
      <w:pPr>
        <w:pStyle w:val="Indenta"/>
        <w:rPr>
          <w:snapToGrid w:val="0"/>
        </w:rPr>
      </w:pPr>
      <w:r>
        <w:rPr>
          <w:snapToGrid w:val="0"/>
        </w:rPr>
        <w:tab/>
        <w:t>(b)</w:t>
      </w:r>
      <w:r>
        <w:rPr>
          <w:snapToGrid w:val="0"/>
        </w:rPr>
        <w:tab/>
        <w:t>with the authority of the State mining engineer, initiate and conduct prosecutions of persons for offences under this Act;</w:t>
      </w:r>
    </w:p>
    <w:p>
      <w:pPr>
        <w:pStyle w:val="Indenta"/>
        <w:rPr>
          <w:snapToGrid w:val="0"/>
        </w:rPr>
      </w:pPr>
      <w:r>
        <w:rPr>
          <w:snapToGrid w:val="0"/>
        </w:rPr>
        <w:tab/>
        <w:t>(c)</w:t>
      </w:r>
      <w:r>
        <w:rPr>
          <w:snapToGrid w:val="0"/>
        </w:rPr>
        <w:tab/>
        <w:t>if a district inspector so directs, obtain written statements from potential witnesses, and appear at inquiries held regarding mining accidents, and at inquests and call and examine witnesses and cross</w:t>
      </w:r>
      <w:r>
        <w:rPr>
          <w:snapToGrid w:val="0"/>
        </w:rPr>
        <w:noBreakHyphen/>
        <w:t>examine witnesses.</w:t>
      </w:r>
    </w:p>
    <w:p>
      <w:pPr>
        <w:pStyle w:val="Subsection"/>
        <w:rPr>
          <w:snapToGrid w:val="0"/>
          <w:spacing w:val="-4"/>
        </w:rPr>
      </w:pPr>
      <w:r>
        <w:rPr>
          <w:snapToGrid w:val="0"/>
          <w:spacing w:val="-4"/>
        </w:rPr>
        <w:tab/>
        <w:t>(3)</w:t>
      </w:r>
      <w:r>
        <w:rPr>
          <w:snapToGrid w:val="0"/>
          <w:spacing w:val="-4"/>
        </w:rPr>
        <w:tab/>
        <w:t>In exercising any power under this Act, an inspector or an assistant inspector may be accompanied by any other person whose assistance the inspector or assistant inspector considers necessary, and that person may do such things as are necessary to assist the inspector or assistant inspector in the performance of his or her functions, and anything so done is deemed to have been done by the inspector or assistant inspector, as the case may require.</w:t>
      </w:r>
    </w:p>
    <w:p>
      <w:pPr>
        <w:pStyle w:val="Subsection"/>
        <w:rPr>
          <w:snapToGrid w:val="0"/>
        </w:rPr>
      </w:pPr>
      <w:r>
        <w:rPr>
          <w:snapToGrid w:val="0"/>
        </w:rPr>
        <w:tab/>
        <w:t>(4)</w:t>
      </w:r>
      <w:r>
        <w:rPr>
          <w:snapToGrid w:val="0"/>
        </w:rPr>
        <w:tab/>
        <w:t>Where a district inspector, special inspector, employee’s inspector, or assistant inspector intends to inspect and examine a mine under the powers conferred by this section, the inspector or assistant inspector must, where practicable on entering the mine, give notice of his or her intention to do so, either to the principal employer or to the manager, or in their absence to another responsible person.</w:t>
      </w:r>
    </w:p>
    <w:p>
      <w:pPr>
        <w:pStyle w:val="Subsection"/>
        <w:spacing w:before="120"/>
        <w:rPr>
          <w:snapToGrid w:val="0"/>
        </w:rPr>
      </w:pPr>
      <w:r>
        <w:rPr>
          <w:snapToGrid w:val="0"/>
        </w:rPr>
        <w:tab/>
        <w:t>(5)</w:t>
      </w:r>
      <w:r>
        <w:rPr>
          <w:snapToGrid w:val="0"/>
        </w:rPr>
        <w:tab/>
        <w:t>A person to whom an inspector or assistant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or assistant inspector is concerned.</w:t>
      </w:r>
    </w:p>
    <w:p>
      <w:pPr>
        <w:pStyle w:val="Penstart"/>
        <w:rPr>
          <w:snapToGrid w:val="0"/>
        </w:rPr>
      </w:pPr>
      <w:r>
        <w:rPr>
          <w:snapToGrid w:val="0"/>
        </w:rPr>
        <w:tab/>
        <w:t>Penalty: $25 000 in the case of a corporation and $5 000 in the case of an individual.</w:t>
      </w:r>
    </w:p>
    <w:p>
      <w:pPr>
        <w:pStyle w:val="Subsection"/>
        <w:spacing w:before="120"/>
      </w:pPr>
      <w:r>
        <w:tab/>
        <w:t>(5a)</w:t>
      </w:r>
      <w:r>
        <w:tab/>
        <w:t xml:space="preserve">In subsection (5) — </w:t>
      </w:r>
    </w:p>
    <w:p>
      <w:pPr>
        <w:pStyle w:val="Defstart"/>
      </w:pPr>
      <w:r>
        <w:rPr>
          <w:b/>
        </w:rPr>
        <w:tab/>
        <w:t>“</w:t>
      </w:r>
      <w:r>
        <w:rPr>
          <w:rStyle w:val="CharDefText"/>
        </w:rPr>
        <w:t>the safety and health representative of that mine</w:t>
      </w:r>
      <w:r>
        <w:rPr>
          <w:b/>
        </w:rPr>
        <w:t>”</w:t>
      </w:r>
      <w:r>
        <w:t xml:space="preserve"> includes a safety and health representative elected for a group of employees pursuant to a scheme under section 55A if any member of the group works at the mine.</w:t>
      </w:r>
    </w:p>
    <w:p>
      <w:pPr>
        <w:pStyle w:val="Subsection"/>
        <w:spacing w:before="120"/>
      </w:pPr>
      <w:r>
        <w:tab/>
        <w:t>(6)</w:t>
      </w:r>
      <w:r>
        <w:tab/>
        <w:t xml:space="preserve">For the purposes of this section a mine is to be taken to include — </w:t>
      </w:r>
    </w:p>
    <w:p>
      <w:pPr>
        <w:pStyle w:val="Indenta"/>
      </w:pPr>
      <w:r>
        <w:tab/>
        <w:t>(a)</w:t>
      </w:r>
      <w:r>
        <w:tab/>
        <w:t>a workplace that relates to but is not a mine or part of a mine; and</w:t>
      </w:r>
    </w:p>
    <w:p>
      <w:pPr>
        <w:pStyle w:val="Indenta"/>
      </w:pPr>
      <w:r>
        <w:tab/>
        <w:t>(b)</w:t>
      </w:r>
      <w:r>
        <w:tab/>
        <w:t>in relation to a particular mine, residential premises that an employer at the mine is or was under a duty to maintain by virtue of section 15D(2).</w:t>
      </w:r>
    </w:p>
    <w:p>
      <w:pPr>
        <w:pStyle w:val="Footnotesection"/>
      </w:pPr>
      <w:r>
        <w:tab/>
        <w:t xml:space="preserve">[Section 21 amended by No. 30 of 1995 s. 76(4); No. 68 of 2004 s. 12, 50 and 90.] </w:t>
      </w:r>
    </w:p>
    <w:p>
      <w:pPr>
        <w:pStyle w:val="Ednotesection"/>
      </w:pPr>
      <w:r>
        <w:t>[</w:t>
      </w:r>
      <w:r>
        <w:rPr>
          <w:b/>
        </w:rPr>
        <w:t>22.</w:t>
      </w:r>
      <w:r>
        <w:tab/>
        <w:t>Repealed by No. 68 of 2004 s. 74.]</w:t>
      </w:r>
    </w:p>
    <w:p>
      <w:pPr>
        <w:pStyle w:val="Heading5"/>
        <w:rPr>
          <w:snapToGrid w:val="0"/>
        </w:rPr>
      </w:pPr>
      <w:bookmarkStart w:id="51" w:name="_Toc192041062"/>
      <w:r>
        <w:rPr>
          <w:rStyle w:val="CharSectno"/>
        </w:rPr>
        <w:t>23</w:t>
      </w:r>
      <w:r>
        <w:rPr>
          <w:snapToGrid w:val="0"/>
        </w:rPr>
        <w:t>.</w:t>
      </w:r>
      <w:r>
        <w:rPr>
          <w:snapToGrid w:val="0"/>
        </w:rPr>
        <w:tab/>
        <w:t>Notice of result of inspection</w:t>
      </w:r>
      <w:bookmarkEnd w:id="51"/>
      <w:r>
        <w:rPr>
          <w:snapToGrid w:val="0"/>
        </w:rPr>
        <w:t xml:space="preserve"> </w:t>
      </w:r>
    </w:p>
    <w:p>
      <w:pPr>
        <w:pStyle w:val="Subsection"/>
        <w:spacing w:before="120"/>
        <w:rPr>
          <w:snapToGrid w:val="0"/>
        </w:rPr>
      </w:pPr>
      <w:r>
        <w:rPr>
          <w:snapToGrid w:val="0"/>
        </w:rPr>
        <w:tab/>
        <w:t>(1)</w:t>
      </w:r>
      <w:r>
        <w:rPr>
          <w:snapToGrid w:val="0"/>
        </w:rPr>
        <w:tab/>
        <w:t>After inspecting a mine, an inspector or assistant inspector must — </w:t>
      </w:r>
    </w:p>
    <w:p>
      <w:pPr>
        <w:pStyle w:val="Indenta"/>
        <w:rPr>
          <w:snapToGrid w:val="0"/>
        </w:rPr>
      </w:pPr>
      <w:r>
        <w:rPr>
          <w:snapToGrid w:val="0"/>
        </w:rPr>
        <w:tab/>
        <w:t>(a)</w:t>
      </w:r>
      <w:r>
        <w:rPr>
          <w:snapToGrid w:val="0"/>
        </w:rPr>
        <w:tab/>
        <w:t>enter in a record book approved for the purpose by the State mining engineer and kept at the mine or, in the case of exploration operations, such other place as is prescribed, a record of — </w:t>
      </w:r>
    </w:p>
    <w:p>
      <w:pPr>
        <w:pStyle w:val="Indenti"/>
        <w:rPr>
          <w:snapToGrid w:val="0"/>
        </w:rPr>
      </w:pPr>
      <w:r>
        <w:rPr>
          <w:snapToGrid w:val="0"/>
        </w:rPr>
        <w:tab/>
        <w:t>(i)</w:t>
      </w:r>
      <w:r>
        <w:rPr>
          <w:snapToGrid w:val="0"/>
        </w:rPr>
        <w:tab/>
        <w:t>the parts of the mine inspected by that inspector or assistant inspector; and</w:t>
      </w:r>
    </w:p>
    <w:p>
      <w:pPr>
        <w:pStyle w:val="Indenti"/>
        <w:rPr>
          <w:snapToGrid w:val="0"/>
        </w:rPr>
      </w:pPr>
      <w:r>
        <w:rPr>
          <w:snapToGrid w:val="0"/>
        </w:rPr>
        <w:tab/>
        <w:t>(ii)</w:t>
      </w:r>
      <w:r>
        <w:rPr>
          <w:snapToGrid w:val="0"/>
        </w:rPr>
        <w:tab/>
        <w:t>the nature of the inspection; and</w:t>
      </w:r>
    </w:p>
    <w:p>
      <w:pPr>
        <w:pStyle w:val="Indenti"/>
        <w:rPr>
          <w:snapToGrid w:val="0"/>
        </w:rPr>
      </w:pPr>
      <w:r>
        <w:rPr>
          <w:snapToGrid w:val="0"/>
        </w:rPr>
        <w:tab/>
        <w:t>(iii)</w:t>
      </w:r>
      <w:r>
        <w:rPr>
          <w:snapToGrid w:val="0"/>
        </w:rPr>
        <w:tab/>
        <w:t>every defect which the inspector or assistant inspector observed in the state and condition of the mine and the plant;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notify the person to whom notice was given under section 21(4) and, where practicable, any safety and health representative or safety and health committee concerned, of any action the inspector or assistant inspector has taken and any further action the inspector or assistant inspector requires to be taken in relation to the mine as a result of the inspection.</w:t>
      </w:r>
    </w:p>
    <w:p>
      <w:pPr>
        <w:pStyle w:val="Subsection"/>
        <w:rPr>
          <w:snapToGrid w:val="0"/>
        </w:rPr>
      </w:pPr>
      <w:r>
        <w:rPr>
          <w:snapToGrid w:val="0"/>
        </w:rPr>
        <w:tab/>
        <w:t>(2)</w:t>
      </w:r>
      <w:r>
        <w:rPr>
          <w:snapToGrid w:val="0"/>
        </w:rPr>
        <w:tab/>
        <w:t>The record book referred to in subsection (1) is to be open at all reasonable times to the examination of — </w:t>
      </w:r>
    </w:p>
    <w:p>
      <w:pPr>
        <w:pStyle w:val="Indenta"/>
        <w:rPr>
          <w:snapToGrid w:val="0"/>
        </w:rPr>
      </w:pPr>
      <w:r>
        <w:rPr>
          <w:snapToGrid w:val="0"/>
        </w:rPr>
        <w:tab/>
        <w:t>(a)</w:t>
      </w:r>
      <w:r>
        <w:rPr>
          <w:snapToGrid w:val="0"/>
        </w:rPr>
        <w:tab/>
        <w:t>an inspector or assistant inspector; and</w:t>
      </w:r>
    </w:p>
    <w:p>
      <w:pPr>
        <w:pStyle w:val="Indenta"/>
        <w:rPr>
          <w:snapToGrid w:val="0"/>
        </w:rPr>
      </w:pPr>
      <w:r>
        <w:rPr>
          <w:snapToGrid w:val="0"/>
        </w:rPr>
        <w:tab/>
        <w:t>(b)</w:t>
      </w:r>
      <w:r>
        <w:rPr>
          <w:snapToGrid w:val="0"/>
        </w:rPr>
        <w:tab/>
        <w:t>every person working at the mine; and</w:t>
      </w:r>
    </w:p>
    <w:p>
      <w:pPr>
        <w:pStyle w:val="Indenta"/>
        <w:rPr>
          <w:snapToGrid w:val="0"/>
        </w:rPr>
      </w:pPr>
      <w:r>
        <w:rPr>
          <w:snapToGrid w:val="0"/>
        </w:rPr>
        <w:tab/>
        <w:t>(c)</w:t>
      </w:r>
      <w:r>
        <w:rPr>
          <w:snapToGrid w:val="0"/>
        </w:rPr>
        <w:tab/>
        <w:t>every other person authorised in writing by the State mining engineer.</w:t>
      </w:r>
    </w:p>
    <w:p>
      <w:pPr>
        <w:pStyle w:val="Subsection"/>
        <w:rPr>
          <w:snapToGrid w:val="0"/>
        </w:rPr>
      </w:pPr>
      <w:r>
        <w:rPr>
          <w:snapToGrid w:val="0"/>
        </w:rPr>
        <w:tab/>
        <w:t>(3)</w:t>
      </w:r>
      <w:r>
        <w:rPr>
          <w:snapToGrid w:val="0"/>
        </w:rPr>
        <w:tab/>
        <w:t>Where it is not practicable for an inspector or assistant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t>
      </w:r>
    </w:p>
    <w:p>
      <w:pPr>
        <w:pStyle w:val="Penstart"/>
        <w:rPr>
          <w:snapToGrid w:val="0"/>
        </w:rPr>
      </w:pPr>
      <w:r>
        <w:rPr>
          <w:snapToGrid w:val="0"/>
        </w:rPr>
        <w:tab/>
        <w:t>Penalty: $25 000 in the case of a corporation and $5 000 in the case of an individual.</w:t>
      </w:r>
    </w:p>
    <w:p>
      <w:pPr>
        <w:pStyle w:val="Footnotesection"/>
      </w:pPr>
      <w:r>
        <w:tab/>
        <w:t xml:space="preserve">[Section 23 amended by No. 30 of 1995 s. 76(4); No. 68 of 2004 s. 75.] </w:t>
      </w:r>
    </w:p>
    <w:p>
      <w:pPr>
        <w:pStyle w:val="Heading5"/>
        <w:keepNext w:val="0"/>
        <w:keepLines w:val="0"/>
        <w:rPr>
          <w:snapToGrid w:val="0"/>
        </w:rPr>
      </w:pPr>
      <w:bookmarkStart w:id="52" w:name="_Toc192041063"/>
      <w:r>
        <w:rPr>
          <w:rStyle w:val="CharSectno"/>
        </w:rPr>
        <w:t>24</w:t>
      </w:r>
      <w:r>
        <w:rPr>
          <w:snapToGrid w:val="0"/>
        </w:rPr>
        <w:t>.</w:t>
      </w:r>
      <w:r>
        <w:rPr>
          <w:snapToGrid w:val="0"/>
        </w:rPr>
        <w:tab/>
        <w:t>Inspector must inquire into complaints</w:t>
      </w:r>
      <w:bookmarkEnd w:id="52"/>
      <w:r>
        <w:rPr>
          <w:snapToGrid w:val="0"/>
        </w:rPr>
        <w:t xml:space="preserve"> </w:t>
      </w:r>
    </w:p>
    <w:p>
      <w:pPr>
        <w:pStyle w:val="Subsection"/>
        <w:rPr>
          <w:snapToGrid w:val="0"/>
          <w:spacing w:val="-4"/>
        </w:rPr>
      </w:pPr>
      <w:r>
        <w:rPr>
          <w:snapToGrid w:val="0"/>
          <w:spacing w:val="-4"/>
        </w:rPr>
        <w:tab/>
        <w:t>(1)</w:t>
      </w:r>
      <w:r>
        <w:rPr>
          <w:snapToGrid w:val="0"/>
          <w:spacing w:val="-4"/>
        </w:rPr>
        <w:tab/>
        <w:t>A person working at a mine may complain to an inspector about anything which an inspector is under a duty to report on or remedy.</w:t>
      </w:r>
    </w:p>
    <w:p>
      <w:pPr>
        <w:pStyle w:val="Subsection"/>
        <w:rPr>
          <w:snapToGrid w:val="0"/>
        </w:rPr>
      </w:pPr>
      <w:r>
        <w:rPr>
          <w:snapToGrid w:val="0"/>
        </w:rPr>
        <w:tab/>
        <w:t>(2)</w:t>
      </w:r>
      <w:r>
        <w:rPr>
          <w:snapToGrid w:val="0"/>
        </w:rPr>
        <w:tab/>
        <w:t>An inspector must inquire into any complaint made under subsection (1) and take such steps as the inspector considers necessary to investigate the matter, but the name of the person who complained is not to be disclosed.</w:t>
      </w:r>
    </w:p>
    <w:p>
      <w:pPr>
        <w:pStyle w:val="Heading5"/>
        <w:rPr>
          <w:snapToGrid w:val="0"/>
        </w:rPr>
      </w:pPr>
      <w:bookmarkStart w:id="53" w:name="_Toc192041064"/>
      <w:r>
        <w:rPr>
          <w:rStyle w:val="CharSectno"/>
        </w:rPr>
        <w:t>25</w:t>
      </w:r>
      <w:r>
        <w:rPr>
          <w:snapToGrid w:val="0"/>
        </w:rPr>
        <w:t>.</w:t>
      </w:r>
      <w:r>
        <w:rPr>
          <w:snapToGrid w:val="0"/>
        </w:rPr>
        <w:tab/>
        <w:t>Liaison between employee’s inspectors and safety and health representatives</w:t>
      </w:r>
      <w:bookmarkEnd w:id="53"/>
      <w:r>
        <w:rPr>
          <w:snapToGrid w:val="0"/>
        </w:rPr>
        <w:t xml:space="preserve"> </w:t>
      </w:r>
    </w:p>
    <w:p>
      <w:pPr>
        <w:pStyle w:val="Subsection"/>
        <w:rPr>
          <w:snapToGrid w:val="0"/>
        </w:rPr>
      </w:pPr>
      <w:r>
        <w:rPr>
          <w:snapToGrid w:val="0"/>
        </w:rPr>
        <w:tab/>
        <w:t>(1)</w:t>
      </w:r>
      <w:r>
        <w:rPr>
          <w:snapToGrid w:val="0"/>
        </w:rPr>
        <w:tab/>
        <w:t>An employee’s inspector who performs any function with respect to safety and health matters at a mine must liaise with the safety and health representative (if any) and the safety and health committee (if any) at the mine.</w:t>
      </w:r>
    </w:p>
    <w:p>
      <w:pPr>
        <w:pStyle w:val="Subsection"/>
      </w:pPr>
      <w:r>
        <w:tab/>
        <w:t>(1a)</w:t>
      </w:r>
      <w:r>
        <w:tab/>
        <w:t xml:space="preserve">In subsection (1) — </w:t>
      </w:r>
    </w:p>
    <w:p>
      <w:pPr>
        <w:pStyle w:val="Defstart"/>
      </w:pPr>
      <w:r>
        <w:rPr>
          <w:b/>
        </w:rPr>
        <w:tab/>
        <w:t>“</w:t>
      </w:r>
      <w:r>
        <w:rPr>
          <w:rStyle w:val="CharDefText"/>
        </w:rPr>
        <w:t>the safety and health representative</w:t>
      </w:r>
      <w:r>
        <w:rPr>
          <w:b/>
        </w:rPr>
        <w:t>” </w:t>
      </w:r>
      <w:r>
        <w:t xml:space="preserve">— </w:t>
      </w:r>
    </w:p>
    <w:p>
      <w:pPr>
        <w:pStyle w:val="Defpara"/>
      </w:pPr>
      <w:r>
        <w:tab/>
        <w:t>(a)</w:t>
      </w:r>
      <w:r>
        <w:tab/>
        <w:t>if there is more than one safety and health representative for the mine, means any such representative who has functions relevant to the matters concerned; and</w:t>
      </w:r>
    </w:p>
    <w:p>
      <w:pPr>
        <w:pStyle w:val="Defpara"/>
      </w:pPr>
      <w:r>
        <w:tab/>
        <w:t>(b)</w:t>
      </w:r>
      <w:r>
        <w:tab/>
        <w:t>includes a safety and health representative elected for a group of employees pursuant to a scheme under section 55A if any member of the group works at the mine.</w:t>
      </w:r>
    </w:p>
    <w:p>
      <w:pPr>
        <w:pStyle w:val="Subsection"/>
        <w:keepNext/>
        <w:rPr>
          <w:snapToGrid w:val="0"/>
        </w:rPr>
      </w:pPr>
      <w:r>
        <w:rPr>
          <w:snapToGrid w:val="0"/>
        </w:rPr>
        <w:tab/>
        <w:t>(2)</w:t>
      </w:r>
      <w:r>
        <w:rPr>
          <w:snapToGrid w:val="0"/>
        </w:rPr>
        <w:tab/>
        <w:t>An employee’s inspector may report to a trade union on matters concerning safety factors and the safety of working conditions at a mine if a member of that trade union is employed at the mine and the subject matter of the report concerns the member or the member’s work at the mine.</w:t>
      </w:r>
    </w:p>
    <w:p>
      <w:pPr>
        <w:pStyle w:val="Footnotesection"/>
      </w:pPr>
      <w:r>
        <w:tab/>
        <w:t xml:space="preserve">[Section 25 amended by No. 30 of 1995 s. 76(2) and (4); No. 68 of 2004 s. 51.] </w:t>
      </w:r>
    </w:p>
    <w:p>
      <w:pPr>
        <w:pStyle w:val="Heading5"/>
        <w:rPr>
          <w:snapToGrid w:val="0"/>
        </w:rPr>
      </w:pPr>
      <w:bookmarkStart w:id="54" w:name="_Toc192041065"/>
      <w:r>
        <w:rPr>
          <w:rStyle w:val="CharSectno"/>
        </w:rPr>
        <w:t>26</w:t>
      </w:r>
      <w:r>
        <w:rPr>
          <w:snapToGrid w:val="0"/>
        </w:rPr>
        <w:t>.</w:t>
      </w:r>
      <w:r>
        <w:rPr>
          <w:snapToGrid w:val="0"/>
        </w:rPr>
        <w:tab/>
        <w:t>Use and misuse of information by inspectors and assistant inspectors</w:t>
      </w:r>
      <w:bookmarkEnd w:id="54"/>
      <w:r>
        <w:rPr>
          <w:snapToGrid w:val="0"/>
        </w:rPr>
        <w:t xml:space="preserve"> </w:t>
      </w:r>
    </w:p>
    <w:p>
      <w:pPr>
        <w:pStyle w:val="Subsection"/>
        <w:rPr>
          <w:snapToGrid w:val="0"/>
        </w:rPr>
      </w:pPr>
      <w:r>
        <w:rPr>
          <w:snapToGrid w:val="0"/>
        </w:rPr>
        <w:tab/>
        <w:t>(1)</w:t>
      </w:r>
      <w:r>
        <w:rPr>
          <w:snapToGrid w:val="0"/>
        </w:rPr>
        <w:tab/>
        <w:t>A person who is, or formerly was, an inspector, an assistant inspector or a person assisting such an inspector must not — </w:t>
      </w:r>
    </w:p>
    <w:p>
      <w:pPr>
        <w:pStyle w:val="Indenta"/>
        <w:rPr>
          <w:snapToGrid w:val="0"/>
        </w:rPr>
      </w:pPr>
      <w:r>
        <w:rPr>
          <w:snapToGrid w:val="0"/>
        </w:rPr>
        <w:tab/>
        <w:t>(a)</w:t>
      </w:r>
      <w:r>
        <w:rPr>
          <w:snapToGrid w:val="0"/>
        </w:rPr>
        <w:tab/>
        <w:t>use for the gain of any person confidential knowledge or confidential information obtained by that person in the course of or as a result of that person’s employment as an inspector or assistant inspector or as a result of that person assisting such an inspector (as the case requires); or</w:t>
      </w:r>
    </w:p>
    <w:p>
      <w:pPr>
        <w:pStyle w:val="Indenta"/>
        <w:rPr>
          <w:snapToGrid w:val="0"/>
        </w:rPr>
      </w:pPr>
      <w:r>
        <w:rPr>
          <w:snapToGrid w:val="0"/>
        </w:rPr>
        <w:tab/>
        <w:t>(b)</w:t>
      </w:r>
      <w:r>
        <w:rPr>
          <w:snapToGrid w:val="0"/>
        </w:rPr>
        <w:tab/>
        <w: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t>
      </w:r>
    </w:p>
    <w:p>
      <w:pPr>
        <w:pStyle w:val="Subsection"/>
        <w:rPr>
          <w:snapToGrid w:val="0"/>
        </w:rPr>
      </w:pPr>
      <w:r>
        <w:rPr>
          <w:snapToGrid w:val="0"/>
        </w:rPr>
        <w:tab/>
        <w:t>(2)</w:t>
      </w:r>
      <w:r>
        <w:rPr>
          <w:snapToGrid w:val="0"/>
        </w:rPr>
        <w:tab/>
        <w:t>A person who is, or was formerly, an inspector, an assistant inspector or a person assisting such an inspector must not disclose to any person a report prepared by an inspector or assistant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 </w:t>
      </w:r>
    </w:p>
    <w:p>
      <w:pPr>
        <w:pStyle w:val="Indenta"/>
        <w:rPr>
          <w:snapToGrid w:val="0"/>
        </w:rPr>
      </w:pPr>
      <w:r>
        <w:rPr>
          <w:snapToGrid w:val="0"/>
        </w:rPr>
        <w:tab/>
        <w:t>(a)</w:t>
      </w:r>
      <w:r>
        <w:rPr>
          <w:snapToGrid w:val="0"/>
        </w:rPr>
        <w:tab/>
        <w:t>under or in connection with the administration of this Act; or</w:t>
      </w:r>
    </w:p>
    <w:p>
      <w:pPr>
        <w:pStyle w:val="Indenta"/>
        <w:rPr>
          <w:snapToGrid w:val="0"/>
        </w:rPr>
      </w:pPr>
      <w:r>
        <w:rPr>
          <w:snapToGrid w:val="0"/>
        </w:rPr>
        <w:tab/>
        <w:t>(b)</w:t>
      </w:r>
      <w:r>
        <w:rPr>
          <w:snapToGrid w:val="0"/>
        </w:rPr>
        <w:tab/>
        <w:t>to a court in accordance with a subpoena issued by the court; or</w:t>
      </w:r>
    </w:p>
    <w:p>
      <w:pPr>
        <w:pStyle w:val="Indenta"/>
        <w:rPr>
          <w:snapToGrid w:val="0"/>
        </w:rPr>
      </w:pPr>
      <w:r>
        <w:rPr>
          <w:snapToGrid w:val="0"/>
        </w:rPr>
        <w:tab/>
        <w:t>(c)</w:t>
      </w:r>
      <w:r>
        <w:rPr>
          <w:snapToGrid w:val="0"/>
        </w:rPr>
        <w:tab/>
        <w:t>in accordance with a requirement of some other Act.</w:t>
      </w:r>
    </w:p>
    <w:p>
      <w:pPr>
        <w:pStyle w:val="Subsection"/>
        <w:rPr>
          <w:snapToGrid w:val="0"/>
        </w:rPr>
      </w:pPr>
      <w:r>
        <w:rPr>
          <w:snapToGrid w:val="0"/>
        </w:rPr>
        <w:tab/>
        <w:t>(3)</w:t>
      </w:r>
      <w:r>
        <w:rPr>
          <w:snapToGrid w:val="0"/>
        </w:rPr>
        <w:tab/>
        <w:t>A person who contravenes subsection (1) or (2) commits an offence and is liable to a fine of $10 000.</w:t>
      </w:r>
    </w:p>
    <w:p>
      <w:pPr>
        <w:pStyle w:val="Subsection"/>
        <w:rPr>
          <w:snapToGrid w:val="0"/>
        </w:rPr>
      </w:pPr>
      <w:r>
        <w:rPr>
          <w:snapToGrid w:val="0"/>
        </w:rPr>
        <w:tab/>
        <w:t>(4)</w:t>
      </w:r>
      <w:r>
        <w:rPr>
          <w:snapToGrid w:val="0"/>
        </w:rPr>
        <w:tab/>
        <w:t>Notwithstanding subsections (1) and (2), an inspector, an assistant inspector or a person assisting such an inspector may — </w:t>
      </w:r>
    </w:p>
    <w:p>
      <w:pPr>
        <w:pStyle w:val="Indenta"/>
        <w:rPr>
          <w:snapToGrid w:val="0"/>
        </w:rPr>
      </w:pPr>
      <w:r>
        <w:rPr>
          <w:snapToGrid w:val="0"/>
        </w:rPr>
        <w:tab/>
        <w:t>(a)</w:t>
      </w:r>
      <w:r>
        <w:rPr>
          <w:snapToGrid w:val="0"/>
        </w:rPr>
        <w:tab/>
        <w:t>with the approval of the State mining engineer, disclose to a coroner a report of an investigation into a fatal accident occurring at a mine; and</w:t>
      </w:r>
    </w:p>
    <w:p>
      <w:pPr>
        <w:pStyle w:val="Indenta"/>
        <w:rPr>
          <w:snapToGrid w:val="0"/>
        </w:rPr>
      </w:pPr>
      <w:r>
        <w:rPr>
          <w:snapToGrid w:val="0"/>
        </w:rPr>
        <w:tab/>
        <w:t>(b)</w:t>
      </w:r>
      <w:r>
        <w:rPr>
          <w:snapToGrid w:val="0"/>
        </w:rPr>
        <w:tab/>
        <w:t>provide a coroner with information that the inspector or assistant inspector has grounds to believe to be accurate which appears likely to assist the coroner’s investigation of a fatal accident at a mine.</w:t>
      </w:r>
    </w:p>
    <w:p>
      <w:pPr>
        <w:pStyle w:val="Subsection"/>
        <w:rPr>
          <w:snapToGrid w:val="0"/>
        </w:rPr>
      </w:pPr>
      <w:r>
        <w:rPr>
          <w:snapToGrid w:val="0"/>
        </w:rPr>
        <w:tab/>
        <w:t>(5)</w:t>
      </w:r>
      <w:r>
        <w:rPr>
          <w:snapToGrid w:val="0"/>
        </w:rPr>
        <w:tab/>
        <w:t xml:space="preserve">In this section, </w:t>
      </w:r>
      <w:r>
        <w:rPr>
          <w:b/>
          <w:snapToGrid w:val="0"/>
        </w:rPr>
        <w:t>“</w:t>
      </w:r>
      <w:r>
        <w:rPr>
          <w:rStyle w:val="CharDefText"/>
        </w:rPr>
        <w:t>inspector</w:t>
      </w:r>
      <w:r>
        <w:rPr>
          <w:b/>
          <w:snapToGrid w:val="0"/>
        </w:rPr>
        <w:t>”</w:t>
      </w:r>
      <w:r>
        <w:rPr>
          <w:snapToGrid w:val="0"/>
        </w:rPr>
        <w:t xml:space="preserve"> includes a workmen’s inspector.</w:t>
      </w:r>
    </w:p>
    <w:p>
      <w:pPr>
        <w:pStyle w:val="Footnotesection"/>
      </w:pPr>
      <w:r>
        <w:tab/>
        <w:t>[Section 26 amended by No. 24 of 2000 s. 25.]</w:t>
      </w:r>
    </w:p>
    <w:p>
      <w:pPr>
        <w:pStyle w:val="Heading5"/>
        <w:rPr>
          <w:snapToGrid w:val="0"/>
        </w:rPr>
      </w:pPr>
      <w:bookmarkStart w:id="55" w:name="_Toc192041066"/>
      <w:r>
        <w:rPr>
          <w:rStyle w:val="CharSectno"/>
        </w:rPr>
        <w:t>27</w:t>
      </w:r>
      <w:r>
        <w:rPr>
          <w:snapToGrid w:val="0"/>
        </w:rPr>
        <w:t>.</w:t>
      </w:r>
      <w:r>
        <w:rPr>
          <w:snapToGrid w:val="0"/>
        </w:rPr>
        <w:tab/>
        <w:t>Certificates of appointment</w:t>
      </w:r>
      <w:bookmarkEnd w:id="55"/>
      <w:r>
        <w:rPr>
          <w:snapToGrid w:val="0"/>
        </w:rPr>
        <w:t xml:space="preserve"> </w:t>
      </w:r>
    </w:p>
    <w:p>
      <w:pPr>
        <w:pStyle w:val="Subsection"/>
        <w:spacing w:before="120"/>
        <w:rPr>
          <w:snapToGrid w:val="0"/>
        </w:rPr>
      </w:pPr>
      <w:r>
        <w:rPr>
          <w:snapToGrid w:val="0"/>
        </w:rPr>
        <w:tab/>
        <w:t>(1)</w:t>
      </w:r>
      <w:r>
        <w:rPr>
          <w:snapToGrid w:val="0"/>
        </w:rPr>
        <w:tab/>
        <w:t>Every inspector or assistant inspector must be provided with a certificate of his or her appointment signed by the State mining engineer and must, if requested to do so, produce that certificate to any person in relation to whom the inspector or assistant inspector is about to exercise, or has exercised, any power under this Act.</w:t>
      </w:r>
    </w:p>
    <w:p>
      <w:pPr>
        <w:pStyle w:val="Subsection"/>
        <w:rPr>
          <w:snapToGrid w:val="0"/>
        </w:rPr>
      </w:pPr>
      <w:r>
        <w:rPr>
          <w:snapToGrid w:val="0"/>
        </w:rPr>
        <w:tab/>
        <w:t>(2)</w:t>
      </w:r>
      <w:r>
        <w:rPr>
          <w:snapToGrid w:val="0"/>
        </w:rPr>
        <w:tab/>
        <w:t>A certificate purporting to have been provided under subsection (1) is, without proof of the signature of the person purporting to have signed it, or of that person’s authority to have signed it, evidence in any court of the appointment to which the certificate purports to relate.</w:t>
      </w:r>
    </w:p>
    <w:p>
      <w:pPr>
        <w:pStyle w:val="Heading5"/>
        <w:rPr>
          <w:snapToGrid w:val="0"/>
        </w:rPr>
      </w:pPr>
      <w:bookmarkStart w:id="56" w:name="_Toc192041067"/>
      <w:r>
        <w:rPr>
          <w:rStyle w:val="CharSectno"/>
        </w:rPr>
        <w:t>28</w:t>
      </w:r>
      <w:r>
        <w:rPr>
          <w:snapToGrid w:val="0"/>
        </w:rPr>
        <w:t>.</w:t>
      </w:r>
      <w:r>
        <w:rPr>
          <w:snapToGrid w:val="0"/>
        </w:rPr>
        <w:tab/>
        <w:t>Provision of facilities for inspection</w:t>
      </w:r>
      <w:bookmarkEnd w:id="56"/>
      <w:r>
        <w:rPr>
          <w:snapToGrid w:val="0"/>
        </w:rPr>
        <w:t xml:space="preserve"> </w:t>
      </w:r>
    </w:p>
    <w:p>
      <w:pPr>
        <w:pStyle w:val="Subsection"/>
        <w:rPr>
          <w:snapToGrid w:val="0"/>
        </w:rPr>
      </w:pPr>
      <w:r>
        <w:rPr>
          <w:snapToGrid w:val="0"/>
        </w:rPr>
        <w:tab/>
        <w:t>(1)</w:t>
      </w:r>
      <w:r>
        <w:rPr>
          <w:snapToGrid w:val="0"/>
        </w:rPr>
        <w:tab/>
        <w:t>An employer at a mine and a manager of a mine must provide an inspector or assistant inspector and any person accompanying the inspector or assistant inspector under section 21(3) with the means of making an entry, inspection, examination or inquiry at the mine for the purposes of this Act.</w:t>
      </w:r>
    </w:p>
    <w:p>
      <w:pPr>
        <w:pStyle w:val="Subsection"/>
        <w:rPr>
          <w:snapToGrid w:val="0"/>
        </w:rPr>
      </w:pPr>
      <w:r>
        <w:rPr>
          <w:snapToGrid w:val="0"/>
        </w:rPr>
        <w:tab/>
        <w:t>(2)</w:t>
      </w:r>
      <w:r>
        <w:rPr>
          <w:snapToGrid w:val="0"/>
        </w:rPr>
        <w:tab/>
        <w:t>An employer or a manager who contravenes subsection (1) commits an offence.</w:t>
      </w:r>
    </w:p>
    <w:p>
      <w:pPr>
        <w:pStyle w:val="Heading5"/>
        <w:rPr>
          <w:snapToGrid w:val="0"/>
        </w:rPr>
      </w:pPr>
      <w:bookmarkStart w:id="57" w:name="_Toc192041068"/>
      <w:r>
        <w:rPr>
          <w:rStyle w:val="CharSectno"/>
        </w:rPr>
        <w:t>29</w:t>
      </w:r>
      <w:r>
        <w:rPr>
          <w:snapToGrid w:val="0"/>
        </w:rPr>
        <w:t>.</w:t>
      </w:r>
      <w:r>
        <w:rPr>
          <w:snapToGrid w:val="0"/>
        </w:rPr>
        <w:tab/>
        <w:t>Obstruction</w:t>
      </w:r>
      <w:bookmarkEnd w:id="57"/>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obstruct, hinder, or interfere with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(b)</w:t>
      </w:r>
      <w:r>
        <w:rPr>
          <w:snapToGrid w:val="0"/>
        </w:rPr>
        <w:tab/>
        <w:t>fail, without reasonable excuse, to answer any question put to that person for the purposes of this Act by an inspector or assistant inspector or give a false or misleading answer to any such question, or refuse to make any statutory declaration that the person is required under this Act to make; or</w:t>
      </w:r>
    </w:p>
    <w:p>
      <w:pPr>
        <w:pStyle w:val="Indenta"/>
        <w:rPr>
          <w:snapToGrid w:val="0"/>
        </w:rPr>
      </w:pPr>
      <w:r>
        <w:rPr>
          <w:snapToGrid w:val="0"/>
        </w:rPr>
        <w:tab/>
        <w:t>(c)</w:t>
      </w:r>
      <w:r>
        <w:rPr>
          <w:snapToGrid w:val="0"/>
        </w:rPr>
        <w:tab/>
        <w:t>use any threat or any abusive or insulting language to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(d)</w:t>
      </w:r>
      <w:r>
        <w:rPr>
          <w:snapToGrid w:val="0"/>
        </w:rPr>
        <w:tab/>
        <w:t>fail, without reasonable excuse, to comply in any respect with a lawful request, requirement or direction made or given by an inspector or assistant inspector.</w:t>
      </w:r>
    </w:p>
    <w:p>
      <w:pPr>
        <w:pStyle w:val="Subsection"/>
        <w:rPr>
          <w:snapToGrid w:val="0"/>
        </w:rPr>
      </w:pPr>
      <w:r>
        <w:rPr>
          <w:snapToGrid w:val="0"/>
        </w:rPr>
        <w:tab/>
        <w:t>(2)</w:t>
      </w:r>
      <w:r>
        <w:rPr>
          <w:snapToGrid w:val="0"/>
        </w:rPr>
        <w:tab/>
        <w:t>A person must not, without reasonable excuse, fail to provide to an inspector or assistant inspector acting in the execution or performance of a function under this Act access to a mine, building, structure, plant, data or records, or any other assistance which that person may lawfully and reasonably be required to provide.</w:t>
      </w:r>
    </w:p>
    <w:p>
      <w:pPr>
        <w:pStyle w:val="Subsection"/>
        <w:rPr>
          <w:snapToGrid w:val="0"/>
        </w:rPr>
      </w:pPr>
      <w:r>
        <w:rPr>
          <w:snapToGrid w:val="0"/>
        </w:rPr>
        <w:tab/>
        <w:t>(3)</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Subsection"/>
        <w:rPr>
          <w:snapToGrid w:val="0"/>
        </w:rPr>
      </w:pPr>
      <w:r>
        <w:rPr>
          <w:snapToGrid w:val="0"/>
        </w:rPr>
        <w:tab/>
        <w:t>(4)</w:t>
      </w:r>
      <w:r>
        <w:rPr>
          <w:snapToGrid w:val="0"/>
        </w:rPr>
        <w:tab/>
        <w:t>A person who contravenes subsection (1) or (2) commits an offence.</w:t>
      </w:r>
    </w:p>
    <w:p>
      <w:pPr>
        <w:pStyle w:val="Heading3"/>
      </w:pPr>
      <w:bookmarkStart w:id="58" w:name="_Toc192041069"/>
      <w:r>
        <w:rPr>
          <w:rStyle w:val="CharDivNo"/>
        </w:rPr>
        <w:t>Division 3</w:t>
      </w:r>
      <w:r>
        <w:t> — </w:t>
      </w:r>
      <w:r>
        <w:rPr>
          <w:rStyle w:val="CharDivText"/>
        </w:rPr>
        <w:t>Improvement notices and prohibition notices</w:t>
      </w:r>
      <w:bookmarkEnd w:id="58"/>
    </w:p>
    <w:p>
      <w:pPr>
        <w:pStyle w:val="Footnoteheading"/>
      </w:pPr>
      <w:r>
        <w:tab/>
        <w:t xml:space="preserve">[Heading inserted by No. 68 of 2004 s. 76.] </w:t>
      </w:r>
    </w:p>
    <w:p>
      <w:pPr>
        <w:pStyle w:val="Heading4"/>
      </w:pPr>
      <w:bookmarkStart w:id="59" w:name="_Toc192041070"/>
      <w:r>
        <w:t>Subdivision 1 — Improvement notices</w:t>
      </w:r>
      <w:bookmarkEnd w:id="59"/>
    </w:p>
    <w:p>
      <w:pPr>
        <w:pStyle w:val="Footnoteheading"/>
      </w:pPr>
      <w:r>
        <w:tab/>
        <w:t xml:space="preserve">[Heading inserted by No. 68 of 2004 s. 76.] </w:t>
      </w:r>
    </w:p>
    <w:p>
      <w:pPr>
        <w:pStyle w:val="Heading5"/>
        <w:spacing w:before="180"/>
      </w:pPr>
      <w:bookmarkStart w:id="60" w:name="_Toc192041071"/>
      <w:r>
        <w:rPr>
          <w:rStyle w:val="CharSectno"/>
        </w:rPr>
        <w:t>30</w:t>
      </w:r>
      <w:r>
        <w:t>.</w:t>
      </w:r>
      <w:r>
        <w:tab/>
        <w:t>Issue of improvement notice</w:t>
      </w:r>
      <w:bookmarkEnd w:id="60"/>
    </w:p>
    <w:p>
      <w:pPr>
        <w:pStyle w:val="Subsection"/>
        <w:spacing w:before="120"/>
      </w:pPr>
      <w:r>
        <w:tab/>
        <w:t>(1)</w:t>
      </w:r>
      <w:r>
        <w:tab/>
        <w:t xml:space="preserve">Subsection (2) applies where an inspector or an assistant inspector is of the opinion that a person — </w:t>
      </w:r>
    </w:p>
    <w:p>
      <w:pPr>
        <w:pStyle w:val="Indenta"/>
      </w:pPr>
      <w:r>
        <w:tab/>
        <w:t>(a)</w:t>
      </w:r>
      <w:r>
        <w:tab/>
        <w:t>is contravening any provision of this Act; or</w:t>
      </w:r>
    </w:p>
    <w:p>
      <w:pPr>
        <w:pStyle w:val="Indenta"/>
      </w:pPr>
      <w:r>
        <w:tab/>
        <w:t>(b)</w:t>
      </w:r>
      <w:r>
        <w:tab/>
        <w:t>has contravened any provision of this Act in circumstances that make it likely that the contravention will continue or be repeated.</w:t>
      </w:r>
    </w:p>
    <w:p>
      <w:pPr>
        <w:pStyle w:val="Subsection"/>
        <w:spacing w:before="120"/>
      </w:pPr>
      <w:r>
        <w:tab/>
        <w:t>(2)</w:t>
      </w:r>
      <w:r>
        <w:tab/>
        <w:t xml:space="preserve">The inspector or assistant inspector may issue to the person an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spacing w:before="120"/>
      </w:pPr>
      <w:r>
        <w:tab/>
        <w:t>(3)</w:t>
      </w:r>
      <w:r>
        <w:tab/>
        <w:t xml:space="preserve">The issue of an improvement notice in respect of a contravention at a mine is to be notified as follows — </w:t>
      </w:r>
    </w:p>
    <w:p>
      <w:pPr>
        <w:pStyle w:val="Indenta"/>
      </w:pPr>
      <w:r>
        <w:tab/>
        <w:t>(a)</w:t>
      </w:r>
      <w:r>
        <w:tab/>
        <w:t>if the manager of the mine is not the person to whom the notice is issued, the inspector or assistant inspector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improvement notice issued to the manager.</w:t>
      </w:r>
    </w:p>
    <w:p>
      <w:pPr>
        <w:pStyle w:val="Subsection"/>
        <w:spacing w:before="120"/>
      </w:pPr>
      <w:r>
        <w:tab/>
        <w:t>(4)</w:t>
      </w:r>
      <w:r>
        <w:tab/>
        <w:t>A manager who fails to comply with subsection (3)(b) or (c) commits an offence.</w:t>
      </w:r>
    </w:p>
    <w:p>
      <w:pPr>
        <w:pStyle w:val="Footnotesection"/>
      </w:pPr>
      <w:r>
        <w:tab/>
        <w:t>[Section 30 inserted by No. 68 of 2004 s. 76.]</w:t>
      </w:r>
    </w:p>
    <w:p>
      <w:pPr>
        <w:pStyle w:val="Heading5"/>
        <w:spacing w:before="180"/>
      </w:pPr>
      <w:bookmarkStart w:id="61" w:name="_Toc192041072"/>
      <w:r>
        <w:rPr>
          <w:rStyle w:val="CharSectno"/>
        </w:rPr>
        <w:t>31</w:t>
      </w:r>
      <w:r>
        <w:t>.</w:t>
      </w:r>
      <w:r>
        <w:tab/>
        <w:t>Contents of improvement notice</w:t>
      </w:r>
      <w:bookmarkEnd w:id="61"/>
    </w:p>
    <w:p>
      <w:pPr>
        <w:pStyle w:val="Subsection"/>
        <w:spacing w:before="120"/>
      </w:pPr>
      <w:r>
        <w:tab/>
      </w:r>
      <w:r>
        <w:tab/>
        <w:t xml:space="preserve">An improvement notice must — </w:t>
      </w:r>
    </w:p>
    <w:p>
      <w:pPr>
        <w:pStyle w:val="Indenta"/>
        <w:spacing w:before="60"/>
      </w:pPr>
      <w:r>
        <w:tab/>
        <w:t>(a)</w:t>
      </w:r>
      <w:r>
        <w:tab/>
        <w:t>state the opinion of the inspector or assistant inspector in terms of section 30(1)(a) or (b), as the case may be;</w:t>
      </w:r>
    </w:p>
    <w:p>
      <w:pPr>
        <w:pStyle w:val="Indenta"/>
        <w:spacing w:before="60"/>
      </w:pPr>
      <w:r>
        <w:tab/>
        <w:t>(b)</w:t>
      </w:r>
      <w:r>
        <w:tab/>
        <w:t>state reasonable grounds for that opinion;</w:t>
      </w:r>
    </w:p>
    <w:p>
      <w:pPr>
        <w:pStyle w:val="Indenta"/>
        <w:spacing w:before="60"/>
      </w:pPr>
      <w:r>
        <w:tab/>
        <w:t>(c)</w:t>
      </w:r>
      <w:r>
        <w:tab/>
        <w:t>specify the provision of this Act in respect of which that opinion is held;</w:t>
      </w:r>
    </w:p>
    <w:p>
      <w:pPr>
        <w:pStyle w:val="Indenta"/>
        <w:spacing w:before="60"/>
      </w:pPr>
      <w:r>
        <w:tab/>
        <w:t>(d)</w:t>
      </w:r>
      <w:r>
        <w:tab/>
        <w:t xml:space="preserve">state the time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spacing w:before="60"/>
      </w:pPr>
      <w:r>
        <w:tab/>
        <w:t>(e)</w:t>
      </w:r>
      <w:r>
        <w:tab/>
        <w:t>contain a brief summary of the right to have the notice reviewed under Subdivision 7.</w:t>
      </w:r>
    </w:p>
    <w:p>
      <w:pPr>
        <w:pStyle w:val="Footnotesection"/>
      </w:pPr>
      <w:r>
        <w:tab/>
        <w:t>[Section 31 inserted by No. 68 of 2004 s. 76.]</w:t>
      </w:r>
    </w:p>
    <w:p>
      <w:pPr>
        <w:pStyle w:val="Heading5"/>
        <w:spacing w:before="180"/>
      </w:pPr>
      <w:bookmarkStart w:id="62" w:name="_Toc192041073"/>
      <w:r>
        <w:rPr>
          <w:rStyle w:val="CharSectno"/>
        </w:rPr>
        <w:t>31A</w:t>
      </w:r>
      <w:r>
        <w:t>.</w:t>
      </w:r>
      <w:r>
        <w:tab/>
        <w:t>Failure to comply with improvement notice</w:t>
      </w:r>
      <w:bookmarkEnd w:id="62"/>
    </w:p>
    <w:p>
      <w:pPr>
        <w:pStyle w:val="Subsection"/>
        <w:spacing w:before="120"/>
      </w:pPr>
      <w:r>
        <w:tab/>
        <w:t>(1)</w:t>
      </w:r>
      <w:r>
        <w:tab/>
        <w:t xml:space="preserve">If a person — </w:t>
      </w:r>
    </w:p>
    <w:p>
      <w:pPr>
        <w:pStyle w:val="Indenta"/>
        <w:spacing w:before="60"/>
      </w:pPr>
      <w:r>
        <w:tab/>
        <w:t>(a)</w:t>
      </w:r>
      <w:r>
        <w:tab/>
        <w:t>is issued with an improvement notice; and</w:t>
      </w:r>
    </w:p>
    <w:p>
      <w:pPr>
        <w:pStyle w:val="Indenta"/>
        <w:spacing w:before="60"/>
      </w:pPr>
      <w:r>
        <w:tab/>
        <w:t>(b)</w:t>
      </w:r>
      <w:r>
        <w:tab/>
        <w:t>does not comply with the notice within the time specified in it,</w:t>
      </w:r>
    </w:p>
    <w:p>
      <w:pPr>
        <w:pStyle w:val="Subsection"/>
        <w:spacing w:before="120"/>
      </w:pPr>
      <w:r>
        <w:tab/>
      </w:r>
      <w:r>
        <w:tab/>
        <w:t>the person commits an offence.</w:t>
      </w:r>
    </w:p>
    <w:p>
      <w:pPr>
        <w:pStyle w:val="Subsection"/>
        <w:spacing w:before="120"/>
      </w:pPr>
      <w:r>
        <w:tab/>
        <w:t>(2)</w:t>
      </w:r>
      <w:r>
        <w:tab/>
        <w:t xml:space="preserve">Subsection (1) has effect subject to — </w:t>
      </w:r>
    </w:p>
    <w:p>
      <w:pPr>
        <w:pStyle w:val="Indenta"/>
        <w:spacing w:before="60"/>
      </w:pPr>
      <w:r>
        <w:tab/>
        <w:t>(a)</w:t>
      </w:r>
      <w:r>
        <w:tab/>
        <w:t xml:space="preserve">the provisions in sections 31B and 31BC for the suspension of notices; and </w:t>
      </w:r>
    </w:p>
    <w:p>
      <w:pPr>
        <w:pStyle w:val="Indenta"/>
        <w:spacing w:before="60"/>
      </w:pPr>
      <w:r>
        <w:tab/>
        <w:t>(b)</w:t>
      </w:r>
      <w:r>
        <w:tab/>
        <w:t>the exercise of the power conferred by section 31BE.</w:t>
      </w:r>
    </w:p>
    <w:p>
      <w:pPr>
        <w:pStyle w:val="Subsection"/>
        <w:spacing w:before="120"/>
        <w:rPr>
          <w:snapToGrid w:val="0"/>
        </w:rPr>
      </w:pPr>
      <w:r>
        <w:tab/>
        <w:t>(3)</w:t>
      </w:r>
      <w:r>
        <w:tab/>
      </w:r>
      <w:r>
        <w:rPr>
          <w:snapToGrid w:val="0"/>
        </w:rPr>
        <w:t>No person is precluded by a contract from doing such acts and things as are necessary to comply with an improvement notice or is liable under any contract to any penalty for doing such acts and things.</w:t>
      </w:r>
    </w:p>
    <w:p>
      <w:pPr>
        <w:pStyle w:val="Footnotesection"/>
      </w:pPr>
      <w:r>
        <w:tab/>
        <w:t>[Section 31A inserted by No. 68 of 2004 s. 76.]</w:t>
      </w:r>
    </w:p>
    <w:p>
      <w:pPr>
        <w:pStyle w:val="Heading5"/>
      </w:pPr>
      <w:bookmarkStart w:id="63" w:name="_Toc192041074"/>
      <w:r>
        <w:rPr>
          <w:rStyle w:val="CharSectno"/>
        </w:rPr>
        <w:t>31AA</w:t>
      </w:r>
      <w:r>
        <w:t>.</w:t>
      </w:r>
      <w:r>
        <w:tab/>
        <w:t>Notification of compliance</w:t>
      </w:r>
      <w:bookmarkEnd w:id="63"/>
    </w:p>
    <w:p>
      <w:pPr>
        <w:pStyle w:val="Subsection"/>
      </w:pPr>
      <w:r>
        <w:tab/>
        <w:t>(1)</w:t>
      </w:r>
      <w:r>
        <w:tab/>
        <w:t xml:space="preserve">As soon as is practicable after the requirements of an improvement notice in relation to a mine have been complied with, the manager of the mine must give written notice of the compliance — </w:t>
      </w:r>
    </w:p>
    <w:p>
      <w:pPr>
        <w:pStyle w:val="Indenta"/>
      </w:pPr>
      <w:r>
        <w:tab/>
        <w:t>(a)</w:t>
      </w:r>
      <w:r>
        <w:tab/>
        <w:t>to the inspector or assistant inspector who issued the notice; or</w:t>
      </w:r>
    </w:p>
    <w:p>
      <w:pPr>
        <w:pStyle w:val="Indenta"/>
      </w:pPr>
      <w:r>
        <w:tab/>
        <w:t>(b)</w:t>
      </w:r>
      <w:r>
        <w:tab/>
        <w:t>if that officer is not reasonably available at the relevant time, to the district inspector for the region in which the mine is situated.</w:t>
      </w:r>
    </w:p>
    <w:p>
      <w:pPr>
        <w:pStyle w:val="Subsection"/>
      </w:pPr>
      <w:r>
        <w:tab/>
        <w:t>(2)</w:t>
      </w:r>
      <w:r>
        <w:tab/>
        <w:t>A manager who fails to comply with subsection (1) commits an offence.</w:t>
      </w:r>
    </w:p>
    <w:p>
      <w:pPr>
        <w:pStyle w:val="Footnotesection"/>
      </w:pPr>
      <w:r>
        <w:tab/>
        <w:t>[Section 31AA inserted by No. 68 of 2004 s. 76.]</w:t>
      </w:r>
    </w:p>
    <w:p>
      <w:pPr>
        <w:pStyle w:val="Heading4"/>
      </w:pPr>
      <w:bookmarkStart w:id="64" w:name="_Toc192041075"/>
      <w:r>
        <w:t>Subdivision 2 — Prohibition notices in respect of mines</w:t>
      </w:r>
      <w:bookmarkEnd w:id="64"/>
    </w:p>
    <w:p>
      <w:pPr>
        <w:pStyle w:val="Footnoteheading"/>
      </w:pPr>
      <w:r>
        <w:tab/>
        <w:t xml:space="preserve">[Heading inserted by No. 68 of 2004 s. 76.] </w:t>
      </w:r>
    </w:p>
    <w:p>
      <w:pPr>
        <w:pStyle w:val="Heading5"/>
      </w:pPr>
      <w:bookmarkStart w:id="65" w:name="_Toc192041076"/>
      <w:r>
        <w:rPr>
          <w:rStyle w:val="CharSectno"/>
        </w:rPr>
        <w:t>31AB</w:t>
      </w:r>
      <w:r>
        <w:t>.</w:t>
      </w:r>
      <w:r>
        <w:tab/>
        <w:t>Grounds for prohibition notice</w:t>
      </w:r>
      <w:bookmarkEnd w:id="65"/>
    </w:p>
    <w:p>
      <w:pPr>
        <w:pStyle w:val="Subsection"/>
      </w:pPr>
      <w:r>
        <w:tab/>
      </w:r>
      <w:r>
        <w:tab/>
        <w:t xml:space="preserve">This Subdivision applies where an inspector or an assistant inspector is of the opinion that — </w:t>
      </w:r>
    </w:p>
    <w:p>
      <w:pPr>
        <w:pStyle w:val="Indenta"/>
        <w:outlineLvl w:val="0"/>
      </w:pPr>
      <w:r>
        <w:tab/>
        <w:t>(a)</w:t>
      </w:r>
      <w:r>
        <w:tab/>
        <w:t xml:space="preserve">a contravention of any provision of this Act — </w:t>
      </w:r>
    </w:p>
    <w:p>
      <w:pPr>
        <w:pStyle w:val="Indenti"/>
      </w:pPr>
      <w:r>
        <w:tab/>
        <w:t>(i)</w:t>
      </w:r>
      <w:r>
        <w:tab/>
        <w:t>is occurring at a mine; or</w:t>
      </w:r>
    </w:p>
    <w:p>
      <w:pPr>
        <w:pStyle w:val="Indenti"/>
      </w:pPr>
      <w:r>
        <w:tab/>
        <w:t>(ii)</w:t>
      </w:r>
      <w:r>
        <w:tab/>
        <w:t>has occurred at a mine in circumstances that make it likely that the contravention will continue or be repeated,</w:t>
      </w:r>
    </w:p>
    <w:p>
      <w:pPr>
        <w:pStyle w:val="Indenta"/>
      </w:pPr>
      <w:r>
        <w:tab/>
      </w:r>
      <w:r>
        <w:tab/>
        <w:t>and any matter or activity occasioning the contravention constitutes or is likely to constitute a hazard to any person; or</w:t>
      </w:r>
    </w:p>
    <w:p>
      <w:pPr>
        <w:pStyle w:val="Indenta"/>
        <w:outlineLvl w:val="0"/>
        <w:rPr>
          <w:snapToGrid w:val="0"/>
        </w:rPr>
      </w:pPr>
      <w:r>
        <w:tab/>
        <w:t>(b)</w:t>
      </w:r>
      <w:r>
        <w:tab/>
        <w:t>a</w:t>
      </w:r>
      <w:r>
        <w:rPr>
          <w:snapToGrid w:val="0"/>
        </w:rPr>
        <w:t xml:space="preserve"> mine, or any plant, mining practice or hazardous substance at or related to a mine — </w:t>
      </w:r>
    </w:p>
    <w:p>
      <w:pPr>
        <w:pStyle w:val="Indenti"/>
        <w:rPr>
          <w:snapToGrid w:val="0"/>
        </w:rPr>
      </w:pPr>
      <w:r>
        <w:rPr>
          <w:snapToGrid w:val="0"/>
        </w:rPr>
        <w:tab/>
        <w:t>(i)</w:t>
      </w:r>
      <w:r>
        <w:rPr>
          <w:snapToGrid w:val="0"/>
        </w:rPr>
        <w:tab/>
        <w:t xml:space="preserve">is dangerous; or </w:t>
      </w:r>
    </w:p>
    <w:p>
      <w:pPr>
        <w:pStyle w:val="Indenti"/>
        <w:keepNext/>
      </w:pPr>
      <w:r>
        <w:rPr>
          <w:snapToGrid w:val="0"/>
        </w:rPr>
        <w:tab/>
        <w:t>(ii)</w:t>
      </w:r>
      <w:r>
        <w:rPr>
          <w:snapToGrid w:val="0"/>
        </w:rPr>
        <w:tab/>
        <w:t xml:space="preserve">is </w:t>
      </w:r>
      <w:r>
        <w:t>likely to become dangerous,</w:t>
      </w:r>
    </w:p>
    <w:p>
      <w:pPr>
        <w:pStyle w:val="Indenta"/>
      </w:pPr>
      <w:r>
        <w:tab/>
      </w:r>
      <w:r>
        <w:tab/>
        <w:t>so as to constitute a hazard to any person.</w:t>
      </w:r>
    </w:p>
    <w:p>
      <w:pPr>
        <w:pStyle w:val="Footnotesection"/>
      </w:pPr>
      <w:r>
        <w:tab/>
        <w:t>[Section 31AB inserted by No. 68 of 2004 s. 76.]</w:t>
      </w:r>
    </w:p>
    <w:p>
      <w:pPr>
        <w:pStyle w:val="Heading5"/>
      </w:pPr>
      <w:bookmarkStart w:id="66" w:name="_Toc192041077"/>
      <w:r>
        <w:rPr>
          <w:rStyle w:val="CharSectno"/>
        </w:rPr>
        <w:t>31AC</w:t>
      </w:r>
      <w:r>
        <w:t>.</w:t>
      </w:r>
      <w:r>
        <w:tab/>
        <w:t>Issue of prohibition notice for hazard arising from breach of Act</w:t>
      </w:r>
      <w:bookmarkEnd w:id="66"/>
    </w:p>
    <w:p>
      <w:pPr>
        <w:pStyle w:val="Subsection"/>
        <w:outlineLvl w:val="0"/>
      </w:pPr>
      <w:r>
        <w:tab/>
        <w:t>(1)</w:t>
      </w:r>
      <w:r>
        <w:tab/>
        <w:t xml:space="preserve">Where section 31AB(a) applies, the inspector or assistant inspector may issue a prohibition notice — </w:t>
      </w:r>
    </w:p>
    <w:p>
      <w:pPr>
        <w:pStyle w:val="Indenta"/>
      </w:pPr>
      <w:r>
        <w:tab/>
        <w:t>(a)</w:t>
      </w:r>
      <w:r>
        <w:tab/>
        <w:t xml:space="preserve">to the person who — </w:t>
      </w:r>
    </w:p>
    <w:p>
      <w:pPr>
        <w:pStyle w:val="Indenti"/>
      </w:pPr>
      <w:r>
        <w:tab/>
        <w:t>(i)</w:t>
      </w:r>
      <w:r>
        <w:tab/>
        <w:t xml:space="preserve">is carrying on the activity or is in control of the matter or activity; or </w:t>
      </w:r>
    </w:p>
    <w:p>
      <w:pPr>
        <w:pStyle w:val="Indenti"/>
      </w:pPr>
      <w:r>
        <w:tab/>
        <w:t>(ii)</w:t>
      </w:r>
      <w:r>
        <w:tab/>
        <w:t>has or may be reasonably presumed to have control over the matter or activity,</w:t>
      </w:r>
    </w:p>
    <w:p>
      <w:pPr>
        <w:pStyle w:val="Indenta"/>
      </w:pPr>
      <w:r>
        <w:tab/>
      </w:r>
      <w:r>
        <w:tab/>
        <w:t>(which may be the principal employer or the manager); and</w:t>
      </w:r>
    </w:p>
    <w:p>
      <w:pPr>
        <w:pStyle w:val="Indenta"/>
      </w:pPr>
      <w:r>
        <w:tab/>
        <w:t>(b)</w:t>
      </w:r>
      <w:r>
        <w:tab/>
        <w:t>in every case to the principal employer or the manager.</w:t>
      </w:r>
    </w:p>
    <w:p>
      <w:pPr>
        <w:pStyle w:val="Subsection"/>
        <w:outlineLvl w:val="0"/>
      </w:pPr>
      <w:r>
        <w:tab/>
        <w:t>(2)</w:t>
      </w:r>
      <w:r>
        <w:tab/>
        <w:t xml:space="preserve">The notice is to — </w:t>
      </w:r>
    </w:p>
    <w:p>
      <w:pPr>
        <w:pStyle w:val="Indenta"/>
        <w:rPr>
          <w:snapToGrid w:val="0"/>
        </w:rPr>
      </w:pPr>
      <w:r>
        <w:tab/>
        <w:t>(a)</w:t>
      </w:r>
      <w:r>
        <w:tab/>
        <w:t xml:space="preserve">require the person referred to in subsection (1)(a) to remedy the </w:t>
      </w:r>
      <w:r>
        <w:rPr>
          <w:snapToGrid w:val="0"/>
        </w:rPr>
        <w:t>matter</w:t>
      </w:r>
      <w:r>
        <w:t xml:space="preserve"> or </w:t>
      </w:r>
      <w:r>
        <w:rPr>
          <w:snapToGrid w:val="0"/>
        </w:rPr>
        <w:t>activity;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relevant matters and activities have been remedied. </w:t>
      </w:r>
    </w:p>
    <w:p>
      <w:pPr>
        <w:pStyle w:val="Footnotesection"/>
      </w:pPr>
      <w:r>
        <w:tab/>
        <w:t>[Section 31AC inserted by No. 68 of 2004 s. 76.]</w:t>
      </w:r>
    </w:p>
    <w:p>
      <w:pPr>
        <w:pStyle w:val="Heading5"/>
      </w:pPr>
      <w:bookmarkStart w:id="67" w:name="_Toc192041078"/>
      <w:r>
        <w:rPr>
          <w:rStyle w:val="CharSectno"/>
        </w:rPr>
        <w:t>31AD</w:t>
      </w:r>
      <w:r>
        <w:t>.</w:t>
      </w:r>
      <w:r>
        <w:tab/>
        <w:t>Issue of prohibition notice for other hazards</w:t>
      </w:r>
      <w:bookmarkEnd w:id="67"/>
    </w:p>
    <w:p>
      <w:pPr>
        <w:pStyle w:val="Subsection"/>
        <w:outlineLvl w:val="0"/>
      </w:pPr>
      <w:r>
        <w:tab/>
        <w:t>(1)</w:t>
      </w:r>
      <w:r>
        <w:tab/>
        <w:t xml:space="preserve">Where section 31AB(b) applies, the inspector or assistant inspector may issue a prohibition notice — </w:t>
      </w:r>
    </w:p>
    <w:p>
      <w:pPr>
        <w:pStyle w:val="Indenta"/>
      </w:pPr>
      <w:r>
        <w:tab/>
        <w:t>(a)</w:t>
      </w:r>
      <w:r>
        <w:tab/>
        <w:t xml:space="preserve">to the person who has, or may be reasonably presumed to have, control over </w:t>
      </w:r>
      <w:r>
        <w:rPr>
          <w:snapToGrid w:val="0"/>
        </w:rPr>
        <w:t>the plant, mining practice or hazardous substance</w:t>
      </w:r>
      <w:r>
        <w:t xml:space="preserve"> concerned (which may be the principal employer or the manager); and</w:t>
      </w:r>
    </w:p>
    <w:p>
      <w:pPr>
        <w:pStyle w:val="Indenta"/>
      </w:pPr>
      <w:r>
        <w:tab/>
        <w:t>(b)</w:t>
      </w:r>
      <w:r>
        <w:tab/>
        <w:t>in every case to the principal employer or the manager.</w:t>
      </w:r>
    </w:p>
    <w:p>
      <w:pPr>
        <w:pStyle w:val="Subsection"/>
        <w:outlineLvl w:val="0"/>
      </w:pPr>
      <w:r>
        <w:tab/>
        <w:t>(2)</w:t>
      </w:r>
      <w:r>
        <w:tab/>
        <w:t xml:space="preserve">The notice is to — </w:t>
      </w:r>
    </w:p>
    <w:p>
      <w:pPr>
        <w:pStyle w:val="Indenta"/>
        <w:rPr>
          <w:snapToGrid w:val="0"/>
        </w:rPr>
      </w:pPr>
      <w:r>
        <w:tab/>
        <w:t>(a)</w:t>
      </w:r>
      <w:r>
        <w:tab/>
        <w:t>require the person referred to in subsection (1)(a) to remove the hazard or likely hazard</w:t>
      </w:r>
      <w:r>
        <w:rPr>
          <w:snapToGrid w:val="0"/>
        </w:rPr>
        <w:t>;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hazard or likely hazard has been removed. </w:t>
      </w:r>
    </w:p>
    <w:p>
      <w:pPr>
        <w:pStyle w:val="Footnotesection"/>
      </w:pPr>
      <w:r>
        <w:tab/>
        <w:t>[Section 31AD inserted by No. 68 of 2004 s. 76.]</w:t>
      </w:r>
    </w:p>
    <w:p>
      <w:pPr>
        <w:pStyle w:val="Heading5"/>
      </w:pPr>
      <w:bookmarkStart w:id="68" w:name="_Toc192041079"/>
      <w:r>
        <w:rPr>
          <w:rStyle w:val="CharSectno"/>
        </w:rPr>
        <w:t>31AE</w:t>
      </w:r>
      <w:r>
        <w:t>.</w:t>
      </w:r>
      <w:r>
        <w:tab/>
        <w:t>Prohibition of mining operations</w:t>
      </w:r>
      <w:bookmarkEnd w:id="68"/>
    </w:p>
    <w:p>
      <w:pPr>
        <w:pStyle w:val="Subsection"/>
      </w:pPr>
      <w:r>
        <w:tab/>
      </w:r>
      <w:r>
        <w:tab/>
        <w:t xml:space="preserve">In exercise of the powers conferred by sections 31AC(2)(b) and 31AD(2)(b) an inspector or assistant inspector may require the principal employer or the manager — </w:t>
      </w:r>
    </w:p>
    <w:p>
      <w:pPr>
        <w:pStyle w:val="Indenta"/>
      </w:pPr>
      <w:r>
        <w:tab/>
        <w:t>(a)</w:t>
      </w:r>
      <w:r>
        <w:tab/>
        <w:t>to stop work at the mine or any specified part of the mine;</w:t>
      </w:r>
    </w:p>
    <w:p>
      <w:pPr>
        <w:pStyle w:val="Indenta"/>
      </w:pPr>
      <w:r>
        <w:tab/>
        <w:t>(b)</w:t>
      </w:r>
      <w:r>
        <w:tab/>
        <w:t>to refrain from doing any specified thing at or in relation to the mine;</w:t>
      </w:r>
    </w:p>
    <w:p>
      <w:pPr>
        <w:pStyle w:val="Indenta"/>
      </w:pPr>
      <w:r>
        <w:tab/>
        <w:t>(c)</w:t>
      </w:r>
      <w:r>
        <w:tab/>
        <w:t>to remove all persons from the mine or any specified part of the mine; or</w:t>
      </w:r>
    </w:p>
    <w:p>
      <w:pPr>
        <w:pStyle w:val="Indenta"/>
      </w:pPr>
      <w:r>
        <w:tab/>
        <w:t>(d)</w:t>
      </w:r>
      <w:r>
        <w:tab/>
        <w:t>to take any combination of steps under paragraphs (a), (b) and (c),</w:t>
      </w:r>
    </w:p>
    <w:p>
      <w:pPr>
        <w:pStyle w:val="Subsection"/>
      </w:pPr>
      <w:r>
        <w:tab/>
      </w:r>
      <w:r>
        <w:tab/>
        <w:t xml:space="preserve">except to the extent that provision is made in the prohibition notice either with or without conditions or restrictions for — </w:t>
      </w:r>
    </w:p>
    <w:p>
      <w:pPr>
        <w:pStyle w:val="Indenta"/>
      </w:pPr>
      <w:r>
        <w:tab/>
        <w:t>(e)</w:t>
      </w:r>
      <w:r>
        <w:tab/>
        <w:t>any specified work, practice or activity to be carried out or any specified thing to be done at the mine; or</w:t>
      </w:r>
    </w:p>
    <w:p>
      <w:pPr>
        <w:pStyle w:val="Indenta"/>
      </w:pPr>
      <w:r>
        <w:tab/>
        <w:t>(f)</w:t>
      </w:r>
      <w:r>
        <w:tab/>
        <w:t>any person to be at the mine or the part concerned.</w:t>
      </w:r>
    </w:p>
    <w:p>
      <w:pPr>
        <w:pStyle w:val="Footnotesection"/>
      </w:pPr>
      <w:r>
        <w:tab/>
        <w:t>[Section 31AE inserted by No. 68 of 2004 s. 76.]</w:t>
      </w:r>
    </w:p>
    <w:p>
      <w:pPr>
        <w:pStyle w:val="Heading5"/>
      </w:pPr>
      <w:bookmarkStart w:id="69" w:name="_Toc192041080"/>
      <w:r>
        <w:rPr>
          <w:rStyle w:val="CharSectno"/>
        </w:rPr>
        <w:t>31AF</w:t>
      </w:r>
      <w:r>
        <w:t>.</w:t>
      </w:r>
      <w:r>
        <w:tab/>
        <w:t>Contents of prohibition notice under this Subdivision</w:t>
      </w:r>
      <w:bookmarkEnd w:id="69"/>
    </w:p>
    <w:p>
      <w:pPr>
        <w:pStyle w:val="Subsection"/>
      </w:pPr>
      <w:r>
        <w:tab/>
      </w:r>
      <w:r>
        <w:tab/>
        <w:t xml:space="preserve">A prohibition notice under this Subdivision must — </w:t>
      </w:r>
    </w:p>
    <w:p>
      <w:pPr>
        <w:pStyle w:val="Indenta"/>
      </w:pPr>
      <w:r>
        <w:tab/>
        <w:t>(a)</w:t>
      </w:r>
      <w:r>
        <w:tab/>
        <w:t>state the opinion of the inspector or assistant inspector in terms of section 31AB(a) or (b), as the case may require;</w:t>
      </w:r>
    </w:p>
    <w:p>
      <w:pPr>
        <w:pStyle w:val="Indenta"/>
      </w:pPr>
      <w:r>
        <w:tab/>
        <w:t>(b)</w:t>
      </w:r>
      <w:r>
        <w:tab/>
        <w:t>state reasonable grounds for that opinion;</w:t>
      </w:r>
    </w:p>
    <w:p>
      <w:pPr>
        <w:pStyle w:val="Indenta"/>
      </w:pPr>
      <w:r>
        <w:tab/>
        <w:t>(c)</w:t>
      </w:r>
      <w:r>
        <w:tab/>
        <w:t xml:space="preserve">specify — </w:t>
      </w:r>
    </w:p>
    <w:p>
      <w:pPr>
        <w:pStyle w:val="Indenti"/>
      </w:pPr>
      <w:r>
        <w:tab/>
        <w:t>(i)</w:t>
      </w:r>
      <w:r>
        <w:tab/>
        <w:t>where section 31AB(a) applies, the provision of this Act; or</w:t>
      </w:r>
    </w:p>
    <w:p>
      <w:pPr>
        <w:pStyle w:val="Indenti"/>
        <w:rPr>
          <w:snapToGrid w:val="0"/>
        </w:rPr>
      </w:pPr>
      <w:r>
        <w:tab/>
        <w:t>(ii)</w:t>
      </w:r>
      <w:r>
        <w:tab/>
        <w:t>where section 31AB(b) applies, the</w:t>
      </w:r>
      <w:r>
        <w:rPr>
          <w:snapToGrid w:val="0"/>
        </w:rPr>
        <w:t xml:space="preserve"> mine, or the plant, mining practice or hazardous substance,</w:t>
      </w:r>
    </w:p>
    <w:p>
      <w:pPr>
        <w:pStyle w:val="Indenta"/>
      </w:pPr>
      <w:r>
        <w:tab/>
      </w:r>
      <w:r>
        <w:tab/>
        <w:t>in respect of which that opinion is held; and</w:t>
      </w:r>
    </w:p>
    <w:p>
      <w:pPr>
        <w:pStyle w:val="Indenta"/>
      </w:pPr>
      <w:r>
        <w:tab/>
        <w:t>(d)</w:t>
      </w:r>
      <w:r>
        <w:tab/>
        <w:t>contain a brief summary of the right to have the notice reviewed under Subdivision 7.</w:t>
      </w:r>
    </w:p>
    <w:p>
      <w:pPr>
        <w:pStyle w:val="Footnotesection"/>
      </w:pPr>
      <w:r>
        <w:tab/>
        <w:t>[Section 31AF inserted by No. 68 of 2004 s. 76.]</w:t>
      </w:r>
    </w:p>
    <w:p>
      <w:pPr>
        <w:pStyle w:val="Heading5"/>
      </w:pPr>
      <w:bookmarkStart w:id="70" w:name="_Toc192041081"/>
      <w:r>
        <w:rPr>
          <w:rStyle w:val="CharSectno"/>
        </w:rPr>
        <w:t>31AG</w:t>
      </w:r>
      <w:r>
        <w:t>.</w:t>
      </w:r>
      <w:r>
        <w:tab/>
        <w:t>Failure to comply with prohibition notice</w:t>
      </w:r>
      <w:bookmarkEnd w:id="70"/>
    </w:p>
    <w:p>
      <w:pPr>
        <w:pStyle w:val="Subsection"/>
        <w:spacing w:before="120"/>
      </w:pPr>
      <w:r>
        <w:tab/>
        <w:t>(1)</w:t>
      </w:r>
      <w:r>
        <w:tab/>
        <w:t xml:space="preserve">A person issued with a prohibition notice under this Subdivision commits an offence if the person does not comply with — </w:t>
      </w:r>
    </w:p>
    <w:p>
      <w:pPr>
        <w:pStyle w:val="Indenta"/>
      </w:pPr>
      <w:r>
        <w:tab/>
        <w:t>(a)</w:t>
      </w:r>
      <w:r>
        <w:tab/>
        <w:t xml:space="preserve">the notice; or </w:t>
      </w:r>
    </w:p>
    <w:p>
      <w:pPr>
        <w:pStyle w:val="Indenta"/>
      </w:pPr>
      <w:r>
        <w:tab/>
        <w:t>(b)</w:t>
      </w:r>
      <w:r>
        <w:tab/>
        <w:t>such of the provisions of the notice as are applicable to the person,</w:t>
      </w:r>
    </w:p>
    <w:p>
      <w:pPr>
        <w:pStyle w:val="Subsection"/>
      </w:pPr>
      <w:r>
        <w:tab/>
      </w:r>
      <w:r>
        <w:tab/>
        <w:t>as the case may require.</w:t>
      </w:r>
    </w:p>
    <w:p>
      <w:pPr>
        <w:pStyle w:val="Subsection"/>
        <w:spacing w:before="120"/>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spacing w:before="120"/>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31AG inserted by No. 68 of 2004 s. 76.]</w:t>
      </w:r>
    </w:p>
    <w:p>
      <w:pPr>
        <w:pStyle w:val="Heading4"/>
      </w:pPr>
      <w:bookmarkStart w:id="71" w:name="_Toc192041082"/>
      <w:r>
        <w:t>Subdivision 3 — Prohibition notices in relation to occupation of residential premises by employee</w:t>
      </w:r>
      <w:bookmarkEnd w:id="71"/>
    </w:p>
    <w:p>
      <w:pPr>
        <w:pStyle w:val="Footnoteheading"/>
      </w:pPr>
      <w:r>
        <w:tab/>
        <w:t xml:space="preserve">[Heading inserted by No. 68 of 2004 s. 76.] </w:t>
      </w:r>
    </w:p>
    <w:p>
      <w:pPr>
        <w:pStyle w:val="Heading5"/>
      </w:pPr>
      <w:bookmarkStart w:id="72" w:name="_Toc192041083"/>
      <w:r>
        <w:rPr>
          <w:rStyle w:val="CharSectno"/>
        </w:rPr>
        <w:t>31AH</w:t>
      </w:r>
      <w:r>
        <w:t>.</w:t>
      </w:r>
      <w:r>
        <w:tab/>
        <w:t>Issue of prohibition notice</w:t>
      </w:r>
      <w:bookmarkEnd w:id="72"/>
      <w:r>
        <w:t xml:space="preserve"> </w:t>
      </w:r>
    </w:p>
    <w:p>
      <w:pPr>
        <w:pStyle w:val="Subsection"/>
        <w:spacing w:before="120"/>
      </w:pPr>
      <w:r>
        <w:tab/>
        <w:t>(1)</w:t>
      </w:r>
      <w:r>
        <w:tab/>
        <w:t xml:space="preserve">Subsection (2) applies where an inspector or an assistant inspector is of the opinion that — </w:t>
      </w:r>
    </w:p>
    <w:p>
      <w:pPr>
        <w:pStyle w:val="Indenta"/>
      </w:pPr>
      <w:r>
        <w:tab/>
        <w:t>(a)</w:t>
      </w:r>
      <w:r>
        <w:tab/>
        <w:t>an employee is, or is likely to be, in occupation of residential premises as mentioned in section 15D(2); and</w:t>
      </w:r>
    </w:p>
    <w:p>
      <w:pPr>
        <w:pStyle w:val="Indenta"/>
      </w:pPr>
      <w:r>
        <w:tab/>
        <w:t>(b)</w:t>
      </w:r>
      <w:r>
        <w:tab/>
        <w:t>the employer concerned is contravening, or is likely to contravene, that section in relation to such occupation.</w:t>
      </w:r>
    </w:p>
    <w:p>
      <w:pPr>
        <w:pStyle w:val="Subsection"/>
        <w:spacing w:before="120"/>
      </w:pPr>
      <w:r>
        <w:tab/>
        <w:t>(2)</w:t>
      </w:r>
      <w:r>
        <w:tab/>
        <w:t>The inspector or assistant inspector may issue to the employer, and any employee, concerned a prohibition notice prohibiting the occupation of the premises by an employee of the employer until an inspector or assistant inspector is satisfied that an employee occupying the premises is not, or will not be, exposed to any hazard at the premises.</w:t>
      </w:r>
    </w:p>
    <w:p>
      <w:pPr>
        <w:pStyle w:val="Subsection"/>
        <w:spacing w:before="120"/>
      </w:pPr>
      <w:r>
        <w:tab/>
        <w:t>(3)</w:t>
      </w:r>
      <w:r>
        <w:tab/>
        <w:t>An inspector or assistant inspector who issues a prohibition notice under subsection (2) must, as soon as is practicable, give a copy of the notice to the manager of the mine at which the employee concerned is employed.</w:t>
      </w:r>
    </w:p>
    <w:p>
      <w:pPr>
        <w:pStyle w:val="Footnotesection"/>
      </w:pPr>
      <w:r>
        <w:tab/>
        <w:t>[Section 31AH inserted by No. 68 of 2004 s. 76.]</w:t>
      </w:r>
    </w:p>
    <w:p>
      <w:pPr>
        <w:pStyle w:val="Heading5"/>
      </w:pPr>
      <w:bookmarkStart w:id="73" w:name="_Toc192041084"/>
      <w:r>
        <w:rPr>
          <w:rStyle w:val="CharSectno"/>
        </w:rPr>
        <w:t>31AI</w:t>
      </w:r>
      <w:r>
        <w:t>.</w:t>
      </w:r>
      <w:r>
        <w:tab/>
        <w:t>Contents of prohibition notice under this Subdivision</w:t>
      </w:r>
      <w:bookmarkEnd w:id="73"/>
    </w:p>
    <w:p>
      <w:pPr>
        <w:pStyle w:val="Subsection"/>
        <w:spacing w:before="120"/>
      </w:pPr>
      <w:r>
        <w:tab/>
      </w:r>
      <w:r>
        <w:tab/>
        <w:t xml:space="preserve">A prohibition notice under this Subdivision must — </w:t>
      </w:r>
    </w:p>
    <w:p>
      <w:pPr>
        <w:pStyle w:val="Indenta"/>
      </w:pPr>
      <w:r>
        <w:tab/>
        <w:t>(a)</w:t>
      </w:r>
      <w:r>
        <w:tab/>
        <w:t>state the opinion of the inspector or assistant inspector in terms of section 31AH(1);</w:t>
      </w:r>
    </w:p>
    <w:p>
      <w:pPr>
        <w:pStyle w:val="Indenta"/>
      </w:pPr>
      <w:r>
        <w:tab/>
        <w:t>(b)</w:t>
      </w:r>
      <w:r>
        <w:tab/>
        <w:t>state reasonable grounds for that opinion;</w:t>
      </w:r>
    </w:p>
    <w:p>
      <w:pPr>
        <w:pStyle w:val="Indenta"/>
      </w:pPr>
      <w:r>
        <w:tab/>
        <w:t>(c)</w:t>
      </w:r>
      <w:r>
        <w:tab/>
        <w:t>specify the premises and any hazard in respect of which that opinion is held; and</w:t>
      </w:r>
    </w:p>
    <w:p>
      <w:pPr>
        <w:pStyle w:val="Indenta"/>
      </w:pPr>
      <w:r>
        <w:tab/>
        <w:t>(d)</w:t>
      </w:r>
      <w:r>
        <w:tab/>
        <w:t>contain a brief summary of the right to have the notice reviewed under Subdivision 7.</w:t>
      </w:r>
    </w:p>
    <w:p>
      <w:pPr>
        <w:pStyle w:val="Footnotesection"/>
      </w:pPr>
      <w:r>
        <w:tab/>
        <w:t>[Section 31AI inserted by No. 68 of 2004 s. 76.]</w:t>
      </w:r>
    </w:p>
    <w:p>
      <w:pPr>
        <w:pStyle w:val="Heading5"/>
      </w:pPr>
      <w:bookmarkStart w:id="74" w:name="_Toc192041085"/>
      <w:r>
        <w:rPr>
          <w:rStyle w:val="CharSectno"/>
        </w:rPr>
        <w:t>31AJ</w:t>
      </w:r>
      <w:r>
        <w:t>.</w:t>
      </w:r>
      <w:r>
        <w:tab/>
        <w:t>Failure to comply with prohibition notice</w:t>
      </w:r>
      <w:bookmarkEnd w:id="74"/>
    </w:p>
    <w:p>
      <w:pPr>
        <w:pStyle w:val="Subsection"/>
      </w:pPr>
      <w:r>
        <w:tab/>
        <w:t>(1)</w:t>
      </w:r>
      <w:r>
        <w:tab/>
        <w:t xml:space="preserve">If an employee occupies residential premises in contravention of a prohibition notice under section 31AH — </w:t>
      </w:r>
    </w:p>
    <w:p>
      <w:pPr>
        <w:pStyle w:val="Indenta"/>
      </w:pPr>
      <w:r>
        <w:tab/>
        <w:t>(a)</w:t>
      </w:r>
      <w:r>
        <w:tab/>
        <w:t>the employer issued with the notice commits an offence unless the employer shows that all reasonably practicable steps were taken by the employer to prevent the occupation; and</w:t>
      </w:r>
    </w:p>
    <w:p>
      <w:pPr>
        <w:pStyle w:val="Indenta"/>
      </w:pPr>
      <w:r>
        <w:tab/>
        <w:t>(b)</w:t>
      </w:r>
      <w:r>
        <w:tab/>
        <w:t>the employee who occupies the premises commits an offence unless the employee shows that there was reasonable excuse for that occupation.</w:t>
      </w:r>
    </w:p>
    <w:p>
      <w:pPr>
        <w:pStyle w:val="Subsection"/>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31AJ inserted by No. 68 of 2004 s. 76.]</w:t>
      </w:r>
    </w:p>
    <w:p>
      <w:pPr>
        <w:pStyle w:val="Heading4"/>
      </w:pPr>
      <w:bookmarkStart w:id="75" w:name="_Toc192041086"/>
      <w:r>
        <w:t>Subdivision 4 — Display of improvement notices and prohibition notices</w:t>
      </w:r>
      <w:bookmarkEnd w:id="75"/>
    </w:p>
    <w:p>
      <w:pPr>
        <w:pStyle w:val="Footnoteheading"/>
      </w:pPr>
      <w:r>
        <w:tab/>
        <w:t xml:space="preserve">[Heading inserted by No. 68 of 2004 s. 76.] </w:t>
      </w:r>
    </w:p>
    <w:p>
      <w:pPr>
        <w:pStyle w:val="Heading5"/>
      </w:pPr>
      <w:bookmarkStart w:id="76" w:name="_Toc192041087"/>
      <w:r>
        <w:rPr>
          <w:rStyle w:val="CharSectno"/>
        </w:rPr>
        <w:t>31AK</w:t>
      </w:r>
      <w:r>
        <w:t>.</w:t>
      </w:r>
      <w:r>
        <w:tab/>
        <w:t>Improvement notices</w:t>
      </w:r>
      <w:bookmarkEnd w:id="76"/>
    </w:p>
    <w:p>
      <w:pPr>
        <w:pStyle w:val="Subsection"/>
      </w:pPr>
      <w:r>
        <w:tab/>
      </w:r>
      <w:r>
        <w:tab/>
        <w:t xml:space="preserve">The manager of a mine who — </w:t>
      </w:r>
    </w:p>
    <w:p>
      <w:pPr>
        <w:pStyle w:val="Indenta"/>
      </w:pPr>
      <w:r>
        <w:tab/>
        <w:t>(a)</w:t>
      </w:r>
      <w:r>
        <w:tab/>
        <w:t>is issued with an improvement notice; or</w:t>
      </w:r>
    </w:p>
    <w:p>
      <w:pPr>
        <w:pStyle w:val="Indenta"/>
      </w:pPr>
      <w:r>
        <w:tab/>
        <w:t>(b)</w:t>
      </w:r>
      <w:r>
        <w:tab/>
        <w:t>is given a copy of an improvement notice under section 30(3),</w:t>
      </w:r>
    </w:p>
    <w:p>
      <w:pPr>
        <w:pStyle w:val="Subsection"/>
      </w:pPr>
      <w:r>
        <w:tab/>
      </w:r>
      <w:r>
        <w:tab/>
        <w:t>must, as soon as is practicable, cause the notice, or a copy of it, to be displayed in accordance with the prescribed requirements.</w:t>
      </w:r>
    </w:p>
    <w:p>
      <w:pPr>
        <w:pStyle w:val="Footnotesection"/>
      </w:pPr>
      <w:r>
        <w:tab/>
        <w:t>[Section 31AK inserted by No. 68 of 2004 s. 76.]</w:t>
      </w:r>
    </w:p>
    <w:p>
      <w:pPr>
        <w:pStyle w:val="Heading5"/>
      </w:pPr>
      <w:bookmarkStart w:id="77" w:name="_Toc192041088"/>
      <w:r>
        <w:rPr>
          <w:rStyle w:val="CharSectno"/>
        </w:rPr>
        <w:t>31AL</w:t>
      </w:r>
      <w:r>
        <w:t>.</w:t>
      </w:r>
      <w:r>
        <w:tab/>
        <w:t>Prohibition notices in respect of mines</w:t>
      </w:r>
      <w:bookmarkEnd w:id="77"/>
    </w:p>
    <w:p>
      <w:pPr>
        <w:pStyle w:val="Subsection"/>
      </w:pPr>
      <w:r>
        <w:tab/>
      </w:r>
      <w:r>
        <w:tab/>
        <w:t>The manager of a mine who is issued with a prohibition notice under Subdivision 2 must, as soon as is practicable, cause the notice, or a copy of it, to be displayed in accordance with the prescribed requirements.</w:t>
      </w:r>
    </w:p>
    <w:p>
      <w:pPr>
        <w:pStyle w:val="Footnotesection"/>
      </w:pPr>
      <w:r>
        <w:tab/>
        <w:t>[Section 31AL inserted by No. 68 of 2004 s. 76.]</w:t>
      </w:r>
    </w:p>
    <w:p>
      <w:pPr>
        <w:pStyle w:val="Heading5"/>
      </w:pPr>
      <w:bookmarkStart w:id="78" w:name="_Toc192041089"/>
      <w:r>
        <w:rPr>
          <w:rStyle w:val="CharSectno"/>
        </w:rPr>
        <w:t>31AM</w:t>
      </w:r>
      <w:r>
        <w:t>.</w:t>
      </w:r>
      <w:r>
        <w:tab/>
        <w:t>Prohibition notices in respect of residential premises</w:t>
      </w:r>
      <w:bookmarkEnd w:id="78"/>
    </w:p>
    <w:p>
      <w:pPr>
        <w:pStyle w:val="Subsection"/>
      </w:pPr>
      <w:r>
        <w:tab/>
      </w:r>
      <w:r>
        <w:tab/>
        <w:t>An employer who is issued with a prohibition notice under Subdivision 3 must, as soon as is practicable, cause the notice, or a copy of it, to be displayed at the residential premises concerned.</w:t>
      </w:r>
    </w:p>
    <w:p>
      <w:pPr>
        <w:pStyle w:val="Footnotesection"/>
      </w:pPr>
      <w:r>
        <w:tab/>
        <w:t>[Section 31AM inserted by No. 68 of 2004 s. 76.]</w:t>
      </w:r>
    </w:p>
    <w:p>
      <w:pPr>
        <w:pStyle w:val="Heading5"/>
      </w:pPr>
      <w:bookmarkStart w:id="79" w:name="_Toc192041090"/>
      <w:r>
        <w:rPr>
          <w:rStyle w:val="CharSectno"/>
        </w:rPr>
        <w:t>31AN</w:t>
      </w:r>
      <w:r>
        <w:t>.</w:t>
      </w:r>
      <w:r>
        <w:tab/>
        <w:t>Offence to remove displayed notice</w:t>
      </w:r>
      <w:bookmarkEnd w:id="79"/>
    </w:p>
    <w:p>
      <w:pPr>
        <w:pStyle w:val="Subsection"/>
      </w:pPr>
      <w:r>
        <w:tab/>
        <w:t>(1)</w:t>
      </w:r>
      <w:r>
        <w:tab/>
        <w:t>A person must not remove an improvement notice or a prohibition notice displayed under this Subdivision before the requirements of the notice have been satisfied, taking into account any modification made under section 31AZ or 31BB.</w:t>
      </w:r>
    </w:p>
    <w:p>
      <w:pPr>
        <w:pStyle w:val="Subsection"/>
      </w:pPr>
      <w:r>
        <w:tab/>
        <w:t>(2)</w:t>
      </w:r>
      <w:r>
        <w:tab/>
        <w:t xml:space="preserve">Subsection (1) does not apply in respect of a notice that — </w:t>
      </w:r>
    </w:p>
    <w:p>
      <w:pPr>
        <w:pStyle w:val="Indenta"/>
      </w:pPr>
      <w:r>
        <w:tab/>
        <w:t>(a)</w:t>
      </w:r>
      <w:r>
        <w:tab/>
        <w:t>is suspended under section 31B or 31BC; or</w:t>
      </w:r>
    </w:p>
    <w:p>
      <w:pPr>
        <w:pStyle w:val="Indenta"/>
      </w:pPr>
      <w:r>
        <w:tab/>
        <w:t>(b)</w:t>
      </w:r>
      <w:r>
        <w:tab/>
        <w:t>has ceased to have effect.</w:t>
      </w:r>
    </w:p>
    <w:p>
      <w:pPr>
        <w:pStyle w:val="Footnotesection"/>
      </w:pPr>
      <w:r>
        <w:tab/>
        <w:t>[Section 31AN inserted by No. 68 of 2004 s. 76.]</w:t>
      </w:r>
    </w:p>
    <w:p>
      <w:pPr>
        <w:pStyle w:val="Heading5"/>
      </w:pPr>
      <w:bookmarkStart w:id="80" w:name="_Toc192041091"/>
      <w:r>
        <w:rPr>
          <w:rStyle w:val="CharSectno"/>
        </w:rPr>
        <w:t>31AO</w:t>
      </w:r>
      <w:r>
        <w:t>.</w:t>
      </w:r>
      <w:r>
        <w:tab/>
        <w:t>Modifications of notice to be displayed</w:t>
      </w:r>
      <w:bookmarkEnd w:id="80"/>
    </w:p>
    <w:p>
      <w:pPr>
        <w:pStyle w:val="Subsection"/>
      </w:pPr>
      <w:r>
        <w:tab/>
        <w:t>(1)</w:t>
      </w:r>
      <w:r>
        <w:tab/>
        <w:t>This section applies where an improvement notice or a prohibition notice is modified under section 31AZ or 31BB.</w:t>
      </w:r>
    </w:p>
    <w:p>
      <w:pPr>
        <w:pStyle w:val="Subsection"/>
      </w:pPr>
      <w:r>
        <w:tab/>
        <w:t>(2)</w:t>
      </w:r>
      <w:r>
        <w:tab/>
        <w:t>The manager of the mine concerned, or the employer concerned, must cause a copy of the decision of the State mining engineer or the Tribunal to be displayed with, and in the same manner as is required for, the improvement notice or prohibition notice.</w:t>
      </w:r>
    </w:p>
    <w:p>
      <w:pPr>
        <w:pStyle w:val="Footnotesection"/>
      </w:pPr>
      <w:r>
        <w:tab/>
        <w:t>[Section 31AO inserted by No. 68 of 2004 s. 76.]</w:t>
      </w:r>
    </w:p>
    <w:p>
      <w:pPr>
        <w:pStyle w:val="Heading5"/>
      </w:pPr>
      <w:bookmarkStart w:id="81" w:name="_Toc192041092"/>
      <w:r>
        <w:rPr>
          <w:rStyle w:val="CharSectno"/>
        </w:rPr>
        <w:t>31AP</w:t>
      </w:r>
      <w:r>
        <w:t>.</w:t>
      </w:r>
      <w:r>
        <w:tab/>
        <w:t>Failure to comply with provision of this Subdivision</w:t>
      </w:r>
      <w:bookmarkEnd w:id="81"/>
    </w:p>
    <w:p>
      <w:pPr>
        <w:pStyle w:val="Subsection"/>
      </w:pPr>
      <w:r>
        <w:tab/>
      </w:r>
      <w:r>
        <w:tab/>
        <w:t>A person who fails to comply with a duty imposed on the person by this Subdivision commits an offence.</w:t>
      </w:r>
    </w:p>
    <w:p>
      <w:pPr>
        <w:pStyle w:val="Footnotesection"/>
      </w:pPr>
      <w:r>
        <w:tab/>
        <w:t>[Section 31AP inserted by No. 68 of 2004 s. 76.]</w:t>
      </w:r>
    </w:p>
    <w:p>
      <w:pPr>
        <w:pStyle w:val="Heading4"/>
      </w:pPr>
      <w:bookmarkStart w:id="82" w:name="_Toc192041093"/>
      <w:r>
        <w:t>Subdivision 5 — General duty of principal employer and manager in respect of notices</w:t>
      </w:r>
      <w:bookmarkEnd w:id="82"/>
      <w:r>
        <w:t xml:space="preserve"> </w:t>
      </w:r>
    </w:p>
    <w:p>
      <w:pPr>
        <w:pStyle w:val="Footnoteheading"/>
      </w:pPr>
      <w:r>
        <w:tab/>
        <w:t xml:space="preserve">[Heading inserted by No. 68 of 2004 s. 76.] </w:t>
      </w:r>
    </w:p>
    <w:p>
      <w:pPr>
        <w:pStyle w:val="Heading5"/>
      </w:pPr>
      <w:bookmarkStart w:id="83" w:name="_Toc192041094"/>
      <w:r>
        <w:rPr>
          <w:rStyle w:val="CharSectno"/>
        </w:rPr>
        <w:t>31AQ</w:t>
      </w:r>
      <w:r>
        <w:t>.</w:t>
      </w:r>
      <w:r>
        <w:tab/>
        <w:t>General duty, improvement notices</w:t>
      </w:r>
      <w:bookmarkEnd w:id="83"/>
    </w:p>
    <w:p>
      <w:pPr>
        <w:pStyle w:val="Subsection"/>
      </w:pPr>
      <w:r>
        <w:tab/>
        <w:t>(1)</w:t>
      </w:r>
      <w:r>
        <w:tab/>
        <w:t xml:space="preserve">Subsection (2) applies where — </w:t>
      </w:r>
    </w:p>
    <w:p>
      <w:pPr>
        <w:pStyle w:val="Indenta"/>
      </w:pPr>
      <w:r>
        <w:tab/>
        <w:t>(a)</w:t>
      </w:r>
      <w:r>
        <w:tab/>
        <w:t>an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A principal employer or manager who fails to comply with subsection (2) commits an offence.</w:t>
      </w:r>
    </w:p>
    <w:p>
      <w:pPr>
        <w:pStyle w:val="Footnotesection"/>
      </w:pPr>
      <w:r>
        <w:tab/>
        <w:t>[Section 31AQ inserted by No. 68 of 2004 s. 76.]</w:t>
      </w:r>
    </w:p>
    <w:p>
      <w:pPr>
        <w:pStyle w:val="Heading5"/>
      </w:pPr>
      <w:bookmarkStart w:id="84" w:name="_Toc192041095"/>
      <w:r>
        <w:rPr>
          <w:rStyle w:val="CharSectno"/>
        </w:rPr>
        <w:t>31AR</w:t>
      </w:r>
      <w:r>
        <w:t>.</w:t>
      </w:r>
      <w:r>
        <w:tab/>
        <w:t>General duty, prohibition notices</w:t>
      </w:r>
      <w:bookmarkEnd w:id="84"/>
    </w:p>
    <w:p>
      <w:pPr>
        <w:pStyle w:val="Subsection"/>
      </w:pPr>
      <w:r>
        <w:tab/>
        <w:t>(1)</w:t>
      </w:r>
      <w:r>
        <w:tab/>
        <w:t xml:space="preserve">In subsection (2) — </w:t>
      </w:r>
    </w:p>
    <w:p>
      <w:pPr>
        <w:pStyle w:val="Defstart"/>
      </w:pPr>
      <w:r>
        <w:rPr>
          <w:b/>
        </w:rPr>
        <w:tab/>
        <w:t>“</w:t>
      </w:r>
      <w:r>
        <w:rPr>
          <w:rStyle w:val="CharDefText"/>
        </w:rPr>
        <w:t>other responsible person</w:t>
      </w:r>
      <w:r>
        <w:rPr>
          <w:b/>
        </w:rPr>
        <w:t>”</w:t>
      </w:r>
      <w:r>
        <w:t xml:space="preserve"> means a person who — </w:t>
      </w:r>
    </w:p>
    <w:p>
      <w:pPr>
        <w:pStyle w:val="Defpara"/>
      </w:pPr>
      <w:r>
        <w:tab/>
        <w:t>(a)</w:t>
      </w:r>
      <w:r>
        <w:tab/>
        <w:t>is required to comply with any provision of a prohibition notice issued in respect of a mine; but</w:t>
      </w:r>
    </w:p>
    <w:p>
      <w:pPr>
        <w:pStyle w:val="Defpara"/>
      </w:pPr>
      <w:r>
        <w:tab/>
        <w:t>(b)</w:t>
      </w:r>
      <w:r>
        <w:tab/>
        <w:t>is not the principal employer at, or the manager of, the mine.</w:t>
      </w:r>
    </w:p>
    <w:p>
      <w:pPr>
        <w:pStyle w:val="Subsection"/>
      </w:pPr>
      <w:r>
        <w:tab/>
        <w:t>(2)</w:t>
      </w:r>
      <w:r>
        <w:tab/>
        <w:t>The principal employer at, and the manager of, a mine in relation to which a prohibition notice is issued must take all reasonably practicable steps to ensure that any other responsible person complies with such of the provisions of the notice as are applicable to the person.</w:t>
      </w:r>
    </w:p>
    <w:p>
      <w:pPr>
        <w:pStyle w:val="Subsection"/>
      </w:pPr>
      <w:r>
        <w:tab/>
        <w:t>(3)</w:t>
      </w:r>
      <w:r>
        <w:tab/>
        <w:t>A principal employer or manager who fails to comply with subsection (2) commits an offence.</w:t>
      </w:r>
    </w:p>
    <w:p>
      <w:pPr>
        <w:pStyle w:val="Footnotesection"/>
      </w:pPr>
      <w:r>
        <w:tab/>
        <w:t>[Section 3QAR inserted by No. 68 of 2004 s. 76.]</w:t>
      </w:r>
    </w:p>
    <w:p>
      <w:pPr>
        <w:pStyle w:val="Heading5"/>
      </w:pPr>
      <w:bookmarkStart w:id="85" w:name="_Toc192041096"/>
      <w:r>
        <w:rPr>
          <w:rStyle w:val="CharSectno"/>
        </w:rPr>
        <w:t>31AS</w:t>
      </w:r>
      <w:r>
        <w:t>.</w:t>
      </w:r>
      <w:r>
        <w:tab/>
        <w:t>Other provisions relating to general duty</w:t>
      </w:r>
      <w:bookmarkEnd w:id="85"/>
    </w:p>
    <w:p>
      <w:pPr>
        <w:pStyle w:val="Subsection"/>
      </w:pPr>
      <w:r>
        <w:tab/>
        <w:t>(1)</w:t>
      </w:r>
      <w:r>
        <w:tab/>
        <w:t xml:space="preserve">The duties imposed by this Subdivision — </w:t>
      </w:r>
    </w:p>
    <w:p>
      <w:pPr>
        <w:pStyle w:val="Indenta"/>
      </w:pPr>
      <w:r>
        <w:tab/>
        <w:t>(a)</w:t>
      </w:r>
      <w:r>
        <w:tab/>
        <w:t xml:space="preserve">have effect subject to — </w:t>
      </w:r>
    </w:p>
    <w:p>
      <w:pPr>
        <w:pStyle w:val="Indenti"/>
      </w:pPr>
      <w:r>
        <w:tab/>
        <w:t>(i)</w:t>
      </w:r>
      <w:r>
        <w:tab/>
        <w:t xml:space="preserve">the provisions in sections 31B and 31BC for the suspension of notices; and </w:t>
      </w:r>
    </w:p>
    <w:p>
      <w:pPr>
        <w:pStyle w:val="Indenti"/>
      </w:pPr>
      <w:r>
        <w:tab/>
        <w:t>(ii)</w:t>
      </w:r>
      <w:r>
        <w:tab/>
        <w:t>the exercise of the power conferred by section 31BE;</w:t>
      </w:r>
    </w:p>
    <w:p>
      <w:pPr>
        <w:pStyle w:val="Indenta"/>
      </w:pPr>
      <w:r>
        <w:tab/>
      </w:r>
      <w:r>
        <w:tab/>
        <w:t>and</w:t>
      </w:r>
    </w:p>
    <w:p>
      <w:pPr>
        <w:pStyle w:val="Indenta"/>
      </w:pPr>
      <w:r>
        <w:tab/>
        <w:t>(b)</w:t>
      </w:r>
      <w:r>
        <w:tab/>
        <w:t>are in addition to any duty that a principal employer or a manager has under section 32(2) or 43(2)(c).</w:t>
      </w:r>
    </w:p>
    <w:p>
      <w:pPr>
        <w:pStyle w:val="Subsection"/>
        <w:rPr>
          <w:snapToGrid w:val="0"/>
        </w:rPr>
      </w:pPr>
      <w:r>
        <w:tab/>
        <w:t>(2)</w:t>
      </w:r>
      <w:r>
        <w:tab/>
        <w:t>A principal employer or manager</w:t>
      </w:r>
      <w:r>
        <w:rPr>
          <w:snapToGrid w:val="0"/>
        </w:rPr>
        <w:t xml:space="preserve"> is not precluded by a contract from doing such acts and things as are necessary to comply with a duty imposed by this Subdivision and is not liable under any contract to any penalty for doing such acts and things.</w:t>
      </w:r>
    </w:p>
    <w:p>
      <w:pPr>
        <w:pStyle w:val="Footnotesection"/>
      </w:pPr>
      <w:r>
        <w:tab/>
        <w:t>[Section 31AS inserted by No. 68 of 2004 s. 76.]</w:t>
      </w:r>
    </w:p>
    <w:p>
      <w:pPr>
        <w:pStyle w:val="Heading4"/>
      </w:pPr>
      <w:bookmarkStart w:id="86" w:name="_Toc192041097"/>
      <w:r>
        <w:t>Subdivision 6 — Entry of notices and related matters in mine record book</w:t>
      </w:r>
      <w:bookmarkEnd w:id="86"/>
    </w:p>
    <w:p>
      <w:pPr>
        <w:pStyle w:val="Footnoteheading"/>
      </w:pPr>
      <w:r>
        <w:tab/>
        <w:t xml:space="preserve">[Heading inserted by No. 68 of 2004 s. 76.] </w:t>
      </w:r>
    </w:p>
    <w:p>
      <w:pPr>
        <w:pStyle w:val="Heading5"/>
      </w:pPr>
      <w:bookmarkStart w:id="87" w:name="_Toc192041098"/>
      <w:r>
        <w:rPr>
          <w:rStyle w:val="CharSectno"/>
        </w:rPr>
        <w:t>31AT</w:t>
      </w:r>
      <w:r>
        <w:t>.</w:t>
      </w:r>
      <w:r>
        <w:tab/>
        <w:t>Improvement and prohibition notices</w:t>
      </w:r>
      <w:bookmarkEnd w:id="87"/>
    </w:p>
    <w:p>
      <w:pPr>
        <w:pStyle w:val="Subsection"/>
      </w:pPr>
      <w:r>
        <w:tab/>
      </w:r>
      <w:r>
        <w:tab/>
        <w:t xml:space="preserve">The manager of a mine who — </w:t>
      </w:r>
    </w:p>
    <w:p>
      <w:pPr>
        <w:pStyle w:val="Indenta"/>
        <w:outlineLvl w:val="0"/>
      </w:pPr>
      <w:r>
        <w:tab/>
        <w:t>(a)</w:t>
      </w:r>
      <w:r>
        <w:tab/>
        <w:t xml:space="preserve">is issued with — </w:t>
      </w:r>
    </w:p>
    <w:p>
      <w:pPr>
        <w:pStyle w:val="Indenti"/>
      </w:pPr>
      <w:r>
        <w:tab/>
        <w:t>(i)</w:t>
      </w:r>
      <w:r>
        <w:tab/>
        <w:t xml:space="preserve">an improvement notice; or </w:t>
      </w:r>
    </w:p>
    <w:p>
      <w:pPr>
        <w:pStyle w:val="Indenti"/>
      </w:pPr>
      <w:r>
        <w:tab/>
        <w:t>(ii)</w:t>
      </w:r>
      <w:r>
        <w:tab/>
        <w:t>a prohibition notice under Subdivision 2;</w:t>
      </w:r>
    </w:p>
    <w:p>
      <w:pPr>
        <w:pStyle w:val="Indenta"/>
      </w:pPr>
      <w:r>
        <w:tab/>
      </w:r>
      <w:r>
        <w:tab/>
        <w:t>or</w:t>
      </w:r>
    </w:p>
    <w:p>
      <w:pPr>
        <w:pStyle w:val="Indenta"/>
        <w:outlineLvl w:val="0"/>
      </w:pPr>
      <w:r>
        <w:tab/>
        <w:t>(b)</w:t>
      </w:r>
      <w:r>
        <w:tab/>
        <w:t xml:space="preserve">is given a copy of — </w:t>
      </w:r>
    </w:p>
    <w:p>
      <w:pPr>
        <w:pStyle w:val="Indenti"/>
      </w:pPr>
      <w:r>
        <w:tab/>
        <w:t>(i)</w:t>
      </w:r>
      <w:r>
        <w:tab/>
        <w:t xml:space="preserve">an improvement notice under section 30(3); or </w:t>
      </w:r>
    </w:p>
    <w:p>
      <w:pPr>
        <w:pStyle w:val="Indenti"/>
      </w:pPr>
      <w:r>
        <w:tab/>
        <w:t>(ii)</w:t>
      </w:r>
      <w:r>
        <w:tab/>
        <w:t>a prohibition notice under section 31AH(3),</w:t>
      </w:r>
    </w:p>
    <w:p>
      <w:pPr>
        <w:pStyle w:val="Subsection"/>
      </w:pPr>
      <w:r>
        <w:tab/>
      </w:r>
      <w:r>
        <w:tab/>
        <w:t>must securely affix a copy of the notice to a page in the record book for the mine.</w:t>
      </w:r>
    </w:p>
    <w:p>
      <w:pPr>
        <w:pStyle w:val="Footnotesection"/>
      </w:pPr>
      <w:r>
        <w:tab/>
        <w:t>[Section 31AT inserted by No. 68 of 2004 s. 76.]</w:t>
      </w:r>
    </w:p>
    <w:p>
      <w:pPr>
        <w:pStyle w:val="Heading5"/>
      </w:pPr>
      <w:bookmarkStart w:id="88" w:name="_Toc192041099"/>
      <w:r>
        <w:rPr>
          <w:rStyle w:val="CharSectno"/>
        </w:rPr>
        <w:t>31AU</w:t>
      </w:r>
      <w:r>
        <w:t>.</w:t>
      </w:r>
      <w:r>
        <w:tab/>
        <w:t>Referrals for review</w:t>
      </w:r>
      <w:bookmarkEnd w:id="88"/>
    </w:p>
    <w:p>
      <w:pPr>
        <w:pStyle w:val="Subsection"/>
      </w:pPr>
      <w:r>
        <w:tab/>
      </w:r>
      <w:r>
        <w:tab/>
        <w:t xml:space="preserve">The manager of a mine who — </w:t>
      </w:r>
    </w:p>
    <w:p>
      <w:pPr>
        <w:pStyle w:val="Indenta"/>
      </w:pPr>
      <w:r>
        <w:tab/>
        <w:t>(a)</w:t>
      </w:r>
      <w:r>
        <w:tab/>
        <w:t>under section 31AY(1) or 31BA(1) refers an improvement notice or a prohibition notice for review; or</w:t>
      </w:r>
    </w:p>
    <w:p>
      <w:pPr>
        <w:pStyle w:val="Indenta"/>
      </w:pPr>
      <w:r>
        <w:tab/>
        <w:t>(b)</w:t>
      </w:r>
      <w:r>
        <w:tab/>
        <w:t>is given a copy of a duly completed prescribed form under section 31AY(4) or 31BA(3),</w:t>
      </w:r>
    </w:p>
    <w:p>
      <w:pPr>
        <w:pStyle w:val="Subsection"/>
      </w:pPr>
      <w:r>
        <w:tab/>
      </w:r>
      <w:r>
        <w:tab/>
        <w:t>must securely affix a copy of the duly completed prescribed form to a page in the record book for the mine.</w:t>
      </w:r>
    </w:p>
    <w:p>
      <w:pPr>
        <w:pStyle w:val="Footnotesection"/>
      </w:pPr>
      <w:r>
        <w:tab/>
        <w:t>[Section 31AU inserted by No. 68 of 2004 s. 76.]</w:t>
      </w:r>
    </w:p>
    <w:p>
      <w:pPr>
        <w:pStyle w:val="Heading5"/>
      </w:pPr>
      <w:bookmarkStart w:id="89" w:name="_Toc192041100"/>
      <w:r>
        <w:rPr>
          <w:rStyle w:val="CharSectno"/>
        </w:rPr>
        <w:t>31AV</w:t>
      </w:r>
      <w:r>
        <w:t>.</w:t>
      </w:r>
      <w:r>
        <w:tab/>
        <w:t>Decisions on review</w:t>
      </w:r>
      <w:bookmarkEnd w:id="89"/>
    </w:p>
    <w:p>
      <w:pPr>
        <w:pStyle w:val="Subsection"/>
      </w:pPr>
      <w:r>
        <w:tab/>
      </w:r>
      <w:r>
        <w:tab/>
        <w:t>The manager of a mine who is given a notice under section 31AZ(3) or 31BB(3) of a decision and reasons must securely affix a copy of the notice to a page in the record book for the mine.</w:t>
      </w:r>
    </w:p>
    <w:p>
      <w:pPr>
        <w:pStyle w:val="Footnotesection"/>
      </w:pPr>
      <w:r>
        <w:tab/>
        <w:t>[Section 31AV inserted by No. 68 of 2004 s. 76.]</w:t>
      </w:r>
    </w:p>
    <w:p>
      <w:pPr>
        <w:pStyle w:val="Heading5"/>
      </w:pPr>
      <w:bookmarkStart w:id="90" w:name="_Toc192041101"/>
      <w:r>
        <w:rPr>
          <w:rStyle w:val="CharSectno"/>
        </w:rPr>
        <w:t>31AW</w:t>
      </w:r>
      <w:r>
        <w:t>.</w:t>
      </w:r>
      <w:r>
        <w:tab/>
        <w:t>Permissions for continuation of work</w:t>
      </w:r>
      <w:bookmarkEnd w:id="90"/>
    </w:p>
    <w:p>
      <w:pPr>
        <w:pStyle w:val="Subsection"/>
      </w:pPr>
      <w:r>
        <w:tab/>
      </w:r>
      <w:r>
        <w:tab/>
        <w:t>The manager of a mine who, under section 31B(3) or 31BC(3), is given a copy of a permission referred to in that section must securely affix the copy to a page in the record book for the mine.</w:t>
      </w:r>
    </w:p>
    <w:p>
      <w:pPr>
        <w:pStyle w:val="Footnotesection"/>
      </w:pPr>
      <w:r>
        <w:tab/>
        <w:t>[Section 31AW inserted by No. 68 of 2004 s. 76.]</w:t>
      </w:r>
    </w:p>
    <w:p>
      <w:pPr>
        <w:pStyle w:val="Heading5"/>
      </w:pPr>
      <w:bookmarkStart w:id="91" w:name="_Toc192041102"/>
      <w:r>
        <w:rPr>
          <w:rStyle w:val="CharSectno"/>
        </w:rPr>
        <w:t>31AX</w:t>
      </w:r>
      <w:r>
        <w:t>.</w:t>
      </w:r>
      <w:r>
        <w:tab/>
        <w:t>Failure to comply with provision of this Subdivision</w:t>
      </w:r>
      <w:bookmarkEnd w:id="91"/>
    </w:p>
    <w:p>
      <w:pPr>
        <w:pStyle w:val="Subsection"/>
      </w:pPr>
      <w:r>
        <w:tab/>
      </w:r>
      <w:r>
        <w:tab/>
        <w:t>A manager who fails to comply with a duty imposed on the manager by this Subdivision commits an offence.</w:t>
      </w:r>
    </w:p>
    <w:p>
      <w:pPr>
        <w:pStyle w:val="Footnotesection"/>
      </w:pPr>
      <w:r>
        <w:tab/>
        <w:t>[Section 31AX inserted by No. 68 of 2004 s. 76.]</w:t>
      </w:r>
    </w:p>
    <w:p>
      <w:pPr>
        <w:pStyle w:val="Heading4"/>
      </w:pPr>
      <w:bookmarkStart w:id="92" w:name="_Toc192041103"/>
      <w:r>
        <w:t>Subdivision 7 — Review of improvement notices and prohibition notices</w:t>
      </w:r>
      <w:bookmarkEnd w:id="92"/>
    </w:p>
    <w:p>
      <w:pPr>
        <w:pStyle w:val="Footnoteheading"/>
      </w:pPr>
      <w:r>
        <w:tab/>
        <w:t xml:space="preserve">[Heading inserted by No. 68 of 2004 s. 76.] </w:t>
      </w:r>
    </w:p>
    <w:p>
      <w:pPr>
        <w:pStyle w:val="Heading5"/>
      </w:pPr>
      <w:bookmarkStart w:id="93" w:name="_Toc192041104"/>
      <w:r>
        <w:rPr>
          <w:rStyle w:val="CharSectno"/>
        </w:rPr>
        <w:t>31AY</w:t>
      </w:r>
      <w:r>
        <w:t>.</w:t>
      </w:r>
      <w:r>
        <w:tab/>
        <w:t>Notice may be referred for review</w:t>
      </w:r>
      <w:bookmarkEnd w:id="93"/>
    </w:p>
    <w:p>
      <w:pPr>
        <w:pStyle w:val="Subsection"/>
        <w:spacing w:before="120"/>
      </w:pPr>
      <w:r>
        <w:tab/>
        <w:t>(1)</w:t>
      </w:r>
      <w:r>
        <w:tab/>
        <w:t>An improvement notice or prohibition notice issued in relation to a mine may, in accordance with subsection (3), be referred to the State mining engineer for review.</w:t>
      </w:r>
    </w:p>
    <w:p>
      <w:pPr>
        <w:pStyle w:val="Subsection"/>
        <w:spacing w:before="120"/>
      </w:pPr>
      <w:r>
        <w:tab/>
        <w:t>(2)</w:t>
      </w:r>
      <w:r>
        <w:tab/>
        <w:t xml:space="preserve">A referral may be made by — </w:t>
      </w:r>
    </w:p>
    <w:p>
      <w:pPr>
        <w:pStyle w:val="Indenta"/>
      </w:pPr>
      <w:r>
        <w:tab/>
        <w:t>(a)</w:t>
      </w:r>
      <w:r>
        <w:tab/>
        <w:t xml:space="preserve">a person issued with the notice; or </w:t>
      </w:r>
    </w:p>
    <w:p>
      <w:pPr>
        <w:pStyle w:val="Indenta"/>
      </w:pPr>
      <w:r>
        <w:tab/>
        <w:t>(b)</w:t>
      </w:r>
      <w:r>
        <w:tab/>
        <w:t>the principal employer at, or the manager of, the mine.</w:t>
      </w:r>
    </w:p>
    <w:p>
      <w:pPr>
        <w:pStyle w:val="Subsection"/>
        <w:spacing w:before="120"/>
      </w:pPr>
      <w:r>
        <w:tab/>
        <w:t>(3)</w:t>
      </w:r>
      <w:r>
        <w:tab/>
        <w:t xml:space="preserve">A reference under subsection (1) may be made only in the prescribed form duly completed and — </w:t>
      </w:r>
    </w:p>
    <w:p>
      <w:pPr>
        <w:pStyle w:val="Indenta"/>
      </w:pPr>
      <w:r>
        <w:tab/>
        <w:t>(a)</w:t>
      </w:r>
      <w:r>
        <w:tab/>
        <w:t>in the case of an improvement notice, must be made within the time specified in the notice as the time before which the notice is required to be complied with; or</w:t>
      </w:r>
    </w:p>
    <w:p>
      <w:pPr>
        <w:pStyle w:val="Indenta"/>
      </w:pPr>
      <w:r>
        <w:tab/>
        <w:t>(b)</w:t>
      </w:r>
      <w:r>
        <w:tab/>
        <w:t xml:space="preserve">in the case of a prohibition notice must be made — </w:t>
      </w:r>
    </w:p>
    <w:p>
      <w:pPr>
        <w:pStyle w:val="Indenti"/>
      </w:pPr>
      <w:r>
        <w:tab/>
        <w:t>(i)</w:t>
      </w:r>
      <w:r>
        <w:tab/>
        <w:t>not later than 7 days after the day on which the notice was issued; or</w:t>
      </w:r>
    </w:p>
    <w:p>
      <w:pPr>
        <w:pStyle w:val="Indenti"/>
      </w:pPr>
      <w:r>
        <w:tab/>
        <w:t>(ii)</w:t>
      </w:r>
      <w:r>
        <w:tab/>
        <w:t>within such further period as the State mining engineer may allow.</w:t>
      </w:r>
    </w:p>
    <w:p>
      <w:pPr>
        <w:pStyle w:val="Subsection"/>
        <w:spacing w:before="120"/>
      </w:pPr>
      <w:r>
        <w:tab/>
        <w:t>(4)</w:t>
      </w:r>
      <w:r>
        <w:tab/>
        <w:t>A person, other than the manager of a mine concerned, that refers a notice for review must, as soon as is practicable, give a copy of the duly completed prescribed form to such manager.</w:t>
      </w:r>
    </w:p>
    <w:p>
      <w:pPr>
        <w:pStyle w:val="Subsection"/>
        <w:spacing w:before="120"/>
      </w:pPr>
      <w:r>
        <w:tab/>
        <w:t>(5)</w:t>
      </w:r>
      <w:r>
        <w:tab/>
        <w:t>If a person fails to comply with subsection (4), the person commits an offence.</w:t>
      </w:r>
    </w:p>
    <w:p>
      <w:pPr>
        <w:pStyle w:val="Footnotesection"/>
      </w:pPr>
      <w:r>
        <w:tab/>
        <w:t>[Section 31AY inserted by No. 68 of 2004 s. 76.]</w:t>
      </w:r>
    </w:p>
    <w:p>
      <w:pPr>
        <w:pStyle w:val="Heading5"/>
      </w:pPr>
      <w:bookmarkStart w:id="94" w:name="_Toc192041105"/>
      <w:r>
        <w:rPr>
          <w:rStyle w:val="CharSectno"/>
        </w:rPr>
        <w:t>31AZ</w:t>
      </w:r>
      <w:r>
        <w:t>.</w:t>
      </w:r>
      <w:r>
        <w:tab/>
        <w:t>Review by State mining engineer</w:t>
      </w:r>
      <w:bookmarkEnd w:id="94"/>
    </w:p>
    <w:p>
      <w:pPr>
        <w:pStyle w:val="Subsection"/>
      </w:pPr>
      <w:r>
        <w:tab/>
        <w:t>(1)</w:t>
      </w:r>
      <w:r>
        <w:tab/>
        <w:t xml:space="preserve">On a reference under section 31AY, the State mining engineer is to inquire into the circumstances relating to the improvement notice or prohibition notice, and may — </w:t>
      </w:r>
    </w:p>
    <w:p>
      <w:pPr>
        <w:pStyle w:val="Indenta"/>
      </w:pPr>
      <w:r>
        <w:tab/>
        <w:t>(a)</w:t>
      </w:r>
      <w:r>
        <w:tab/>
        <w:t>affirm the notice;</w:t>
      </w:r>
    </w:p>
    <w:p>
      <w:pPr>
        <w:pStyle w:val="Indenta"/>
      </w:pPr>
      <w:r>
        <w:tab/>
        <w:t>(b)</w:t>
      </w:r>
      <w:r>
        <w:tab/>
        <w:t>affirm the notice with such modifications as the State mining engineer considers appropriate; or</w:t>
      </w:r>
    </w:p>
    <w:p>
      <w:pPr>
        <w:pStyle w:val="Indenta"/>
      </w:pPr>
      <w:r>
        <w:tab/>
        <w:t>(c)</w:t>
      </w:r>
      <w:r>
        <w:tab/>
        <w:t>cancel the notice,</w:t>
      </w:r>
    </w:p>
    <w:p>
      <w:pPr>
        <w:pStyle w:val="Subsection"/>
      </w:pPr>
      <w:r>
        <w:tab/>
      </w:r>
      <w:r>
        <w:tab/>
        <w:t>and, subject to section 31BB and the exercise of the power conferred by section 31BE, the notice has effect or, as the case may be, ceases to have effect accordingly.</w:t>
      </w:r>
    </w:p>
    <w:p>
      <w:pPr>
        <w:pStyle w:val="Subsection"/>
      </w:pPr>
      <w:r>
        <w:tab/>
        <w:t>(2)</w:t>
      </w:r>
      <w:r>
        <w:tab/>
        <w:t xml:space="preserve">In dealing with a reference for the review of a prohibition notice the State mining engineer may — </w:t>
      </w:r>
    </w:p>
    <w:p>
      <w:pPr>
        <w:pStyle w:val="Indenta"/>
      </w:pPr>
      <w:r>
        <w:tab/>
        <w:t>(a)</w:t>
      </w:r>
      <w:r>
        <w:tab/>
        <w:t>refer to an expert chosen by the State mining engineer such matters as appear to him or her to be appropriate; and</w:t>
      </w:r>
    </w:p>
    <w:p>
      <w:pPr>
        <w:pStyle w:val="Indenta"/>
      </w:pPr>
      <w:r>
        <w:tab/>
        <w:t>(b)</w:t>
      </w:r>
      <w:r>
        <w:tab/>
        <w:t>accept the advice of that expert.</w:t>
      </w:r>
    </w:p>
    <w:p>
      <w:pPr>
        <w:pStyle w:val="Subsection"/>
      </w:pPr>
      <w:r>
        <w:tab/>
        <w:t>(3)</w:t>
      </w:r>
      <w:r>
        <w:tab/>
        <w:t xml:space="preserve">The State mining engineer is to give notice in writing of — </w:t>
      </w:r>
    </w:p>
    <w:p>
      <w:pPr>
        <w:pStyle w:val="Indenta"/>
      </w:pPr>
      <w:r>
        <w:tab/>
        <w:t>(a)</w:t>
      </w:r>
      <w:r>
        <w:tab/>
        <w:t>the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notice for review; and</w:t>
      </w:r>
    </w:p>
    <w:p>
      <w:pPr>
        <w:pStyle w:val="Indenta"/>
      </w:pPr>
      <w:r>
        <w:tab/>
        <w:t>(d)</w:t>
      </w:r>
      <w:r>
        <w:tab/>
        <w:t>if that person is not the manager of a mine concerned, to such manager.</w:t>
      </w:r>
    </w:p>
    <w:p>
      <w:pPr>
        <w:pStyle w:val="Footnotesection"/>
      </w:pPr>
      <w:r>
        <w:tab/>
        <w:t>[Section 31AZ inserted by No. 68 of 2004 s. 76.]</w:t>
      </w:r>
    </w:p>
    <w:p>
      <w:pPr>
        <w:pStyle w:val="Heading5"/>
      </w:pPr>
      <w:bookmarkStart w:id="95" w:name="_Toc192041106"/>
      <w:r>
        <w:rPr>
          <w:rStyle w:val="CharSectno"/>
        </w:rPr>
        <w:t>31B</w:t>
      </w:r>
      <w:r>
        <w:t>.</w:t>
      </w:r>
      <w:r>
        <w:tab/>
        <w:t>Effect of notice pending review by State mining engineer</w:t>
      </w:r>
      <w:bookmarkEnd w:id="95"/>
    </w:p>
    <w:p>
      <w:pPr>
        <w:pStyle w:val="Subsection"/>
      </w:pPr>
      <w:r>
        <w:tab/>
        <w:t>(1)</w:t>
      </w:r>
      <w:r>
        <w:tab/>
        <w:t xml:space="preserve">Pending the decision of the State mining engineer on a reference under section 31AY — </w:t>
      </w:r>
    </w:p>
    <w:p>
      <w:pPr>
        <w:pStyle w:val="Indenta"/>
      </w:pPr>
      <w:r>
        <w:tab/>
        <w:t>(a)</w:t>
      </w:r>
      <w:r>
        <w:tab/>
        <w:t>the operation of an improvement notice is suspended; and</w:t>
      </w:r>
    </w:p>
    <w:p>
      <w:pPr>
        <w:pStyle w:val="Indenta"/>
        <w:rPr>
          <w:b/>
          <w:i/>
          <w:sz w:val="20"/>
        </w:rPr>
      </w:pPr>
      <w:r>
        <w:tab/>
        <w:t>(b)</w:t>
      </w:r>
      <w:r>
        <w:tab/>
        <w:t>the operation of a prohibition notice continues, except to the extent that the State mining engineer</w:t>
      </w:r>
      <w:r>
        <w:rPr>
          <w:b/>
          <w:i/>
          <w:sz w:val="20"/>
        </w:rPr>
        <w:t xml:space="preserve">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State mining engineer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State mining engineer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 xml:space="preserve">is to be </w:t>
      </w:r>
      <w:r>
        <w:t>taken</w:t>
      </w:r>
      <w:r>
        <w:rPr>
          <w:snapToGrid w:val="0"/>
        </w:rPr>
        <w:t xml:space="preserve"> to be of no effect during any period when any such condition or restriction is not being observed according to its tenor.</w:t>
      </w:r>
    </w:p>
    <w:p>
      <w:pPr>
        <w:pStyle w:val="Subsection"/>
      </w:pPr>
      <w:r>
        <w:tab/>
        <w:t>(3)</w:t>
      </w:r>
      <w:r>
        <w:tab/>
        <w:t>The State mining engineer is to give a copy of any permission given under subsection (1)(b) to the manager of a mine concerned.</w:t>
      </w:r>
    </w:p>
    <w:p>
      <w:pPr>
        <w:pStyle w:val="Footnotesection"/>
      </w:pPr>
      <w:r>
        <w:tab/>
        <w:t>[Section 31B inserted by No. 68 of 2004 s. 76.]</w:t>
      </w:r>
    </w:p>
    <w:p>
      <w:pPr>
        <w:pStyle w:val="Heading5"/>
      </w:pPr>
      <w:bookmarkStart w:id="96" w:name="_Toc192041107"/>
      <w:r>
        <w:rPr>
          <w:rStyle w:val="CharSectno"/>
        </w:rPr>
        <w:t>31BA</w:t>
      </w:r>
      <w:r>
        <w:t>.</w:t>
      </w:r>
      <w:r>
        <w:tab/>
        <w:t>Decision may be referred to Tribunal</w:t>
      </w:r>
      <w:bookmarkEnd w:id="96"/>
    </w:p>
    <w:p>
      <w:pPr>
        <w:pStyle w:val="Subsection"/>
      </w:pPr>
      <w:r>
        <w:tab/>
        <w:t>(1)</w:t>
      </w:r>
      <w:r>
        <w:tab/>
        <w:t>If a person given notice of a decision under section 31AZ(3) is not satisfied with the State mining engineer’s decision under that section, the person may refer the matter to the Tribunal for further review.</w:t>
      </w:r>
    </w:p>
    <w:p>
      <w:pPr>
        <w:pStyle w:val="Subsection"/>
      </w:pPr>
      <w:r>
        <w:tab/>
        <w:t>(2)</w:t>
      </w:r>
      <w:r>
        <w:tab/>
        <w:t xml:space="preserve">A reference under subsection (1) — </w:t>
      </w:r>
    </w:p>
    <w:p>
      <w:pPr>
        <w:pStyle w:val="Indenta"/>
      </w:pPr>
      <w:r>
        <w:tab/>
        <w:t>(a)</w:t>
      </w:r>
      <w:r>
        <w:tab/>
        <w:t>may only be made in the prescribed form duly completed; and</w:t>
      </w:r>
    </w:p>
    <w:p>
      <w:pPr>
        <w:pStyle w:val="Indenta"/>
      </w:pPr>
      <w:r>
        <w:tab/>
        <w:t>(b)</w:t>
      </w:r>
      <w:r>
        <w:tab/>
        <w:t xml:space="preserve">must be made — </w:t>
      </w:r>
    </w:p>
    <w:p>
      <w:pPr>
        <w:pStyle w:val="Indenti"/>
      </w:pPr>
      <w:r>
        <w:tab/>
        <w:t>(i)</w:t>
      </w:r>
      <w:r>
        <w:tab/>
        <w:t>not later than 7 days after the day on which the person received notice of the decision; or</w:t>
      </w:r>
    </w:p>
    <w:p>
      <w:pPr>
        <w:pStyle w:val="Indenti"/>
      </w:pPr>
      <w:r>
        <w:tab/>
        <w:t>(ii)</w:t>
      </w:r>
      <w:r>
        <w:tab/>
        <w:t>within such further period as the Tribunal may allow.</w:t>
      </w:r>
    </w:p>
    <w:p>
      <w:pPr>
        <w:pStyle w:val="Subsection"/>
      </w:pPr>
      <w:r>
        <w:tab/>
        <w:t>(3)</w:t>
      </w:r>
      <w:r>
        <w:tab/>
        <w:t>A person, other than the manager of a mine concerned, who refers a matter for review under this section must, as soon as is practicable, give a copy of the duly completed prescribed form to such manager.</w:t>
      </w:r>
    </w:p>
    <w:p>
      <w:pPr>
        <w:pStyle w:val="Subsection"/>
      </w:pPr>
      <w:r>
        <w:tab/>
        <w:t>(4)</w:t>
      </w:r>
      <w:r>
        <w:tab/>
        <w:t>If a person fails to comply with subsection (3), the person commits an offence.</w:t>
      </w:r>
    </w:p>
    <w:p>
      <w:pPr>
        <w:pStyle w:val="Footnotesection"/>
      </w:pPr>
      <w:r>
        <w:tab/>
        <w:t>[Section 31BA inserted by No. 68 of 2004 s. 76.]</w:t>
      </w:r>
    </w:p>
    <w:p>
      <w:pPr>
        <w:pStyle w:val="Heading5"/>
      </w:pPr>
      <w:bookmarkStart w:id="97" w:name="_Toc192041108"/>
      <w:r>
        <w:rPr>
          <w:rStyle w:val="CharSectno"/>
        </w:rPr>
        <w:t>31BB</w:t>
      </w:r>
      <w:r>
        <w:t>.</w:t>
      </w:r>
      <w:r>
        <w:tab/>
        <w:t>Determination by Tribunal</w:t>
      </w:r>
      <w:bookmarkEnd w:id="97"/>
    </w:p>
    <w:p>
      <w:pPr>
        <w:pStyle w:val="Subsection"/>
      </w:pPr>
      <w:r>
        <w:tab/>
        <w:t>(1)</w:t>
      </w:r>
      <w:r>
        <w:tab/>
        <w:t xml:space="preserve">On a reference under section 31BA, the Tribunal is to inquire into the circumstances relating to the improvement notice or prohibition notice, and may — </w:t>
      </w:r>
    </w:p>
    <w:p>
      <w:pPr>
        <w:pStyle w:val="Indenta"/>
      </w:pPr>
      <w:r>
        <w:tab/>
        <w:t>(a)</w:t>
      </w:r>
      <w:r>
        <w:tab/>
        <w:t>affirm the decision of the State mining engineer;</w:t>
      </w:r>
    </w:p>
    <w:p>
      <w:pPr>
        <w:pStyle w:val="Indenta"/>
      </w:pPr>
      <w:r>
        <w:tab/>
        <w:t>(b)</w:t>
      </w:r>
      <w:r>
        <w:tab/>
        <w:t>affirm the decision of the State mining engineer with such modifications as the Tribunal considers appropriate; or</w:t>
      </w:r>
    </w:p>
    <w:p>
      <w:pPr>
        <w:pStyle w:val="Indenta"/>
      </w:pPr>
      <w:r>
        <w:tab/>
        <w:t>(c)</w:t>
      </w:r>
      <w:r>
        <w:tab/>
        <w:t>revoke the decision of the State mining engineer and make such other decision with respect to the notice as the Tribunal thinks fit,</w:t>
      </w:r>
    </w:p>
    <w:p>
      <w:pPr>
        <w:pStyle w:val="Subsection"/>
      </w:pPr>
      <w:r>
        <w:tab/>
      </w:r>
      <w:r>
        <w:tab/>
        <w:t>and the notice has effect or, as the case may be, ceases to have effect accordingly.</w:t>
      </w:r>
    </w:p>
    <w:p>
      <w:pPr>
        <w:pStyle w:val="Subsection"/>
        <w:keepNext/>
      </w:pPr>
      <w:r>
        <w:tab/>
        <w:t>(2)</w:t>
      </w:r>
      <w:r>
        <w:tab/>
        <w:t xml:space="preserve">A review under this section — </w:t>
      </w:r>
    </w:p>
    <w:p>
      <w:pPr>
        <w:pStyle w:val="Indenta"/>
        <w:keepNext/>
      </w:pPr>
      <w:r>
        <w:tab/>
        <w:t>(a)</w:t>
      </w:r>
      <w:r>
        <w:tab/>
        <w:t>is to be in the nature of a rehearing; and</w:t>
      </w:r>
    </w:p>
    <w:p>
      <w:pPr>
        <w:pStyle w:val="Indenta"/>
      </w:pPr>
      <w:r>
        <w:tab/>
        <w:t>(b)</w:t>
      </w:r>
      <w:r>
        <w:tab/>
        <w:t>is to be completed by the Tribunal as quickly as is practicable.</w:t>
      </w:r>
    </w:p>
    <w:p>
      <w:pPr>
        <w:pStyle w:val="Subsection"/>
      </w:pPr>
      <w:r>
        <w:tab/>
        <w:t>(3)</w:t>
      </w:r>
      <w:r>
        <w:tab/>
        <w:t xml:space="preserve">The Tribunal is to give notice in writing of — </w:t>
      </w:r>
    </w:p>
    <w:p>
      <w:pPr>
        <w:pStyle w:val="Indenta"/>
      </w:pPr>
      <w:r>
        <w:tab/>
        <w:t>(a)</w:t>
      </w:r>
      <w:r>
        <w:tab/>
        <w:t>its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matter for review; and</w:t>
      </w:r>
    </w:p>
    <w:p>
      <w:pPr>
        <w:pStyle w:val="Indenta"/>
      </w:pPr>
      <w:r>
        <w:tab/>
        <w:t>(d)</w:t>
      </w:r>
      <w:r>
        <w:tab/>
        <w:t>if that person is not the manager of a mine concerned, to such manager.</w:t>
      </w:r>
    </w:p>
    <w:p>
      <w:pPr>
        <w:pStyle w:val="Footnotesection"/>
      </w:pPr>
      <w:r>
        <w:tab/>
        <w:t>[Section 31BB inserted by No. 68 of 2004 s. 76.]</w:t>
      </w:r>
    </w:p>
    <w:p>
      <w:pPr>
        <w:pStyle w:val="Heading5"/>
      </w:pPr>
      <w:bookmarkStart w:id="98" w:name="_Toc192041109"/>
      <w:r>
        <w:rPr>
          <w:rStyle w:val="CharSectno"/>
        </w:rPr>
        <w:t>31BC</w:t>
      </w:r>
      <w:r>
        <w:t>.</w:t>
      </w:r>
      <w:r>
        <w:tab/>
        <w:t>Effect of notice pending review by Tribunal</w:t>
      </w:r>
      <w:bookmarkEnd w:id="98"/>
    </w:p>
    <w:p>
      <w:pPr>
        <w:pStyle w:val="Subsection"/>
      </w:pPr>
      <w:r>
        <w:tab/>
        <w:t>(1)</w:t>
      </w:r>
      <w:r>
        <w:tab/>
        <w:t xml:space="preserve">Pending the decision on a reference under section 31BA, irrespective of the decision of the State mining engineer under section 31AZ — </w:t>
      </w:r>
    </w:p>
    <w:p>
      <w:pPr>
        <w:pStyle w:val="Indenta"/>
      </w:pPr>
      <w:r>
        <w:tab/>
        <w:t>(a)</w:t>
      </w:r>
      <w:r>
        <w:tab/>
        <w:t>the operation of an improvement notice is suspended; and</w:t>
      </w:r>
    </w:p>
    <w:p>
      <w:pPr>
        <w:pStyle w:val="Indenta"/>
      </w:pPr>
      <w:r>
        <w:tab/>
        <w:t>(b)</w:t>
      </w:r>
      <w:r>
        <w:tab/>
        <w:t xml:space="preserve">the operation of a prohibition notice continues, except to the extent that the Tribunal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Tribunal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Tribunal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is to be taken to be of no effect during any period when any such condition or restriction is not being observed according to its tenor.</w:t>
      </w:r>
    </w:p>
    <w:p>
      <w:pPr>
        <w:pStyle w:val="Subsection"/>
      </w:pPr>
      <w:r>
        <w:tab/>
        <w:t>(3)</w:t>
      </w:r>
      <w:r>
        <w:tab/>
        <w:t>The Tribunal is to give a copy of any permission given under subsection (1)(b) to the manager of a mine concerned.</w:t>
      </w:r>
    </w:p>
    <w:p>
      <w:pPr>
        <w:pStyle w:val="Footnotesection"/>
      </w:pPr>
      <w:r>
        <w:tab/>
        <w:t>[Section 31BC inserted by No. 68 of 2004 s. 76.]</w:t>
      </w:r>
    </w:p>
    <w:p>
      <w:pPr>
        <w:pStyle w:val="Heading4"/>
      </w:pPr>
      <w:bookmarkStart w:id="99" w:name="_Toc192041110"/>
      <w:r>
        <w:t>Subdivision 8 — General</w:t>
      </w:r>
      <w:bookmarkEnd w:id="99"/>
    </w:p>
    <w:p>
      <w:pPr>
        <w:pStyle w:val="Footnoteheading"/>
      </w:pPr>
      <w:r>
        <w:tab/>
        <w:t xml:space="preserve">[Heading inserted by No. 68 of 2004 s. 76.] </w:t>
      </w:r>
    </w:p>
    <w:p>
      <w:pPr>
        <w:pStyle w:val="Heading5"/>
      </w:pPr>
      <w:bookmarkStart w:id="100" w:name="_Toc192041111"/>
      <w:r>
        <w:rPr>
          <w:rStyle w:val="CharSectno"/>
        </w:rPr>
        <w:t>31BD</w:t>
      </w:r>
      <w:r>
        <w:t>.</w:t>
      </w:r>
      <w:r>
        <w:tab/>
        <w:t>Notices may include directions</w:t>
      </w:r>
      <w:bookmarkEnd w:id="100"/>
    </w:p>
    <w:p>
      <w:pPr>
        <w:pStyle w:val="Subsection"/>
      </w:pPr>
      <w:r>
        <w:tab/>
        <w:t>(1)</w:t>
      </w:r>
      <w:r>
        <w:tab/>
        <w:t>An inspector or assistant inspector who issues an improvement notice or a prohibition notice may include in the notice directions as to the measures to be taken to remedy any contravention, likely contravention, hazard, matters or activities to which the notice relates.</w:t>
      </w:r>
    </w:p>
    <w:p>
      <w:pPr>
        <w:pStyle w:val="Subsection"/>
      </w:pPr>
      <w:r>
        <w:tab/>
        <w:t>(2)</w:t>
      </w:r>
      <w:r>
        <w:tab/>
        <w:t xml:space="preserve">A direction under subsection (1) may — </w:t>
      </w:r>
    </w:p>
    <w:p>
      <w:pPr>
        <w:pStyle w:val="Indenta"/>
      </w:pPr>
      <w:r>
        <w:tab/>
        <w:t>(a)</w:t>
      </w:r>
      <w:r>
        <w:tab/>
        <w:t>refer to any code of practice; and</w:t>
      </w:r>
    </w:p>
    <w:p>
      <w:pPr>
        <w:pStyle w:val="Indenta"/>
      </w:pPr>
      <w:r>
        <w:tab/>
        <w:t>(b)</w:t>
      </w:r>
      <w:r>
        <w:tab/>
        <w:t>offer the person issued with the notice a choice of ways in which to remedy the contravention, likely contravention, hazard, matters or activities to which the notice relates.</w:t>
      </w:r>
    </w:p>
    <w:p>
      <w:pPr>
        <w:pStyle w:val="Footnotesection"/>
      </w:pPr>
      <w:r>
        <w:tab/>
        <w:t>[Section 31BD inserted by No. 68 of 2004 s. 76.]</w:t>
      </w:r>
    </w:p>
    <w:p>
      <w:pPr>
        <w:pStyle w:val="Heading5"/>
      </w:pPr>
      <w:bookmarkStart w:id="101" w:name="_Toc192041112"/>
      <w:r>
        <w:rPr>
          <w:rStyle w:val="CharSectno"/>
        </w:rPr>
        <w:t>31BE</w:t>
      </w:r>
      <w:r>
        <w:t>.</w:t>
      </w:r>
      <w:r>
        <w:tab/>
        <w:t>Further power of State mining engineer to cancel notice</w:t>
      </w:r>
      <w:bookmarkEnd w:id="101"/>
    </w:p>
    <w:p>
      <w:pPr>
        <w:pStyle w:val="Subsection"/>
      </w:pPr>
      <w:r>
        <w:tab/>
        <w:t>(1)</w:t>
      </w:r>
      <w:r>
        <w:tab/>
        <w:t xml:space="preserve">The State mining engineer may, on his or her own initiative, cancel an improvement notice or a prohibition notice in respect of a mine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pPr>
      <w:r>
        <w:tab/>
      </w:r>
      <w:r>
        <w:tab/>
        <w:t xml:space="preserve">to — </w:t>
      </w:r>
    </w:p>
    <w:p>
      <w:pPr>
        <w:pStyle w:val="Indenta"/>
      </w:pPr>
      <w:r>
        <w:tab/>
        <w:t>(c)</w:t>
      </w:r>
      <w:r>
        <w:tab/>
        <w:t>the person who was issued with the notice;</w:t>
      </w:r>
    </w:p>
    <w:p>
      <w:pPr>
        <w:pStyle w:val="Indenta"/>
      </w:pPr>
      <w:r>
        <w:tab/>
        <w:t>(d)</w:t>
      </w:r>
      <w:r>
        <w:tab/>
        <w:t>the principal employer at a mine if the principal employer is not the person referred to in paragraph (c); and</w:t>
      </w:r>
    </w:p>
    <w:p>
      <w:pPr>
        <w:pStyle w:val="Indenta"/>
      </w:pPr>
      <w:r>
        <w:tab/>
        <w:t>(e)</w:t>
      </w:r>
      <w:r>
        <w:tab/>
        <w:t>the manager of the mine if the manager is not the person referred to in paragraph (c).</w:t>
      </w:r>
    </w:p>
    <w:p>
      <w:pPr>
        <w:pStyle w:val="Subsection"/>
      </w:pPr>
      <w:r>
        <w:tab/>
        <w:t>(2)</w:t>
      </w:r>
      <w:r>
        <w:tab/>
        <w:t xml:space="preserve">The State mining engineer may, on his or her own initiative, cancel a prohibition notice issued under section 31AH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pPr>
      <w:r>
        <w:tab/>
      </w:r>
      <w:r>
        <w:tab/>
        <w:t>to the employer and the employee concerned.</w:t>
      </w:r>
    </w:p>
    <w:p>
      <w:pPr>
        <w:pStyle w:val="Subsection"/>
      </w:pPr>
      <w:r>
        <w:tab/>
        <w:t>(3)</w:t>
      </w:r>
      <w:r>
        <w:tab/>
        <w:t xml:space="preserve">The power conferred by subsection (1) or (2) is not to be exercised in respect of a notice — </w:t>
      </w:r>
    </w:p>
    <w:p>
      <w:pPr>
        <w:pStyle w:val="Indenta"/>
      </w:pPr>
      <w:r>
        <w:tab/>
        <w:t>(a)</w:t>
      </w:r>
      <w:r>
        <w:tab/>
        <w:t>during a period when a referral of the notice is awaiting a determination of the State mining engineer under section 31AZ; or</w:t>
      </w:r>
    </w:p>
    <w:p>
      <w:pPr>
        <w:pStyle w:val="Indenta"/>
      </w:pPr>
      <w:r>
        <w:tab/>
        <w:t>(b)</w:t>
      </w:r>
      <w:r>
        <w:tab/>
        <w:t>after a decision in respect of the notice has been referred to the Tribunal under section 31BA,</w:t>
      </w:r>
    </w:p>
    <w:p>
      <w:pPr>
        <w:pStyle w:val="Subsection"/>
      </w:pPr>
      <w:r>
        <w:tab/>
      </w:r>
      <w:r>
        <w:tab/>
        <w:t>but otherwise may be exercised at any time and whether or not the notice concerned has been affirmed under section 31AZ(1).</w:t>
      </w:r>
    </w:p>
    <w:p>
      <w:pPr>
        <w:pStyle w:val="Footnotesection"/>
      </w:pPr>
      <w:r>
        <w:tab/>
        <w:t>[Section 31BE inserted by No. 68 of 2004 s. 76.]</w:t>
      </w:r>
    </w:p>
    <w:p>
      <w:pPr>
        <w:pStyle w:val="Heading3"/>
      </w:pPr>
      <w:bookmarkStart w:id="102" w:name="_Toc192041113"/>
      <w:r>
        <w:rPr>
          <w:rStyle w:val="CharDivNo"/>
        </w:rPr>
        <w:t>Division 4</w:t>
      </w:r>
      <w:r>
        <w:t> — </w:t>
      </w:r>
      <w:r>
        <w:rPr>
          <w:rStyle w:val="CharDivText"/>
        </w:rPr>
        <w:t>Issue of provisional improvement notices by safety and health representative</w:t>
      </w:r>
      <w:bookmarkEnd w:id="102"/>
    </w:p>
    <w:p>
      <w:pPr>
        <w:pStyle w:val="Footnoteheading"/>
      </w:pPr>
      <w:r>
        <w:tab/>
        <w:t xml:space="preserve">[Heading inserted by No. 68 of 2004 s. 76.] </w:t>
      </w:r>
    </w:p>
    <w:p>
      <w:pPr>
        <w:pStyle w:val="Heading5"/>
      </w:pPr>
      <w:bookmarkStart w:id="103" w:name="_Toc192041114"/>
      <w:r>
        <w:rPr>
          <w:rStyle w:val="CharSectno"/>
        </w:rPr>
        <w:t>31BF</w:t>
      </w:r>
      <w:r>
        <w:t>.</w:t>
      </w:r>
      <w:r>
        <w:tab/>
        <w:t>Definition</w:t>
      </w:r>
      <w:bookmarkEnd w:id="103"/>
    </w:p>
    <w:p>
      <w:pPr>
        <w:pStyle w:val="Subsection"/>
      </w:pPr>
      <w:r>
        <w:tab/>
      </w:r>
      <w:r>
        <w:tab/>
        <w:t xml:space="preserve">In this Division — </w:t>
      </w:r>
    </w:p>
    <w:p>
      <w:pPr>
        <w:pStyle w:val="Defstart"/>
      </w:pPr>
      <w:r>
        <w:rPr>
          <w:b/>
        </w:rPr>
        <w:tab/>
        <w:t>“</w:t>
      </w:r>
      <w:r>
        <w:rPr>
          <w:rStyle w:val="CharDefText"/>
        </w:rPr>
        <w:t>qualified representative</w:t>
      </w:r>
      <w:r>
        <w:rPr>
          <w:b/>
        </w:rPr>
        <w:t>”</w:t>
      </w:r>
      <w:r>
        <w:t xml:space="preserve"> means a safety and health representative who has completed a course of training prescribed for the purposes of this definition.</w:t>
      </w:r>
    </w:p>
    <w:p>
      <w:pPr>
        <w:pStyle w:val="Footnotesection"/>
      </w:pPr>
      <w:r>
        <w:tab/>
        <w:t>[Section 31BF inserted by No. 68 of 2004 s. 76.]</w:t>
      </w:r>
    </w:p>
    <w:p>
      <w:pPr>
        <w:pStyle w:val="Heading5"/>
      </w:pPr>
      <w:bookmarkStart w:id="104" w:name="_Toc192041115"/>
      <w:r>
        <w:rPr>
          <w:rStyle w:val="CharSectno"/>
        </w:rPr>
        <w:t>31BG</w:t>
      </w:r>
      <w:r>
        <w:t>.</w:t>
      </w:r>
      <w:r>
        <w:tab/>
        <w:t>Issue of provisional improvement notices</w:t>
      </w:r>
      <w:bookmarkEnd w:id="104"/>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any provision of this Act; or</w:t>
      </w:r>
    </w:p>
    <w:p>
      <w:pPr>
        <w:pStyle w:val="Indenti"/>
      </w:pPr>
      <w:r>
        <w:tab/>
        <w:t>(ii)</w:t>
      </w:r>
      <w:r>
        <w:tab/>
        <w:t>has contravened any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31BH.</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mine for which the qualified representative was elected; or</w:t>
      </w:r>
    </w:p>
    <w:p>
      <w:pPr>
        <w:pStyle w:val="Indenta"/>
      </w:pPr>
      <w:r>
        <w:tab/>
        <w:t>(b)</w:t>
      </w:r>
      <w:r>
        <w:tab/>
        <w:t>if, pursuant to a scheme under section 55A, the qualified representative was elected for a group of employees, in respect of a mine at which any member of the group works.</w:t>
      </w:r>
    </w:p>
    <w:p>
      <w:pPr>
        <w:pStyle w:val="Subsection"/>
      </w:pPr>
      <w:r>
        <w:tab/>
        <w:t>(4)</w:t>
      </w:r>
      <w:r>
        <w:tab/>
        <w:t xml:space="preserve">The issue of a provisional improvement notice in respect of a contravention at a mine is to be notified as follows — </w:t>
      </w:r>
    </w:p>
    <w:p>
      <w:pPr>
        <w:pStyle w:val="Indenta"/>
      </w:pPr>
      <w:r>
        <w:tab/>
        <w:t>(a)</w:t>
      </w:r>
      <w:r>
        <w:tab/>
        <w:t>if the manager of the mine is not the person to whom the notice is issued, the qualified representative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provisional improvement notice issued to the manager.</w:t>
      </w:r>
    </w:p>
    <w:p>
      <w:pPr>
        <w:pStyle w:val="Subsection"/>
      </w:pPr>
      <w:r>
        <w:tab/>
        <w:t>(5)</w:t>
      </w:r>
      <w:r>
        <w:tab/>
        <w:t>A manager who fails to comply with subsection (4)(b) or (c) commits an offence.</w:t>
      </w:r>
    </w:p>
    <w:p>
      <w:pPr>
        <w:pStyle w:val="Footnotesection"/>
      </w:pPr>
      <w:r>
        <w:tab/>
        <w:t>[Section 31BG inserted by No. 68 of 2004 s. 76.]</w:t>
      </w:r>
    </w:p>
    <w:p>
      <w:pPr>
        <w:pStyle w:val="Heading5"/>
      </w:pPr>
      <w:bookmarkStart w:id="105" w:name="_Toc192041116"/>
      <w:r>
        <w:rPr>
          <w:rStyle w:val="CharSectno"/>
        </w:rPr>
        <w:t>31BH</w:t>
      </w:r>
      <w:r>
        <w:t>.</w:t>
      </w:r>
      <w:r>
        <w:tab/>
        <w:t>Consultation required before issue</w:t>
      </w:r>
      <w:bookmarkEnd w:id="105"/>
    </w:p>
    <w:p>
      <w:pPr>
        <w:pStyle w:val="Subsection"/>
      </w:pPr>
      <w:r>
        <w:tab/>
        <w:t>(1)</w:t>
      </w:r>
      <w:r>
        <w:tab/>
        <w:t xml:space="preserve">In this section — </w:t>
      </w:r>
    </w:p>
    <w:p>
      <w:pPr>
        <w:pStyle w:val="Defstart"/>
      </w:pPr>
      <w:r>
        <w:rPr>
          <w:b/>
        </w:rPr>
        <w:tab/>
        <w:t>“</w:t>
      </w:r>
      <w:r>
        <w:rPr>
          <w:rStyle w:val="CharDefText"/>
        </w:rPr>
        <w:t>consult</w:t>
      </w:r>
      <w:r>
        <w:rPr>
          <w:b/>
        </w:rPr>
        <w:t>”</w:t>
      </w:r>
      <w:r>
        <w:t xml:space="preserve"> means consult about the matters or activities to which an intended notice will relate.</w:t>
      </w:r>
    </w:p>
    <w:p>
      <w:pPr>
        <w:pStyle w:val="Subsection"/>
      </w:pPr>
      <w:r>
        <w:tab/>
        <w:t>(2)</w:t>
      </w:r>
      <w:r>
        <w:tab/>
        <w:t xml:space="preserve">Before issuing a provisional improvement notice a qualified representative must — </w:t>
      </w:r>
    </w:p>
    <w:p>
      <w:pPr>
        <w:pStyle w:val="Indenta"/>
      </w:pPr>
      <w:r>
        <w:tab/>
        <w:t>(a)</w:t>
      </w:r>
      <w:r>
        <w:tab/>
        <w:t xml:space="preserve">consult with the person who is to be issued with the notice; and </w:t>
      </w:r>
    </w:p>
    <w:p>
      <w:pPr>
        <w:pStyle w:val="Indenta"/>
      </w:pPr>
      <w:r>
        <w:tab/>
        <w:t>(b)</w:t>
      </w:r>
      <w:r>
        <w:tab/>
        <w:t>if there is any other safety and health representative for the mine concerned, consult with another representative for that mine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55A if any member of the group works at the mine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31BH inserted by No. 68 of 2004 s. 76.]</w:t>
      </w:r>
    </w:p>
    <w:p>
      <w:pPr>
        <w:pStyle w:val="Heading5"/>
      </w:pPr>
      <w:bookmarkStart w:id="106" w:name="_Toc192041117"/>
      <w:r>
        <w:rPr>
          <w:rStyle w:val="CharSectno"/>
        </w:rPr>
        <w:t>31BI</w:t>
      </w:r>
      <w:r>
        <w:t>.</w:t>
      </w:r>
      <w:r>
        <w:tab/>
        <w:t>Contents of notice</w:t>
      </w:r>
      <w:bookmarkEnd w:id="106"/>
    </w:p>
    <w:p>
      <w:pPr>
        <w:pStyle w:val="Subsection"/>
        <w:outlineLvl w:val="0"/>
      </w:pPr>
      <w:r>
        <w:tab/>
        <w:t>(1)</w:t>
      </w:r>
      <w:r>
        <w:tab/>
        <w:t xml:space="preserve">A provisional improvement notice must — </w:t>
      </w:r>
    </w:p>
    <w:p>
      <w:pPr>
        <w:pStyle w:val="Indenta"/>
      </w:pPr>
      <w:r>
        <w:tab/>
        <w:t>(a)</w:t>
      </w:r>
      <w:r>
        <w:tab/>
        <w:t>state the opinion of the qualified representative in terms of section 31BG(1)(a)(i) or (ii), as the case may be;</w:t>
      </w:r>
    </w:p>
    <w:p>
      <w:pPr>
        <w:pStyle w:val="Indenta"/>
      </w:pPr>
      <w:r>
        <w:tab/>
        <w:t>(b)</w:t>
      </w:r>
      <w:r>
        <w:tab/>
        <w:t>state reasonable grounds for that opinion;</w:t>
      </w:r>
    </w:p>
    <w:p>
      <w:pPr>
        <w:pStyle w:val="Indenta"/>
      </w:pPr>
      <w:r>
        <w:tab/>
        <w:t>(c)</w:t>
      </w:r>
      <w:r>
        <w:tab/>
        <w:t>specify the provision of this Act in respect of which the opinion is held;</w:t>
      </w:r>
    </w:p>
    <w:p>
      <w:pPr>
        <w:pStyle w:val="Indenta"/>
      </w:pPr>
      <w:r>
        <w:tab/>
        <w:t>(d)</w:t>
      </w:r>
      <w:r>
        <w:tab/>
        <w:t xml:space="preserve">state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31BN.</w:t>
      </w:r>
    </w:p>
    <w:p>
      <w:pPr>
        <w:pStyle w:val="Subsection"/>
        <w:outlineLvl w:val="0"/>
      </w:pPr>
      <w:r>
        <w:tab/>
        <w:t>(2)</w:t>
      </w:r>
      <w:r>
        <w:tab/>
        <w:t>The day specified for the purposes of subsection (1)(d) must be more than 7 days after the day on which the notice is issued.</w:t>
      </w:r>
    </w:p>
    <w:p>
      <w:pPr>
        <w:pStyle w:val="Footnotesection"/>
      </w:pPr>
      <w:r>
        <w:tab/>
        <w:t>[Section 31BI inserted by No. 68 of 2004 s. 76.]</w:t>
      </w:r>
    </w:p>
    <w:p>
      <w:pPr>
        <w:pStyle w:val="Heading5"/>
      </w:pPr>
      <w:bookmarkStart w:id="107" w:name="_Toc192041118"/>
      <w:r>
        <w:rPr>
          <w:rStyle w:val="CharSectno"/>
        </w:rPr>
        <w:t>31BJ</w:t>
      </w:r>
      <w:r>
        <w:t>.</w:t>
      </w:r>
      <w:r>
        <w:tab/>
        <w:t>Provisional improvement notices may include directions</w:t>
      </w:r>
      <w:bookmarkEnd w:id="107"/>
    </w:p>
    <w:p>
      <w:pPr>
        <w:pStyle w:val="Subsection"/>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pPr>
      <w:r>
        <w:tab/>
      </w:r>
      <w:r>
        <w:tab/>
        <w:t>to which the notice relates.</w:t>
      </w:r>
    </w:p>
    <w:p>
      <w:pPr>
        <w:pStyle w:val="Subsection"/>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[Section 31BJ inserted by No. 68 of 2004 s. 76.]</w:t>
      </w:r>
    </w:p>
    <w:p>
      <w:pPr>
        <w:pStyle w:val="Heading5"/>
      </w:pPr>
      <w:bookmarkStart w:id="108" w:name="_Toc192041119"/>
      <w:r>
        <w:rPr>
          <w:rStyle w:val="CharSectno"/>
        </w:rPr>
        <w:t>31BK</w:t>
      </w:r>
      <w:r>
        <w:t>.</w:t>
      </w:r>
      <w:r>
        <w:tab/>
        <w:t>Display of provisional improvement notices</w:t>
      </w:r>
      <w:bookmarkEnd w:id="108"/>
    </w:p>
    <w:p>
      <w:pPr>
        <w:pStyle w:val="Subsection"/>
      </w:pPr>
      <w:r>
        <w:tab/>
        <w:t>(1)</w:t>
      </w:r>
      <w:r>
        <w:tab/>
        <w:t xml:space="preserve">The manager of a mine who — </w:t>
      </w:r>
    </w:p>
    <w:p>
      <w:pPr>
        <w:pStyle w:val="Indenta"/>
      </w:pPr>
      <w:r>
        <w:tab/>
        <w:t>(a)</w:t>
      </w:r>
      <w:r>
        <w:tab/>
        <w:t>is issued with a provisional improvement notice; or</w:t>
      </w:r>
    </w:p>
    <w:p>
      <w:pPr>
        <w:pStyle w:val="Indenta"/>
      </w:pPr>
      <w:r>
        <w:tab/>
        <w:t>(b)</w:t>
      </w:r>
      <w:r>
        <w:tab/>
        <w:t>is given a copy of a provisional improvement notice under section 31BG(4),</w:t>
      </w:r>
    </w:p>
    <w:p>
      <w:pPr>
        <w:pStyle w:val="Subsection"/>
      </w:pPr>
      <w:r>
        <w:tab/>
      </w:r>
      <w:r>
        <w:tab/>
        <w:t>must, as soon as is practicable, cause the notice, or a copy of it, to be displayed in accordance with the prescribed requirements.</w:t>
      </w:r>
    </w:p>
    <w:p>
      <w:pPr>
        <w:pStyle w:val="Subsection"/>
      </w:pPr>
      <w:r>
        <w:tab/>
        <w:t>(2)</w:t>
      </w:r>
      <w:r>
        <w:tab/>
        <w:t>A person commits an offence if the person removes a provisional improvement notice displayed under subsection (1) before the requirements of the improvement notice have been satisfied, taking into account any modification made under section 31BN(4).</w:t>
      </w:r>
    </w:p>
    <w:p>
      <w:pPr>
        <w:pStyle w:val="Subsection"/>
      </w:pPr>
      <w:r>
        <w:tab/>
        <w:t>(3)</w:t>
      </w:r>
      <w:r>
        <w:tab/>
        <w:t>Subsection (2) does not apply in respect of a provisional improvement notice that has ceased to have effect.</w:t>
      </w:r>
    </w:p>
    <w:p>
      <w:pPr>
        <w:pStyle w:val="Subsection"/>
      </w:pPr>
      <w:r>
        <w:tab/>
        <w:t>(4)</w:t>
      </w:r>
      <w:r>
        <w:tab/>
        <w:t>If a provisional improvement notice is modified by an inspector under section 31BN(4), the manager must cause a copy of the inspector’s decision to be displayed with, and in the same manner as is required for, the provisional improvement notice.</w:t>
      </w:r>
    </w:p>
    <w:p>
      <w:pPr>
        <w:pStyle w:val="Subsection"/>
      </w:pPr>
      <w:r>
        <w:tab/>
        <w:t>(5)</w:t>
      </w:r>
      <w:r>
        <w:tab/>
        <w:t>A manager who fails to comply with subsection (1) or (4) commits an offence.</w:t>
      </w:r>
    </w:p>
    <w:p>
      <w:pPr>
        <w:pStyle w:val="Footnotesection"/>
      </w:pPr>
      <w:r>
        <w:tab/>
        <w:t>[Section 31BK inserted by No. 68 of 2004 s. 76.]</w:t>
      </w:r>
    </w:p>
    <w:p>
      <w:pPr>
        <w:pStyle w:val="Heading5"/>
      </w:pPr>
      <w:bookmarkStart w:id="109" w:name="_Toc192041120"/>
      <w:r>
        <w:rPr>
          <w:rStyle w:val="CharSectno"/>
        </w:rPr>
        <w:t>31BL</w:t>
      </w:r>
      <w:r>
        <w:t>.</w:t>
      </w:r>
      <w:r>
        <w:tab/>
        <w:t>Failure to comply with notice</w:t>
      </w:r>
      <w:bookmarkEnd w:id="109"/>
    </w:p>
    <w:p>
      <w:pPr>
        <w:pStyle w:val="Subsection"/>
        <w:outlineLvl w:val="0"/>
      </w:pPr>
      <w:r>
        <w:tab/>
        <w:t>(1)</w:t>
      </w:r>
      <w:r>
        <w:tab/>
        <w:t xml:space="preserve">If a person — </w:t>
      </w:r>
    </w:p>
    <w:p>
      <w:pPr>
        <w:pStyle w:val="Indenta"/>
      </w:pPr>
      <w:r>
        <w:tab/>
        <w:t>(a)</w:t>
      </w:r>
      <w:r>
        <w:tab/>
        <w:t>is issued with a provisional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outlineLvl w:val="0"/>
      </w:pPr>
      <w:r>
        <w:tab/>
        <w:t>(2)</w:t>
      </w:r>
      <w:r>
        <w:tab/>
        <w:t>Subsection (1) does not apply if the right conferred by section 31BN(1) is exercised.</w:t>
      </w:r>
    </w:p>
    <w:p>
      <w:pPr>
        <w:pStyle w:val="Footnotesection"/>
      </w:pPr>
      <w:r>
        <w:tab/>
        <w:t>[Section 31BL inserted by No. 68 of 2004 s. 76.]</w:t>
      </w:r>
    </w:p>
    <w:p>
      <w:pPr>
        <w:pStyle w:val="Heading5"/>
      </w:pPr>
      <w:bookmarkStart w:id="110" w:name="_Toc192041121"/>
      <w:r>
        <w:rPr>
          <w:rStyle w:val="CharSectno"/>
        </w:rPr>
        <w:t>31BM</w:t>
      </w:r>
      <w:r>
        <w:t>.</w:t>
      </w:r>
      <w:r>
        <w:tab/>
        <w:t>General duty of principal employer and manager in respect of provisional improvement notice</w:t>
      </w:r>
      <w:bookmarkEnd w:id="110"/>
    </w:p>
    <w:p>
      <w:pPr>
        <w:pStyle w:val="Subsection"/>
      </w:pPr>
      <w:r>
        <w:tab/>
        <w:t>(1)</w:t>
      </w:r>
      <w:r>
        <w:tab/>
        <w:t xml:space="preserve">Subsection (2) applies where — </w:t>
      </w:r>
    </w:p>
    <w:p>
      <w:pPr>
        <w:pStyle w:val="Indenta"/>
      </w:pPr>
      <w:r>
        <w:tab/>
        <w:t>(a)</w:t>
      </w:r>
      <w:r>
        <w:tab/>
        <w:t>a provisional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Subsection (2) does not apply if the right conferred by section 31BN(1) is exercised.</w:t>
      </w:r>
    </w:p>
    <w:p>
      <w:pPr>
        <w:pStyle w:val="Subsection"/>
      </w:pPr>
      <w:r>
        <w:tab/>
        <w:t>(4)</w:t>
      </w:r>
      <w:r>
        <w:tab/>
        <w:t>The duty imposed by subsection (2) is in addition to any duty that the principal employer or the manager may have under section 32(2) or 43(2)(c).</w:t>
      </w:r>
    </w:p>
    <w:p>
      <w:pPr>
        <w:pStyle w:val="Subsection"/>
      </w:pPr>
      <w:r>
        <w:tab/>
        <w:t>(5)</w:t>
      </w:r>
      <w:r>
        <w:tab/>
        <w:t>A principal employer or manager who fails to comply with subsection (2) commits an offence.</w:t>
      </w:r>
    </w:p>
    <w:p>
      <w:pPr>
        <w:pStyle w:val="Subsection"/>
        <w:rPr>
          <w:snapToGrid w:val="0"/>
        </w:rPr>
      </w:pPr>
      <w:r>
        <w:tab/>
        <w:t>(6)</w:t>
      </w:r>
      <w:r>
        <w:tab/>
        <w:t>A principal employer or manager</w:t>
      </w:r>
      <w:r>
        <w:rPr>
          <w:snapToGrid w:val="0"/>
        </w:rPr>
        <w:t xml:space="preserve"> is not precluded by a contract from doing such acts and things as are necessary to comply with subsection (2) and is not liable under any contract to any penalty for doing such acts and things.</w:t>
      </w:r>
    </w:p>
    <w:p>
      <w:pPr>
        <w:pStyle w:val="Footnotesection"/>
      </w:pPr>
      <w:r>
        <w:tab/>
        <w:t>[Section 31BM inserted by No. 68 of 2004 s. 76.]</w:t>
      </w:r>
    </w:p>
    <w:p>
      <w:pPr>
        <w:pStyle w:val="Heading5"/>
      </w:pPr>
      <w:bookmarkStart w:id="111" w:name="_Toc192041122"/>
      <w:r>
        <w:rPr>
          <w:rStyle w:val="CharSectno"/>
        </w:rPr>
        <w:t>31BN</w:t>
      </w:r>
      <w:r>
        <w:t>.</w:t>
      </w:r>
      <w:r>
        <w:tab/>
        <w:t>Review of notice by an inspector</w:t>
      </w:r>
      <w:bookmarkEnd w:id="111"/>
    </w:p>
    <w:p>
      <w:pPr>
        <w:pStyle w:val="Subsection"/>
      </w:pPr>
      <w:r>
        <w:tab/>
        <w:t>(1)</w:t>
      </w:r>
      <w:r>
        <w:tab/>
        <w:t xml:space="preserve">A person issued with a provisional improvement notice in relation to a mine, or the principal employer at, or manager of, the mine may, in writing delivered or sent to the department (a </w:t>
      </w:r>
      <w:r>
        <w:rPr>
          <w:b/>
        </w:rPr>
        <w:t>“</w:t>
      </w:r>
      <w:r>
        <w:rPr>
          <w:rStyle w:val="CharDefText"/>
        </w:rPr>
        <w:t>review notice</w:t>
      </w:r>
      <w:r>
        <w:rPr>
          <w:b/>
        </w:rPr>
        <w:t>”</w:t>
      </w:r>
      <w:r>
        <w:t>),</w:t>
      </w:r>
      <w:r>
        <w:rPr>
          <w:b/>
          <w:i/>
          <w:sz w:val="20"/>
        </w:rPr>
        <w:t xml:space="preserve"> </w:t>
      </w:r>
      <w:r>
        <w:t>require that an inspector review the notice.</w:t>
      </w:r>
    </w:p>
    <w:p>
      <w:pPr>
        <w:pStyle w:val="Subsection"/>
      </w:pPr>
      <w:r>
        <w:tab/>
        <w:t>(2)</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31BI(1)(d).</w:t>
      </w:r>
    </w:p>
    <w:p>
      <w:pPr>
        <w:pStyle w:val="Subsection"/>
      </w:pPr>
      <w:r>
        <w:tab/>
        <w:t>(3)</w:t>
      </w:r>
      <w:r>
        <w:tab/>
        <w:t>The operation of the provisional improvement notice is suspended by the receipt by the department of a review notice in accordance with this section.</w:t>
      </w:r>
    </w:p>
    <w:p>
      <w:pPr>
        <w:pStyle w:val="Subsection"/>
      </w:pPr>
      <w:r>
        <w:tab/>
        <w:t>(4)</w:t>
      </w:r>
      <w:r>
        <w:tab/>
        <w:t xml:space="preserve">Where a review notice is received by the department in accordance with this section, an inspector must as soon as is practicable — </w:t>
      </w:r>
    </w:p>
    <w:p>
      <w:pPr>
        <w:pStyle w:val="Indenta"/>
      </w:pPr>
      <w:r>
        <w:tab/>
        <w:t>(a)</w:t>
      </w:r>
      <w:r>
        <w:tab/>
        <w:t xml:space="preserve">attend at the mine; and </w:t>
      </w:r>
    </w:p>
    <w:p>
      <w:pPr>
        <w:pStyle w:val="Indenta"/>
      </w:pPr>
      <w:r>
        <w:tab/>
        <w:t>(b)</w:t>
      </w:r>
      <w:r>
        <w:tab/>
        <w:t>inquire into the circumstances relating to the notice,</w:t>
      </w:r>
    </w:p>
    <w:p>
      <w:pPr>
        <w:pStyle w:val="Subsection"/>
        <w:keepNext/>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(5)</w:t>
      </w:r>
      <w:r>
        <w:tab/>
        <w:t xml:space="preserve">If an inspector affirms a provisional improvement notice, with or without modifications, the notice as so affirmed has effect as if it had been issued by the inspector under section 30. </w:t>
      </w:r>
    </w:p>
    <w:p>
      <w:pPr>
        <w:pStyle w:val="Subsection"/>
      </w:pPr>
      <w:r>
        <w:tab/>
        <w:t>(6)</w:t>
      </w:r>
      <w:r>
        <w:tab/>
        <w:t xml:space="preserve">Where an inspector reviews a provisional improvement notice he or she is to give notice in writing — </w:t>
      </w:r>
    </w:p>
    <w:p>
      <w:pPr>
        <w:pStyle w:val="Indenta"/>
      </w:pPr>
      <w:r>
        <w:tab/>
        <w:t>(a)</w:t>
      </w:r>
      <w:r>
        <w:tab/>
        <w:t>of the result of the review; and</w:t>
      </w:r>
    </w:p>
    <w:p>
      <w:pPr>
        <w:pStyle w:val="Indenta"/>
      </w:pPr>
      <w:r>
        <w:tab/>
        <w:t>(b)</w:t>
      </w:r>
      <w:r>
        <w:tab/>
        <w:t>of any modifications to the notice,</w:t>
      </w:r>
    </w:p>
    <w:p>
      <w:pPr>
        <w:pStyle w:val="Subsection"/>
      </w:pPr>
      <w:r>
        <w:tab/>
      </w:r>
      <w:r>
        <w:tab/>
        <w:t xml:space="preserve">to — </w:t>
      </w:r>
    </w:p>
    <w:p>
      <w:pPr>
        <w:pStyle w:val="Indenta"/>
      </w:pPr>
      <w:r>
        <w:tab/>
        <w:t>(c)</w:t>
      </w:r>
      <w:r>
        <w:tab/>
        <w:t>the person who required an inspector to review the notice; and</w:t>
      </w:r>
    </w:p>
    <w:p>
      <w:pPr>
        <w:pStyle w:val="Indenta"/>
      </w:pPr>
      <w:r>
        <w:tab/>
        <w:t>(d)</w:t>
      </w:r>
      <w:r>
        <w:tab/>
        <w:t>if that person is not the manager of the mine concerned, to such manager.</w:t>
      </w:r>
    </w:p>
    <w:p>
      <w:pPr>
        <w:pStyle w:val="Footnotesection"/>
      </w:pPr>
      <w:r>
        <w:tab/>
        <w:t>[Section 31BN inserted by No. 68 of 2004 s. 76.]</w:t>
      </w:r>
    </w:p>
    <w:p>
      <w:pPr>
        <w:pStyle w:val="Heading5"/>
      </w:pPr>
      <w:bookmarkStart w:id="112" w:name="_Toc192041123"/>
      <w:r>
        <w:rPr>
          <w:rStyle w:val="CharSectno"/>
        </w:rPr>
        <w:t>31BO</w:t>
      </w:r>
      <w:r>
        <w:t>.</w:t>
      </w:r>
      <w:r>
        <w:tab/>
        <w:t>Entries in mines record book</w:t>
      </w:r>
      <w:bookmarkEnd w:id="112"/>
    </w:p>
    <w:p>
      <w:pPr>
        <w:pStyle w:val="Subsection"/>
      </w:pPr>
      <w:r>
        <w:tab/>
        <w:t>(1)</w:t>
      </w:r>
      <w:r>
        <w:tab/>
        <w:t xml:space="preserve">The manager of a mine who — </w:t>
      </w:r>
    </w:p>
    <w:p>
      <w:pPr>
        <w:pStyle w:val="Indenta"/>
      </w:pPr>
      <w:r>
        <w:tab/>
        <w:t>(a)</w:t>
      </w:r>
      <w:r>
        <w:tab/>
        <w:t>is issued with a provisional improvement notice under section 31BG(2); or</w:t>
      </w:r>
    </w:p>
    <w:p>
      <w:pPr>
        <w:pStyle w:val="Indenta"/>
      </w:pPr>
      <w:r>
        <w:tab/>
        <w:t>(b)</w:t>
      </w:r>
      <w:r>
        <w:tab/>
        <w:t>is given a copy of a provisional improvement notice under section 31BG(4),</w:t>
      </w:r>
    </w:p>
    <w:p>
      <w:pPr>
        <w:pStyle w:val="Subsection"/>
      </w:pPr>
      <w:r>
        <w:tab/>
      </w:r>
      <w:r>
        <w:tab/>
        <w:t>must securely affix a copy of the notice to a page in the record book for the mine.</w:t>
      </w:r>
    </w:p>
    <w:p>
      <w:pPr>
        <w:pStyle w:val="Subsection"/>
      </w:pPr>
      <w:r>
        <w:tab/>
        <w:t>(2)</w:t>
      </w:r>
      <w:r>
        <w:tab/>
        <w:t>The manager of a mine who is given notice under section 31BN(6) of the result of a review must securely affix a copy of the notice to a page in the record book for the mine.</w:t>
      </w:r>
    </w:p>
    <w:p>
      <w:pPr>
        <w:pStyle w:val="Subsection"/>
      </w:pPr>
      <w:r>
        <w:tab/>
        <w:t>(3)</w:t>
      </w:r>
      <w:r>
        <w:tab/>
        <w:t>A manager of a mine who fails to comply with subsection (1) or (2) commits an offence.</w:t>
      </w:r>
    </w:p>
    <w:p>
      <w:pPr>
        <w:pStyle w:val="Footnotesection"/>
      </w:pPr>
      <w:r>
        <w:tab/>
        <w:t>[Section 31BO inserted by No. 68 of 2004 s. 76.]</w:t>
      </w:r>
    </w:p>
    <w:p>
      <w:pPr>
        <w:pStyle w:val="Heading2"/>
      </w:pPr>
      <w:bookmarkStart w:id="113" w:name="_Toc192041124"/>
      <w:r>
        <w:rPr>
          <w:rStyle w:val="CharPartNo"/>
        </w:rPr>
        <w:t>Part 4</w:t>
      </w:r>
      <w:r>
        <w:t> — </w:t>
      </w:r>
      <w:r>
        <w:rPr>
          <w:rStyle w:val="CharPartText"/>
        </w:rPr>
        <w:t>Management of mines</w:t>
      </w:r>
      <w:bookmarkEnd w:id="113"/>
      <w:r>
        <w:rPr>
          <w:rStyle w:val="CharPartText"/>
        </w:rPr>
        <w:t xml:space="preserve"> </w:t>
      </w:r>
    </w:p>
    <w:p>
      <w:pPr>
        <w:pStyle w:val="Heading3"/>
        <w:rPr>
          <w:snapToGrid w:val="0"/>
        </w:rPr>
      </w:pPr>
      <w:bookmarkStart w:id="114" w:name="_Toc192041125"/>
      <w:r>
        <w:rPr>
          <w:rStyle w:val="CharDivNo"/>
        </w:rPr>
        <w:t>Division 1</w:t>
      </w:r>
      <w:r>
        <w:rPr>
          <w:snapToGrid w:val="0"/>
        </w:rPr>
        <w:t> — </w:t>
      </w:r>
      <w:r>
        <w:rPr>
          <w:rStyle w:val="CharDivText"/>
        </w:rPr>
        <w:t>Duties of employers and managers</w:t>
      </w:r>
      <w:bookmarkEnd w:id="114"/>
      <w:r>
        <w:rPr>
          <w:rStyle w:val="CharDivText"/>
        </w:rPr>
        <w:t xml:space="preserve"> </w:t>
      </w:r>
    </w:p>
    <w:p>
      <w:pPr>
        <w:pStyle w:val="Heading5"/>
        <w:rPr>
          <w:snapToGrid w:val="0"/>
        </w:rPr>
      </w:pPr>
      <w:bookmarkStart w:id="115" w:name="_Toc192041126"/>
      <w:r>
        <w:rPr>
          <w:rStyle w:val="CharSectno"/>
        </w:rPr>
        <w:t>32</w:t>
      </w:r>
      <w:r>
        <w:rPr>
          <w:snapToGrid w:val="0"/>
        </w:rPr>
        <w:t>.</w:t>
      </w:r>
      <w:r>
        <w:rPr>
          <w:snapToGrid w:val="0"/>
        </w:rPr>
        <w:tab/>
        <w:t>Principal employer</w:t>
      </w:r>
      <w:bookmarkEnd w:id="115"/>
      <w:r>
        <w:rPr>
          <w:snapToGrid w:val="0"/>
        </w:rPr>
        <w:t xml:space="preserve"> </w:t>
      </w:r>
    </w:p>
    <w:p>
      <w:pPr>
        <w:pStyle w:val="Subsection"/>
        <w:rPr>
          <w:snapToGrid w:val="0"/>
        </w:rPr>
      </w:pPr>
      <w:r>
        <w:rPr>
          <w:snapToGrid w:val="0"/>
        </w:rPr>
        <w:tab/>
        <w:t>(1)</w:t>
      </w:r>
      <w:r>
        <w:rPr>
          <w:snapToGrid w:val="0"/>
        </w:rPr>
        <w:tab/>
        <w:t>Before mining operations begin at a mine, the name and address of the principal employer at the mine must be provided in writing to the district inspector for the region where the mine is situated.</w:t>
      </w:r>
    </w:p>
    <w:p>
      <w:pPr>
        <w:pStyle w:val="Subsection"/>
      </w:pPr>
      <w:r>
        <w:tab/>
        <w:t>(1a)</w:t>
      </w:r>
      <w:r>
        <w:tab/>
        <w:t>If mining operations begin at a mine and subsection (1) has not been complied with, an offence against subsection (1) is committed by the person who the State mining engineer determines to have been the principal employer at the mine when the mining operations began.</w:t>
      </w:r>
    </w:p>
    <w:p>
      <w:pPr>
        <w:pStyle w:val="Subsection"/>
      </w:pPr>
      <w:r>
        <w:tab/>
        <w:t>(1b)</w:t>
      </w:r>
      <w:r>
        <w:tab/>
        <w:t>In proceedings against a person under subsection (1a) it is a defence if the person proves that there were no reasonable grounds for the State mining engineer’s determination that the person was the principal employer at the mine when the mining operations began.</w:t>
      </w:r>
    </w:p>
    <w:p>
      <w:pPr>
        <w:pStyle w:val="Subsection"/>
        <w:rPr>
          <w:snapToGrid w:val="0"/>
        </w:rPr>
      </w:pPr>
      <w:r>
        <w:rPr>
          <w:snapToGrid w:val="0"/>
        </w:rPr>
        <w:tab/>
        <w:t>(2)</w:t>
      </w:r>
      <w:r>
        <w:rPr>
          <w:snapToGrid w:val="0"/>
        </w:rPr>
        <w:tab/>
        <w: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t>
      </w:r>
    </w:p>
    <w:p>
      <w:pPr>
        <w:pStyle w:val="Subsection"/>
        <w:rPr>
          <w:snapToGrid w:val="0"/>
        </w:rPr>
      </w:pPr>
      <w:r>
        <w:rPr>
          <w:snapToGrid w:val="0"/>
        </w:rPr>
        <w:tab/>
        <w:t>(3)</w:t>
      </w:r>
      <w:r>
        <w:rPr>
          <w:snapToGrid w:val="0"/>
        </w:rPr>
        <w:tab/>
        <w:t>A principal employer may be an individual, a corporation, a partnership, or a syndicate or other association of persons.</w:t>
      </w:r>
    </w:p>
    <w:p>
      <w:pPr>
        <w:pStyle w:val="Subsection"/>
        <w:rPr>
          <w:snapToGrid w:val="0"/>
        </w:rPr>
      </w:pPr>
      <w:r>
        <w:rPr>
          <w:snapToGrid w:val="0"/>
        </w:rPr>
        <w:tab/>
        <w:t>(4)</w:t>
      </w:r>
      <w:r>
        <w:rPr>
          <w:snapToGrid w:val="0"/>
        </w:rPr>
        <w:tab/>
        <w:t xml:space="preserve">If mining operations are </w:t>
      </w:r>
      <w:r>
        <w:t>to be</w:t>
      </w:r>
      <w:r>
        <w:rPr>
          <w:snapToGrid w:val="0"/>
        </w:rPr>
        <w: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t>
      </w:r>
      <w:r>
        <w:t>, before mining operations begin,</w:t>
      </w:r>
      <w:r>
        <w:rPr>
          <w:snapToGrid w:val="0"/>
        </w:rPr>
        <w:t xml:space="preserve"> to the district inspector for the region in which the mine is situated; and that entity, partnership or person is deemed to be the principal employer for the purposes of this Act.</w:t>
      </w:r>
    </w:p>
    <w:p>
      <w:pPr>
        <w:pStyle w:val="Subsection"/>
      </w:pPr>
      <w:r>
        <w:tab/>
        <w:t>(5)</w:t>
      </w:r>
      <w:r>
        <w:tab/>
        <w:t>If mining operations begin at a mine and subsection (4) has not been complied with, each person who is a member of the syndicate or other association of persons concerned commits an offence.</w:t>
      </w:r>
    </w:p>
    <w:p>
      <w:pPr>
        <w:pStyle w:val="Subsection"/>
      </w:pPr>
      <w:r>
        <w:tab/>
        <w:t>(6)</w:t>
      </w:r>
      <w:r>
        <w:tab/>
        <w:t xml:space="preserve">Where a duty arises under subsection (1) or (4) to provide to the district inspector the name and address of a partnership, syndicate or other association of persons (an </w:t>
      </w:r>
      <w:r>
        <w:rPr>
          <w:b/>
        </w:rPr>
        <w:t>“</w:t>
      </w:r>
      <w:r>
        <w:rPr>
          <w:rStyle w:val="CharDefText"/>
        </w:rPr>
        <w:t>association</w:t>
      </w:r>
      <w:r>
        <w:rPr>
          <w:b/>
        </w:rPr>
        <w:t>”</w:t>
      </w:r>
      <w:r>
        <w:t>) there is also a duty to provide the name and address of each member of the association.</w:t>
      </w:r>
    </w:p>
    <w:p>
      <w:pPr>
        <w:pStyle w:val="Footnotesection"/>
      </w:pPr>
      <w:r>
        <w:tab/>
        <w:t>[Section 32 amended by No. 68 of 2004 s. 40.]</w:t>
      </w:r>
    </w:p>
    <w:p>
      <w:pPr>
        <w:pStyle w:val="Heading5"/>
      </w:pPr>
      <w:bookmarkStart w:id="116" w:name="_Toc192041127"/>
      <w:r>
        <w:rPr>
          <w:rStyle w:val="CharSectno"/>
        </w:rPr>
        <w:t>32A</w:t>
      </w:r>
      <w:r>
        <w:t>.</w:t>
      </w:r>
      <w:r>
        <w:tab/>
        <w:t>Change of principal employer or of particulars provided</w:t>
      </w:r>
      <w:bookmarkEnd w:id="116"/>
    </w:p>
    <w:p>
      <w:pPr>
        <w:pStyle w:val="Subsection"/>
      </w:pPr>
      <w:r>
        <w:tab/>
        <w:t>(1)</w:t>
      </w:r>
      <w:r>
        <w:tab/>
        <w:t xml:space="preserve">If there is a change in the identity of the principal employer at a mine, the new principal employer must, not later than 7 days after the change occurs, provide to the district inspector for the region where the mine is situated particulars of — </w:t>
      </w:r>
    </w:p>
    <w:p>
      <w:pPr>
        <w:pStyle w:val="Indenta"/>
      </w:pPr>
      <w:r>
        <w:tab/>
        <w:t>(a)</w:t>
      </w:r>
      <w:r>
        <w:tab/>
        <w:t xml:space="preserve">the name and address of — </w:t>
      </w:r>
    </w:p>
    <w:p>
      <w:pPr>
        <w:pStyle w:val="Indenti"/>
      </w:pPr>
      <w:r>
        <w:tab/>
        <w:t>(i)</w:t>
      </w:r>
      <w:r>
        <w:tab/>
        <w:t xml:space="preserve">the new principal employer; or </w:t>
      </w:r>
    </w:p>
    <w:p>
      <w:pPr>
        <w:pStyle w:val="Indenti"/>
      </w:pPr>
      <w:r>
        <w:tab/>
        <w:t>(ii)</w:t>
      </w:r>
      <w:r>
        <w:tab/>
        <w:t>each person who is a member of the partnership, syndicate or other association of persons that comprises the new principal employer,</w:t>
      </w:r>
    </w:p>
    <w:p>
      <w:pPr>
        <w:pStyle w:val="Indenta"/>
      </w:pPr>
      <w:r>
        <w:tab/>
      </w:r>
      <w:r>
        <w:tab/>
        <w:t>as the case may be; and</w:t>
      </w:r>
    </w:p>
    <w:p>
      <w:pPr>
        <w:pStyle w:val="Indenta"/>
      </w:pPr>
      <w:r>
        <w:tab/>
        <w:t>(b)</w:t>
      </w:r>
      <w:r>
        <w:tab/>
        <w:t>the day on which the change occurred.</w:t>
      </w:r>
    </w:p>
    <w:p>
      <w:pPr>
        <w:pStyle w:val="Subsection"/>
      </w:pPr>
      <w:r>
        <w:tab/>
        <w:t>(2)</w:t>
      </w:r>
      <w:r>
        <w:tab/>
        <w:t>If there is a change to the name or address of a principal employer at a mine, the principal employer must, not later than 7 days after the change occurs, provide particulars of the change to the district inspector for the region where the mine is situated.</w:t>
      </w:r>
    </w:p>
    <w:p>
      <w:pPr>
        <w:pStyle w:val="Subsection"/>
        <w:keepNext/>
      </w:pPr>
      <w:r>
        <w:tab/>
        <w:t>(3)</w:t>
      </w:r>
      <w:r>
        <w:tab/>
        <w:t xml:space="preserve">If — </w:t>
      </w:r>
    </w:p>
    <w:p>
      <w:pPr>
        <w:pStyle w:val="Indenta"/>
      </w:pPr>
      <w:r>
        <w:tab/>
        <w:t>(a)</w:t>
      </w:r>
      <w:r>
        <w:tab/>
        <w:t xml:space="preserve">the principal employer at a mine, or the person who under section 32(4) has assumed the duties of the principal employer at a mine, is a partnership, syndicate or other association of persons (the </w:t>
      </w:r>
      <w:r>
        <w:rPr>
          <w:b/>
        </w:rPr>
        <w:t>“</w:t>
      </w:r>
      <w:r>
        <w:rPr>
          <w:rStyle w:val="CharDefText"/>
        </w:rPr>
        <w:t>association</w:t>
      </w:r>
      <w:r>
        <w:rPr>
          <w:b/>
        </w:rPr>
        <w:t>”</w:t>
      </w:r>
      <w:r>
        <w:t>); and</w:t>
      </w:r>
    </w:p>
    <w:p>
      <w:pPr>
        <w:pStyle w:val="Indenta"/>
      </w:pPr>
      <w:r>
        <w:tab/>
        <w:t>(b)</w:t>
      </w:r>
      <w:r>
        <w:tab/>
        <w:t xml:space="preserve">there is a change — </w:t>
      </w:r>
    </w:p>
    <w:p>
      <w:pPr>
        <w:pStyle w:val="Indenti"/>
      </w:pPr>
      <w:r>
        <w:tab/>
        <w:t>(i)</w:t>
      </w:r>
      <w:r>
        <w:tab/>
        <w:t>in the membership of the association; or</w:t>
      </w:r>
    </w:p>
    <w:p>
      <w:pPr>
        <w:pStyle w:val="Indenti"/>
      </w:pPr>
      <w:r>
        <w:tab/>
        <w:t>(ii)</w:t>
      </w:r>
      <w:r>
        <w:tab/>
        <w:t>to the name or address of any member of the association,</w:t>
      </w:r>
    </w:p>
    <w:p>
      <w:pPr>
        <w:pStyle w:val="Subsection"/>
      </w:pPr>
      <w:r>
        <w:tab/>
      </w:r>
      <w:r>
        <w:tab/>
        <w:t>the principal employer must, not later than 7 days after the change occurs, provide particulars of the change to the district inspector for the region where the mine is situated.</w:t>
      </w:r>
    </w:p>
    <w:p>
      <w:pPr>
        <w:pStyle w:val="Subsection"/>
      </w:pPr>
      <w:r>
        <w:tab/>
        <w:t>(4)</w:t>
      </w:r>
      <w:r>
        <w:tab/>
        <w:t>A principal employer who contravenes subsection (1), (2) or (3) commits an offence.</w:t>
      </w:r>
    </w:p>
    <w:p>
      <w:pPr>
        <w:pStyle w:val="Footnotesection"/>
      </w:pPr>
      <w:r>
        <w:tab/>
        <w:t>[Section 32A inserted by No. 68 of 2004 s. 41.]</w:t>
      </w:r>
    </w:p>
    <w:p>
      <w:pPr>
        <w:pStyle w:val="Heading5"/>
        <w:rPr>
          <w:snapToGrid w:val="0"/>
        </w:rPr>
      </w:pPr>
      <w:bookmarkStart w:id="117" w:name="_Toc192041128"/>
      <w:r>
        <w:rPr>
          <w:rStyle w:val="CharSectno"/>
        </w:rPr>
        <w:t>33</w:t>
      </w:r>
      <w:r>
        <w:rPr>
          <w:snapToGrid w:val="0"/>
        </w:rPr>
        <w:t>.</w:t>
      </w:r>
      <w:r>
        <w:rPr>
          <w:snapToGrid w:val="0"/>
        </w:rPr>
        <w:tab/>
        <w:t>Registered manager</w:t>
      </w:r>
      <w:bookmarkEnd w:id="117"/>
      <w:r>
        <w:rPr>
          <w:snapToGrid w:val="0"/>
        </w:rPr>
        <w:t xml:space="preserve"> </w:t>
      </w:r>
    </w:p>
    <w:p>
      <w:pPr>
        <w:pStyle w:val="Subsection"/>
        <w:rPr>
          <w:snapToGrid w:val="0"/>
        </w:rPr>
      </w:pPr>
      <w:r>
        <w:rPr>
          <w:snapToGrid w:val="0"/>
        </w:rPr>
        <w:tab/>
        <w:t>(1)</w:t>
      </w:r>
      <w:r>
        <w:rPr>
          <w:snapToGrid w:val="0"/>
        </w:rPr>
        <w:tab/>
        <w:t>Before mining operations begin at a mine, the principal employer must appoint a registered manager for the mine and subsequently must ensure that at all times a registered manager is appointed for the mine.</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t>
      </w:r>
    </w:p>
    <w:p>
      <w:pPr>
        <w:pStyle w:val="Subsection"/>
        <w:rPr>
          <w:snapToGrid w:val="0"/>
        </w:rPr>
      </w:pPr>
      <w:r>
        <w:rPr>
          <w:snapToGrid w:val="0"/>
        </w:rPr>
        <w:tab/>
        <w:t>(3)</w:t>
      </w:r>
      <w:r>
        <w:rPr>
          <w:snapToGrid w:val="0"/>
        </w:rPr>
        <w:tab/>
        <w:t xml:space="preserve">The registered manager for a mine is responsible on a daily basis for the control and supervision of the mine and mining operations at the mine in accordance with this Act and, except for absences on a regular scheduled basis (referred to in this Act as a </w:t>
      </w:r>
      <w:r>
        <w:rPr>
          <w:b/>
          <w:snapToGrid w:val="0"/>
        </w:rPr>
        <w:t>“</w:t>
      </w:r>
      <w:r>
        <w:rPr>
          <w:rStyle w:val="CharDefText"/>
        </w:rPr>
        <w:t>commute schedule</w:t>
      </w:r>
      <w:r>
        <w:rPr>
          <w:b/>
          <w:snapToGrid w:val="0"/>
        </w:rPr>
        <w:t>”</w:t>
      </w:r>
      <w:r>
        <w:rPr>
          <w:snapToGrid w:val="0"/>
        </w:rPr>
        <w:t>), must reside at a location in relation to the mine which will allow the registered manager to control and supervise the mine effectively as required by this section.</w:t>
      </w:r>
    </w:p>
    <w:p>
      <w:pPr>
        <w:pStyle w:val="Subsection"/>
        <w:rPr>
          <w:snapToGrid w:val="0"/>
        </w:rPr>
      </w:pPr>
      <w:r>
        <w:rPr>
          <w:snapToGrid w:val="0"/>
        </w:rPr>
        <w:tab/>
        <w:t>(4)</w:t>
      </w:r>
      <w:r>
        <w:rPr>
          <w:snapToGrid w:val="0"/>
        </w:rPr>
        <w:tab/>
        <w:t>A person who contravenes subsection (1), (2), or (3) commits an offence.</w:t>
      </w:r>
    </w:p>
    <w:p>
      <w:pPr>
        <w:pStyle w:val="Subsection"/>
        <w:rPr>
          <w:snapToGrid w:val="0"/>
        </w:rPr>
      </w:pPr>
      <w:r>
        <w:rPr>
          <w:snapToGrid w:val="0"/>
        </w:rPr>
        <w:tab/>
        <w:t>(5)</w:t>
      </w:r>
      <w:r>
        <w:rPr>
          <w:snapToGrid w:val="0"/>
        </w:rPr>
        <w:tab/>
        <w:t>A person who is the registered manager for a mine is not eligible while holding that position to be the registered manager or deputy to the registered manager for another mine except with the approval in writing of the State mining engineer.</w:t>
      </w:r>
    </w:p>
    <w:p>
      <w:pPr>
        <w:pStyle w:val="Subsection"/>
        <w:rPr>
          <w:snapToGrid w:val="0"/>
        </w:rPr>
      </w:pPr>
      <w:r>
        <w:rPr>
          <w:snapToGrid w:val="0"/>
        </w:rPr>
        <w:tab/>
        <w:t>(6)</w:t>
      </w:r>
      <w:r>
        <w:rPr>
          <w:snapToGrid w:val="0"/>
        </w:rPr>
        <w:tab/>
        <w: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t>
      </w:r>
    </w:p>
    <w:p>
      <w:pPr>
        <w:pStyle w:val="Subsection"/>
        <w:rPr>
          <w:snapToGrid w:val="0"/>
        </w:rPr>
      </w:pPr>
      <w:r>
        <w:rPr>
          <w:snapToGrid w:val="0"/>
        </w:rPr>
        <w:tab/>
        <w:t>(7)</w:t>
      </w:r>
      <w:r>
        <w:rPr>
          <w:snapToGrid w:val="0"/>
        </w:rPr>
        <w:tab/>
        <w: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t>
      </w:r>
    </w:p>
    <w:p>
      <w:pPr>
        <w:pStyle w:val="Heading5"/>
      </w:pPr>
      <w:bookmarkStart w:id="118" w:name="_Toc192041129"/>
      <w:r>
        <w:rPr>
          <w:rStyle w:val="CharSectno"/>
        </w:rPr>
        <w:t>33A</w:t>
      </w:r>
      <w:r>
        <w:t>.</w:t>
      </w:r>
      <w:r>
        <w:tab/>
        <w:t>Registered manager may make appointments on behalf of principal employer</w:t>
      </w:r>
      <w:bookmarkEnd w:id="118"/>
    </w:p>
    <w:p>
      <w:pPr>
        <w:pStyle w:val="Subsection"/>
      </w:pPr>
      <w:r>
        <w:tab/>
        <w:t>(1)</w:t>
      </w:r>
      <w:r>
        <w:tab/>
        <w:t xml:space="preserve">It is sufficient compliance with a provision of section 34(1) or (2), 35(1), 36(1) or (2), 37(1), 38(1), (2) or (3) or 39(2) (a </w:t>
      </w:r>
      <w:r>
        <w:rPr>
          <w:b/>
        </w:rPr>
        <w:t>“</w:t>
      </w:r>
      <w:r>
        <w:rPr>
          <w:rStyle w:val="CharDefText"/>
        </w:rPr>
        <w:t>relevant provision</w:t>
      </w:r>
      <w:r>
        <w:rPr>
          <w:b/>
        </w:rPr>
        <w:t>”</w:t>
      </w:r>
      <w:r>
        <w:t xml:space="preserve">) that requires the principal employer in relation to a mine — </w:t>
      </w:r>
    </w:p>
    <w:p>
      <w:pPr>
        <w:pStyle w:val="Indenta"/>
      </w:pPr>
      <w:r>
        <w:tab/>
        <w:t>(a)</w:t>
      </w:r>
      <w:r>
        <w:tab/>
        <w:t>to make a particular managerial appointment for the mine; or</w:t>
      </w:r>
    </w:p>
    <w:p>
      <w:pPr>
        <w:pStyle w:val="Indenta"/>
        <w:rPr>
          <w:snapToGrid w:val="0"/>
        </w:rPr>
      </w:pPr>
      <w:r>
        <w:tab/>
        <w:t>(b)</w:t>
      </w:r>
      <w:r>
        <w:tab/>
        <w:t xml:space="preserve">to inform the district inspector </w:t>
      </w:r>
      <w:r>
        <w:rPr>
          <w:snapToGrid w:val="0"/>
        </w:rPr>
        <w:t xml:space="preserve">for the region in which the mine is situated concerning the appointment, </w:t>
      </w:r>
    </w:p>
    <w:p>
      <w:pPr>
        <w:pStyle w:val="Subsection"/>
      </w:pPr>
      <w:r>
        <w:tab/>
      </w:r>
      <w:r>
        <w:tab/>
        <w:t>if the appointment is made, or the information is given, on behalf of the principal employer by the registered manager in accordance with authority given by the principal employer to do so.</w:t>
      </w:r>
    </w:p>
    <w:p>
      <w:pPr>
        <w:pStyle w:val="Subsection"/>
      </w:pPr>
      <w:r>
        <w:tab/>
        <w:t>(2)</w:t>
      </w:r>
      <w:r>
        <w:tab/>
        <w:t xml:space="preserve">It is open to the registered manager of a mine in exercising a power to appoint — </w:t>
      </w:r>
    </w:p>
    <w:p>
      <w:pPr>
        <w:pStyle w:val="Indenta"/>
      </w:pPr>
      <w:r>
        <w:tab/>
        <w:t>(a)</w:t>
      </w:r>
      <w:r>
        <w:tab/>
        <w:t xml:space="preserve">an underground manager; or </w:t>
      </w:r>
    </w:p>
    <w:p>
      <w:pPr>
        <w:pStyle w:val="Indenta"/>
      </w:pPr>
      <w:r>
        <w:tab/>
        <w:t>(b)</w:t>
      </w:r>
      <w:r>
        <w:tab/>
        <w:t>a quarry manager,</w:t>
      </w:r>
    </w:p>
    <w:p>
      <w:pPr>
        <w:pStyle w:val="Subsection"/>
      </w:pPr>
      <w:r>
        <w:tab/>
      </w:r>
      <w:r>
        <w:tab/>
        <w:t>for the mine under section 35 or 37, to appoint himself or herself to that position.</w:t>
      </w:r>
    </w:p>
    <w:p>
      <w:pPr>
        <w:pStyle w:val="Subsection"/>
        <w:spacing w:before="200"/>
      </w:pPr>
      <w:r>
        <w:tab/>
        <w:t>(3)</w:t>
      </w:r>
      <w:r>
        <w:tab/>
        <w:t xml:space="preserve">If the registered manager — </w:t>
      </w:r>
    </w:p>
    <w:p>
      <w:pPr>
        <w:pStyle w:val="Indenta"/>
      </w:pPr>
      <w:r>
        <w:tab/>
        <w:t>(a)</w:t>
      </w:r>
      <w:r>
        <w:tab/>
        <w:t>makes an appointment; or</w:t>
      </w:r>
    </w:p>
    <w:p>
      <w:pPr>
        <w:pStyle w:val="Indenta"/>
      </w:pPr>
      <w:r>
        <w:tab/>
        <w:t>(b)</w:t>
      </w:r>
      <w:r>
        <w:tab/>
        <w:t>gives information to a district inspector,</w:t>
      </w:r>
    </w:p>
    <w:p>
      <w:pPr>
        <w:pStyle w:val="Subsection"/>
      </w:pPr>
      <w:r>
        <w:tab/>
      </w:r>
      <w:r>
        <w:tab/>
        <w:t>for the purposes of a relevant provision the registered manager is conclusively presumed to do so under and in accordance with authority given by the principal employer.</w:t>
      </w:r>
    </w:p>
    <w:p>
      <w:pPr>
        <w:pStyle w:val="Subsection"/>
        <w:spacing w:before="200"/>
      </w:pPr>
      <w:r>
        <w:tab/>
        <w:t>(4)</w:t>
      </w:r>
      <w:r>
        <w:tab/>
        <w:t>Nothing in this section affects the obligation of the principal employer to comply with a relevant provision.</w:t>
      </w:r>
    </w:p>
    <w:p>
      <w:pPr>
        <w:pStyle w:val="Footnotesection"/>
      </w:pPr>
      <w:r>
        <w:tab/>
        <w:t>[Section 33A inserted by No. 68 of 2004 s. 42.]</w:t>
      </w:r>
    </w:p>
    <w:p>
      <w:pPr>
        <w:pStyle w:val="Heading5"/>
        <w:rPr>
          <w:snapToGrid w:val="0"/>
        </w:rPr>
      </w:pPr>
      <w:bookmarkStart w:id="119" w:name="_Toc192041130"/>
      <w:r>
        <w:rPr>
          <w:rStyle w:val="CharSectno"/>
        </w:rPr>
        <w:t>34</w:t>
      </w:r>
      <w:r>
        <w:rPr>
          <w:snapToGrid w:val="0"/>
        </w:rPr>
        <w:t>.</w:t>
      </w:r>
      <w:r>
        <w:rPr>
          <w:snapToGrid w:val="0"/>
        </w:rPr>
        <w:tab/>
        <w:t>Alternate and deputy registered managers</w:t>
      </w:r>
      <w:bookmarkEnd w:id="119"/>
      <w:r>
        <w:rPr>
          <w:snapToGrid w:val="0"/>
        </w:rPr>
        <w:t xml:space="preserve"> </w:t>
      </w:r>
    </w:p>
    <w:p>
      <w:pPr>
        <w:pStyle w:val="Subsection"/>
        <w:spacing w:before="200"/>
        <w:rPr>
          <w:snapToGrid w:val="0"/>
        </w:rPr>
      </w:pPr>
      <w:r>
        <w:rPr>
          <w:snapToGrid w:val="0"/>
        </w:rPr>
        <w:tab/>
        <w:t>(1)</w:t>
      </w:r>
      <w:r>
        <w:rPr>
          <w:snapToGrid w:val="0"/>
        </w:rPr>
        <w:tab/>
        <w: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t>
      </w:r>
    </w:p>
    <w:p>
      <w:pPr>
        <w:pStyle w:val="Penstart"/>
        <w:rPr>
          <w:snapToGrid w:val="0"/>
        </w:rPr>
      </w:pPr>
      <w:r>
        <w:rPr>
          <w:snapToGrid w:val="0"/>
        </w:rPr>
        <w:tab/>
        <w:t>Penalty: In the case of a corporation $25 000 and in the case of an individual $5 000.</w:t>
      </w:r>
    </w:p>
    <w:p>
      <w:pPr>
        <w:pStyle w:val="Subsection"/>
        <w:spacing w:before="200"/>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registered manager for a mine.</w:t>
      </w:r>
    </w:p>
    <w:p>
      <w:pPr>
        <w:pStyle w:val="Penstart"/>
        <w:rPr>
          <w:snapToGrid w:val="0"/>
        </w:rPr>
      </w:pPr>
      <w:r>
        <w:rPr>
          <w:snapToGrid w:val="0"/>
        </w:rPr>
        <w:tab/>
        <w:t>Penalty: In the case of a corporation $25 000 and in the case of an individual $5 000.</w:t>
      </w:r>
    </w:p>
    <w:p>
      <w:pPr>
        <w:pStyle w:val="Subsection"/>
        <w:rPr>
          <w:snapToGrid w:val="0"/>
        </w:rPr>
      </w:pPr>
      <w:r>
        <w:rPr>
          <w:snapToGrid w:val="0"/>
        </w:rPr>
        <w:tab/>
        <w:t>(3)</w:t>
      </w:r>
      <w:r>
        <w:rPr>
          <w:snapToGrid w:val="0"/>
        </w:rPr>
        <w:tab/>
        <w:t xml:space="preserve">If the registered manager </w:t>
      </w:r>
      <w:r>
        <w:t>or an alternate registered manager</w:t>
      </w:r>
      <w:r>
        <w:rPr>
          <w:snapToGrid w:val="0"/>
        </w:rPr>
        <w:t xml:space="preserve"> of a mine is incapacitated from performing his or her duties or is expected to be absent from the mine for more than a day (otherwise than in accordance with a commute schedule), the registered manager </w:t>
      </w:r>
      <w:r>
        <w:t>or the alternate registered manager</w:t>
      </w:r>
      <w:r>
        <w:rPr>
          <w:snapToGrid w:val="0"/>
        </w:rPr>
        <w:t xml:space="preserve"> must appoint a fit and proper person to act as the </w:t>
      </w:r>
      <w:r>
        <w:t>deputy of the registered manager or the alternate registered manager</w:t>
      </w:r>
      <w:r>
        <w:rPr>
          <w:snapToGrid w:val="0"/>
        </w:rPr>
        <w:t xml:space="preserve"> during the incapacity or absence.</w:t>
      </w:r>
    </w:p>
    <w:p>
      <w:pPr>
        <w:pStyle w:val="Penstart"/>
        <w:rPr>
          <w:snapToGrid w:val="0"/>
        </w:rPr>
      </w:pPr>
      <w:r>
        <w:rPr>
          <w:snapToGrid w:val="0"/>
        </w:rPr>
        <w:tab/>
        <w:t>Penalty: $5 000.</w:t>
      </w:r>
    </w:p>
    <w:p>
      <w:pPr>
        <w:pStyle w:val="Subsection"/>
      </w:pPr>
      <w:r>
        <w:tab/>
        <w:t>(4)</w:t>
      </w:r>
      <w:r>
        <w:tab/>
        <w:t xml:space="preserve">Each — </w:t>
      </w:r>
    </w:p>
    <w:p>
      <w:pPr>
        <w:pStyle w:val="Indenta"/>
      </w:pPr>
      <w:r>
        <w:tab/>
        <w:t>(a)</w:t>
      </w:r>
      <w:r>
        <w:tab/>
        <w:t>alternate registered manager; and</w:t>
      </w:r>
    </w:p>
    <w:p>
      <w:pPr>
        <w:pStyle w:val="Indenta"/>
      </w:pPr>
      <w:r>
        <w:tab/>
        <w:t>(b)</w:t>
      </w:r>
      <w:r>
        <w:tab/>
        <w:t>deputy appointed under subsection (3),</w:t>
      </w:r>
    </w:p>
    <w:p>
      <w:pPr>
        <w:pStyle w:val="Subsection"/>
      </w:pPr>
      <w:r>
        <w:tab/>
      </w:r>
      <w:r>
        <w:tab/>
        <w:t>is deemed to be the registered manager, and has the powers, functions and duties of a registered manager under this Act, during any period of duty of the alternate or deputy.</w:t>
      </w:r>
    </w:p>
    <w:p>
      <w:pPr>
        <w:pStyle w:val="Subsection"/>
      </w:pPr>
      <w:r>
        <w:tab/>
        <w:t>(5)</w:t>
      </w:r>
      <w:r>
        <w:tab/>
        <w:t xml:space="preserve">The appointment of — </w:t>
      </w:r>
    </w:p>
    <w:p>
      <w:pPr>
        <w:pStyle w:val="Indenta"/>
      </w:pPr>
      <w:r>
        <w:tab/>
        <w:t>(a)</w:t>
      </w:r>
      <w:r>
        <w:tab/>
        <w:t>a deputy or alternate of a registered manager; or</w:t>
      </w:r>
    </w:p>
    <w:p>
      <w:pPr>
        <w:pStyle w:val="Indenta"/>
      </w:pPr>
      <w:r>
        <w:tab/>
        <w:t>(b)</w:t>
      </w:r>
      <w:r>
        <w:tab/>
        <w:t>a deputy of an alternate registered manager,</w:t>
      </w:r>
    </w:p>
    <w:p>
      <w:pPr>
        <w:pStyle w:val="Subsection"/>
      </w:pPr>
      <w:r>
        <w:tab/>
      </w:r>
      <w:r>
        <w:tab/>
        <w:t>does not relieve the registered manager, or the alternate registered manager, from responsibility for the exercise and performance of powers, functions and duties under this Act except during a period of duty mentioned in subsection (4).</w:t>
      </w:r>
    </w:p>
    <w:p>
      <w:pPr>
        <w:pStyle w:val="Footnotesection"/>
      </w:pPr>
      <w:r>
        <w:tab/>
        <w:t>[Section 34 amended by No. 68 of 2004 s. 43.]</w:t>
      </w:r>
    </w:p>
    <w:p>
      <w:pPr>
        <w:pStyle w:val="Heading5"/>
        <w:rPr>
          <w:snapToGrid w:val="0"/>
        </w:rPr>
      </w:pPr>
      <w:bookmarkStart w:id="120" w:name="_Toc192041131"/>
      <w:r>
        <w:rPr>
          <w:rStyle w:val="CharSectno"/>
        </w:rPr>
        <w:t>35</w:t>
      </w:r>
      <w:r>
        <w:rPr>
          <w:snapToGrid w:val="0"/>
        </w:rPr>
        <w:t>.</w:t>
      </w:r>
      <w:r>
        <w:rPr>
          <w:snapToGrid w:val="0"/>
        </w:rPr>
        <w:tab/>
        <w:t>Certificated underground manager</w:t>
      </w:r>
      <w:bookmarkEnd w:id="120"/>
      <w:r>
        <w:rPr>
          <w:snapToGrid w:val="0"/>
        </w:rPr>
        <w:t xml:space="preserve"> </w:t>
      </w:r>
    </w:p>
    <w:p>
      <w:pPr>
        <w:pStyle w:val="Subsection"/>
        <w:rPr>
          <w:snapToGrid w:val="0"/>
        </w:rPr>
      </w:pPr>
      <w:r>
        <w:rPr>
          <w:snapToGrid w:val="0"/>
        </w:rPr>
        <w:tab/>
        <w:t>(1)</w:t>
      </w:r>
      <w:r>
        <w:rPr>
          <w:snapToGrid w:val="0"/>
        </w:rPr>
        <w:tab/>
        <w: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t>
      </w:r>
    </w:p>
    <w:p>
      <w:pPr>
        <w:pStyle w:val="Penstart"/>
        <w:rPr>
          <w:snapToGrid w:val="0"/>
        </w:rPr>
      </w:pPr>
      <w:r>
        <w:rPr>
          <w:snapToGrid w:val="0"/>
        </w:rPr>
        <w:tab/>
        <w:t>Penalty: In the case of a corporation $25 000 and in the case of an individual $5 000.</w:t>
      </w:r>
    </w:p>
    <w:p>
      <w:pPr>
        <w:pStyle w:val="Subsection"/>
        <w:rPr>
          <w:snapToGrid w:val="0"/>
        </w:rPr>
      </w:pPr>
      <w:r>
        <w:rPr>
          <w:snapToGrid w:val="0"/>
        </w:rPr>
        <w:tab/>
        <w:t>(2)</w:t>
      </w:r>
      <w:r>
        <w:rPr>
          <w:snapToGrid w:val="0"/>
        </w:rPr>
        <w:tab/>
        <w:t>An underground manager for a mine employing 25 or more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 first class mine manager’s certificate of competency or a certificate that is accepted as equivalent to such a certificate by the Board of Examiners.</w:t>
      </w:r>
    </w:p>
    <w:p>
      <w:pPr>
        <w:pStyle w:val="Subsection"/>
        <w:rPr>
          <w:snapToGrid w:val="0"/>
        </w:rPr>
      </w:pPr>
      <w:r>
        <w:rPr>
          <w:snapToGrid w:val="0"/>
        </w:rPr>
        <w:tab/>
        <w:t>(3)</w:t>
      </w:r>
      <w:r>
        <w:rPr>
          <w:snapToGrid w:val="0"/>
        </w:rPr>
        <w:tab/>
        <w:t>An underground manager for a mine employing fewer than 25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an underground supervisor’s certificate of competency, or a certificate that is accepted as equivalent to such a certificate by the Board of Examiners; or</w:t>
      </w:r>
    </w:p>
    <w:p>
      <w:pPr>
        <w:pStyle w:val="Indenta"/>
        <w:rPr>
          <w:snapToGrid w:val="0"/>
        </w:rPr>
      </w:pPr>
      <w:r>
        <w:rPr>
          <w:snapToGrid w:val="0"/>
        </w:rPr>
        <w:tab/>
        <w:t>(c)</w:t>
      </w:r>
      <w:r>
        <w:rPr>
          <w:snapToGrid w:val="0"/>
        </w:rPr>
        <w:tab/>
        <w: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t>
      </w:r>
    </w:p>
    <w:p>
      <w:pPr>
        <w:pStyle w:val="Subsection"/>
        <w:rPr>
          <w:snapToGrid w:val="0"/>
        </w:rPr>
      </w:pPr>
      <w:r>
        <w:rPr>
          <w:snapToGrid w:val="0"/>
        </w:rPr>
        <w:tab/>
        <w:t>(4)</w:t>
      </w:r>
      <w:r>
        <w:rPr>
          <w:snapToGrid w:val="0"/>
        </w:rPr>
        <w:tab/>
        <w:t>Notwithstanding subsection (1), a district inspector may agree in writing that, in the case of the mining operations of a small syndicate consisting of self</w:t>
      </w:r>
      <w:r>
        <w:rPr>
          <w:snapToGrid w:val="0"/>
        </w:rPr>
        <w:noBreakHyphen/>
        <w:t>employed persons, an appointment of an underground manager need not be made.</w:t>
      </w:r>
    </w:p>
    <w:p>
      <w:pPr>
        <w:pStyle w:val="Heading5"/>
        <w:rPr>
          <w:snapToGrid w:val="0"/>
        </w:rPr>
      </w:pPr>
      <w:bookmarkStart w:id="121" w:name="_Toc192041132"/>
      <w:r>
        <w:rPr>
          <w:rStyle w:val="CharSectno"/>
        </w:rPr>
        <w:t>36</w:t>
      </w:r>
      <w:r>
        <w:rPr>
          <w:snapToGrid w:val="0"/>
        </w:rPr>
        <w:t>.</w:t>
      </w:r>
      <w:r>
        <w:rPr>
          <w:snapToGrid w:val="0"/>
        </w:rPr>
        <w:tab/>
        <w:t>Alternate and deputy underground managers</w:t>
      </w:r>
      <w:bookmarkEnd w:id="121"/>
      <w:r>
        <w:rPr>
          <w:snapToGrid w:val="0"/>
        </w:rPr>
        <w:t xml:space="preserve"> </w:t>
      </w:r>
    </w:p>
    <w:p>
      <w:pPr>
        <w:pStyle w:val="Subsection"/>
        <w:rPr>
          <w:snapToGrid w:val="0"/>
        </w:rPr>
      </w:pPr>
      <w:r>
        <w:rPr>
          <w:snapToGrid w:val="0"/>
        </w:rPr>
        <w:tab/>
        <w:t>(1)</w:t>
      </w:r>
      <w:r>
        <w:rPr>
          <w:snapToGrid w:val="0"/>
        </w:rPr>
        <w:tab/>
        <w:t>If the underground manager is to control and supervise the underground mining operations in accordance with a commute schedule, the principal employer must appoint a person who is 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underground manager for a mine.</w:t>
      </w:r>
    </w:p>
    <w:p>
      <w:pPr>
        <w:pStyle w:val="Subsection"/>
        <w:rPr>
          <w:snapToGrid w:val="0"/>
        </w:rPr>
      </w:pPr>
      <w:r>
        <w:rPr>
          <w:snapToGrid w:val="0"/>
        </w:rPr>
        <w:tab/>
        <w:t>(3)</w:t>
      </w:r>
      <w:r>
        <w:rPr>
          <w:snapToGrid w:val="0"/>
        </w:rPr>
        <w:tab/>
        <w: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t>
      </w:r>
    </w:p>
    <w:p>
      <w:pPr>
        <w:pStyle w:val="Ednotesubsection"/>
      </w:pPr>
      <w:r>
        <w:tab/>
        <w:t>[(4)</w:t>
      </w:r>
      <w:r>
        <w:tab/>
        <w:t>repealed]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t>
      </w:r>
    </w:p>
    <w:p>
      <w:pPr>
        <w:pStyle w:val="Ednotesubsection"/>
      </w:pPr>
      <w:r>
        <w:tab/>
        <w:t>[(7)</w:t>
      </w:r>
      <w:r>
        <w:tab/>
        <w:t>repealed]</w:t>
      </w:r>
    </w:p>
    <w:p>
      <w:pPr>
        <w:pStyle w:val="Subsection"/>
        <w:rPr>
          <w:snapToGrid w:val="0"/>
        </w:rPr>
      </w:pPr>
      <w:r>
        <w:rPr>
          <w:snapToGrid w:val="0"/>
        </w:rPr>
        <w:tab/>
        <w:t>(8)</w:t>
      </w:r>
      <w:r>
        <w:rPr>
          <w:snapToGrid w:val="0"/>
        </w:rPr>
        <w:tab/>
        <w:t xml:space="preserve">Each deputy underground manager and alternate underground manager appointed under this section is deemed to be the underground manager and </w:t>
      </w:r>
      <w:r>
        <w:t>has the powers, functions and duties of an underground manager</w:t>
      </w:r>
      <w:r>
        <w:rPr>
          <w:snapToGrid w:val="0"/>
        </w:rPr>
        <w:t xml:space="preserve"> under this Act for such periods of duty as the deputy or alternate has been appointed, but the appointment of a deputy or an alternate underground manager does not relieve the underground manager from responsibility for the exercise </w:t>
      </w:r>
      <w:r>
        <w:t>and performance of powers, functions</w:t>
      </w:r>
      <w:r>
        <w:rPr>
          <w:snapToGrid w:val="0"/>
        </w:rPr>
        <w:t xml:space="preserve"> and duties while serving as underground manager.</w:t>
      </w:r>
    </w:p>
    <w:p>
      <w:pPr>
        <w:pStyle w:val="Footnotesection"/>
      </w:pPr>
      <w:r>
        <w:tab/>
        <w:t>[Section 36 amended by No. 68 of 2004 s. 44.]</w:t>
      </w:r>
    </w:p>
    <w:p>
      <w:pPr>
        <w:pStyle w:val="Heading5"/>
        <w:rPr>
          <w:snapToGrid w:val="0"/>
        </w:rPr>
      </w:pPr>
      <w:bookmarkStart w:id="122" w:name="_Toc192041133"/>
      <w:r>
        <w:rPr>
          <w:rStyle w:val="CharSectno"/>
        </w:rPr>
        <w:t>37</w:t>
      </w:r>
      <w:r>
        <w:rPr>
          <w:snapToGrid w:val="0"/>
        </w:rPr>
        <w:t>.</w:t>
      </w:r>
      <w:r>
        <w:rPr>
          <w:snapToGrid w:val="0"/>
        </w:rPr>
        <w:tab/>
        <w:t>Certificated quarry manager</w:t>
      </w:r>
      <w:bookmarkEnd w:id="122"/>
      <w:r>
        <w:rPr>
          <w:snapToGrid w:val="0"/>
        </w:rPr>
        <w:t xml:space="preserve"> </w:t>
      </w:r>
    </w:p>
    <w:p>
      <w:pPr>
        <w:pStyle w:val="Subsection"/>
        <w:rPr>
          <w:snapToGrid w:val="0"/>
        </w:rPr>
      </w:pPr>
      <w:r>
        <w:rPr>
          <w:snapToGrid w:val="0"/>
        </w:rPr>
        <w:tab/>
        <w:t>(1)</w:t>
      </w:r>
      <w:r>
        <w:rPr>
          <w:snapToGrid w:val="0"/>
        </w:rPr>
        <w:tab/>
        <w: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t>
      </w:r>
    </w:p>
    <w:p>
      <w:pPr>
        <w:pStyle w:val="Penstart"/>
        <w:rPr>
          <w:snapToGrid w:val="0"/>
        </w:rPr>
      </w:pPr>
      <w:r>
        <w:rPr>
          <w:snapToGrid w:val="0"/>
        </w:rPr>
        <w:tab/>
        <w:t>Penalty: In the case of a corporation $25 000 and in the case of an individual $5 000.</w:t>
      </w:r>
    </w:p>
    <w:p>
      <w:pPr>
        <w:pStyle w:val="Subsection"/>
        <w:rPr>
          <w:snapToGrid w:val="0"/>
        </w:rPr>
      </w:pPr>
      <w:r>
        <w:rPr>
          <w:snapToGrid w:val="0"/>
        </w:rPr>
        <w:tab/>
        <w:t>(2)</w:t>
      </w:r>
      <w:r>
        <w:rPr>
          <w:snapToGrid w:val="0"/>
        </w:rPr>
        <w:tab/>
        <w:t>A quarry manager for quarry operations where 25 or more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in a quarry in which explosives are not used, a restricted quarry manager’s certificate of competency.</w:t>
      </w:r>
    </w:p>
    <w:p>
      <w:pPr>
        <w:pStyle w:val="Subsection"/>
        <w:rPr>
          <w:snapToGrid w:val="0"/>
        </w:rPr>
      </w:pPr>
      <w:r>
        <w:rPr>
          <w:snapToGrid w:val="0"/>
        </w:rPr>
        <w:tab/>
        <w:t>(3)</w:t>
      </w:r>
      <w:r>
        <w:rPr>
          <w:snapToGrid w:val="0"/>
        </w:rPr>
        <w:tab/>
        <w:t>A quarry manager for quarry operations where fewer than 25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keepNext/>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a restricted quarry manager’s certificate of competency.</w:t>
      </w:r>
    </w:p>
    <w:p>
      <w:pPr>
        <w:pStyle w:val="Subsection"/>
        <w:rPr>
          <w:snapToGrid w:val="0"/>
        </w:rPr>
      </w:pPr>
      <w:r>
        <w:rPr>
          <w:snapToGrid w:val="0"/>
        </w:rPr>
        <w:tab/>
        <w:t>(4)</w:t>
      </w:r>
      <w:r>
        <w:rPr>
          <w:snapToGrid w:val="0"/>
        </w:rPr>
        <w:tab/>
        <w:t>Notwithstanding subsection (1) — </w:t>
      </w:r>
    </w:p>
    <w:p>
      <w:pPr>
        <w:pStyle w:val="Indenta"/>
        <w:rPr>
          <w:snapToGrid w:val="0"/>
        </w:rPr>
      </w:pPr>
      <w:r>
        <w:rPr>
          <w:snapToGrid w:val="0"/>
        </w:rPr>
        <w:tab/>
        <w:t>(a)</w:t>
      </w:r>
      <w:r>
        <w:rPr>
          <w:snapToGrid w:val="0"/>
        </w:rPr>
        <w:tab/>
        <w: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t>
      </w:r>
    </w:p>
    <w:p>
      <w:pPr>
        <w:pStyle w:val="Indenta"/>
        <w:rPr>
          <w:snapToGrid w:val="0"/>
        </w:rPr>
      </w:pPr>
      <w:r>
        <w:rPr>
          <w:snapToGrid w:val="0"/>
        </w:rPr>
        <w:tab/>
        <w:t>(b)</w:t>
      </w:r>
      <w:r>
        <w:rPr>
          <w:snapToGrid w:val="0"/>
        </w:rPr>
        <w:tab/>
        <w: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t>
      </w:r>
    </w:p>
    <w:p>
      <w:pPr>
        <w:pStyle w:val="Subsection"/>
        <w:rPr>
          <w:snapToGrid w:val="0"/>
        </w:rPr>
      </w:pPr>
      <w:r>
        <w:rPr>
          <w:snapToGrid w:val="0"/>
        </w:rPr>
        <w:tab/>
        <w:t>(5)</w:t>
      </w:r>
      <w:r>
        <w:rPr>
          <w:snapToGrid w:val="0"/>
        </w:rPr>
        <w:tab/>
        <w: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t>
      </w:r>
    </w:p>
    <w:p>
      <w:pPr>
        <w:pStyle w:val="Subsection"/>
        <w:rPr>
          <w:snapToGrid w:val="0"/>
        </w:rPr>
      </w:pPr>
      <w:r>
        <w:rPr>
          <w:snapToGrid w:val="0"/>
        </w:rPr>
        <w:tab/>
        <w:t>(6)</w:t>
      </w:r>
      <w:r>
        <w:rPr>
          <w:snapToGrid w:val="0"/>
        </w:rPr>
        <w:tab/>
        <w:t>Notwithstanding subsection (1), a quarry manager need not be appointed for quarry operations that consist only of exploration operations unless the State mining engineer, having regard to the scale and nature of the exploration operations, directs that such an appointment must be made.</w:t>
      </w:r>
    </w:p>
    <w:p>
      <w:pPr>
        <w:pStyle w:val="Heading5"/>
        <w:rPr>
          <w:snapToGrid w:val="0"/>
        </w:rPr>
      </w:pPr>
      <w:bookmarkStart w:id="123" w:name="_Toc192041134"/>
      <w:r>
        <w:rPr>
          <w:rStyle w:val="CharSectno"/>
        </w:rPr>
        <w:t>38</w:t>
      </w:r>
      <w:r>
        <w:rPr>
          <w:snapToGrid w:val="0"/>
        </w:rPr>
        <w:t>.</w:t>
      </w:r>
      <w:r>
        <w:rPr>
          <w:snapToGrid w:val="0"/>
        </w:rPr>
        <w:tab/>
        <w:t>Alternate and deputy quarry managers</w:t>
      </w:r>
      <w:bookmarkEnd w:id="123"/>
      <w:r>
        <w:rPr>
          <w:snapToGrid w:val="0"/>
        </w:rPr>
        <w:t xml:space="preserve"> </w:t>
      </w:r>
    </w:p>
    <w:p>
      <w:pPr>
        <w:pStyle w:val="Subsection"/>
        <w:rPr>
          <w:snapToGrid w:val="0"/>
        </w:rPr>
      </w:pPr>
      <w:r>
        <w:rPr>
          <w:snapToGrid w:val="0"/>
        </w:rPr>
        <w:tab/>
        <w:t>(1)</w:t>
      </w:r>
      <w:r>
        <w:rPr>
          <w:snapToGrid w:val="0"/>
        </w:rPr>
        <w:tab/>
        <w: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t>
      </w:r>
    </w:p>
    <w:p>
      <w:pPr>
        <w:pStyle w:val="Subsection"/>
        <w:rPr>
          <w:snapToGrid w:val="0"/>
        </w:rPr>
      </w:pPr>
      <w:r>
        <w:rPr>
          <w:snapToGrid w:val="0"/>
        </w:rPr>
        <w:tab/>
        <w:t>(2)</w:t>
      </w:r>
      <w:r>
        <w:rPr>
          <w:snapToGrid w:val="0"/>
        </w:rPr>
        <w:tab/>
        <w:t>The principal employer must inform the district inspector for the region in which the mine is situate within 24 hours (by electronic document transmission confirmed by hard copy within 7 days) of every appointment of an alternate quarry manager for a mine.</w:t>
      </w:r>
    </w:p>
    <w:p>
      <w:pPr>
        <w:pStyle w:val="Subsection"/>
        <w:rPr>
          <w:snapToGrid w:val="0"/>
        </w:rPr>
      </w:pPr>
      <w:r>
        <w:rPr>
          <w:snapToGrid w:val="0"/>
        </w:rPr>
        <w:tab/>
        <w:t>(3)</w:t>
      </w:r>
      <w:r>
        <w:rPr>
          <w:snapToGrid w:val="0"/>
        </w:rPr>
        <w:tab/>
        <w: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t>
      </w:r>
    </w:p>
    <w:p>
      <w:pPr>
        <w:pStyle w:val="Ednotesubsection"/>
      </w:pPr>
      <w:r>
        <w:tab/>
        <w:t>[(4)</w:t>
      </w:r>
      <w:r>
        <w:tab/>
        <w:t>repealed]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quarry manager if that person is eligible to be appointed quarry manager for the quarry operations or holds a restricted quarry manager’s 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t>
      </w:r>
    </w:p>
    <w:p>
      <w:pPr>
        <w:pStyle w:val="Ednotesubsection"/>
      </w:pPr>
      <w:r>
        <w:tab/>
        <w:t>[(7)</w:t>
      </w:r>
      <w:r>
        <w:tab/>
        <w:t>repealed]</w:t>
      </w:r>
    </w:p>
    <w:p>
      <w:pPr>
        <w:pStyle w:val="Subsection"/>
        <w:rPr>
          <w:snapToGrid w:val="0"/>
        </w:rPr>
      </w:pPr>
      <w:r>
        <w:rPr>
          <w:snapToGrid w:val="0"/>
        </w:rPr>
        <w:tab/>
        <w:t>(8)</w:t>
      </w:r>
      <w:r>
        <w:rPr>
          <w:snapToGrid w:val="0"/>
        </w:rPr>
        <w:tab/>
        <w:t xml:space="preserve">Each deputy quarry manager and alternate quarry manager appointed under this section is deemed to be the quarry manager and </w:t>
      </w:r>
      <w:r>
        <w:t>has the powers, functions and duties of a quarry manager under</w:t>
      </w:r>
      <w:r>
        <w:rPr>
          <w:snapToGrid w:val="0"/>
        </w:rPr>
        <w:t xml:space="preserve"> this Act for such periods of duty as the deputy or alternate has been appointed, but the appointment of a deputy or an alternate quarry manager does not relieve the quarry manager from responsibility for the exercise </w:t>
      </w:r>
      <w:r>
        <w:t>and performance of powers, functions</w:t>
      </w:r>
      <w:r>
        <w:rPr>
          <w:snapToGrid w:val="0"/>
        </w:rPr>
        <w:t xml:space="preserve"> and duties while serving as quarry manager.</w:t>
      </w:r>
    </w:p>
    <w:p>
      <w:pPr>
        <w:pStyle w:val="Footnotesection"/>
      </w:pPr>
      <w:r>
        <w:tab/>
        <w:t>[Section 38 amended by No. 68 of 2004 s. 45.]</w:t>
      </w:r>
    </w:p>
    <w:p>
      <w:pPr>
        <w:pStyle w:val="Heading5"/>
      </w:pPr>
      <w:bookmarkStart w:id="124" w:name="_Toc192041135"/>
      <w:r>
        <w:rPr>
          <w:rStyle w:val="CharSectno"/>
        </w:rPr>
        <w:t>38A</w:t>
      </w:r>
      <w:r>
        <w:t>.</w:t>
      </w:r>
      <w:r>
        <w:tab/>
        <w:t>Periods of duty and related matters to be shown in record book</w:t>
      </w:r>
      <w:bookmarkEnd w:id="124"/>
    </w:p>
    <w:p>
      <w:pPr>
        <w:pStyle w:val="Subsection"/>
      </w:pPr>
      <w:r>
        <w:tab/>
        <w:t>(1)</w:t>
      </w:r>
      <w:r>
        <w:tab/>
        <w:t>T</w:t>
      </w:r>
      <w:r>
        <w:rPr>
          <w:snapToGrid w:val="0"/>
        </w:rPr>
        <w:t>he registered manager for a mine and any alternate registered manager for a mine must each maintain a log in the record book of his or her periods of duty as registered manager for the mine.</w:t>
      </w:r>
    </w:p>
    <w:p>
      <w:pPr>
        <w:pStyle w:val="Penstart"/>
        <w:rPr>
          <w:snapToGrid w:val="0"/>
        </w:rPr>
      </w:pPr>
      <w:r>
        <w:rPr>
          <w:snapToGrid w:val="0"/>
        </w:rPr>
        <w:tab/>
        <w:t>Penalty: $5 000.</w:t>
      </w:r>
    </w:p>
    <w:p>
      <w:pPr>
        <w:pStyle w:val="Subsection"/>
      </w:pPr>
      <w:r>
        <w:tab/>
        <w:t>(2)</w:t>
      </w:r>
      <w:r>
        <w:tab/>
        <w:t>Without limiting subsection (1), the log maintained by the registered manager</w:t>
      </w:r>
      <w:r>
        <w:rPr>
          <w:snapToGrid w:val="0"/>
        </w:rPr>
        <w:t xml:space="preserve"> and the log maintained by any alternate registered manager</w:t>
      </w:r>
      <w:r>
        <w:t xml:space="preserve"> must include, in accordance with the regulations, particulars of — </w:t>
      </w:r>
    </w:p>
    <w:p>
      <w:pPr>
        <w:pStyle w:val="Indenta"/>
      </w:pPr>
      <w:r>
        <w:tab/>
        <w:t>(a)</w:t>
      </w:r>
      <w:r>
        <w:tab/>
        <w:t>each period during which a person appointed under section 34(3) acted as deputy of the registered manager</w:t>
      </w:r>
      <w:r>
        <w:rPr>
          <w:snapToGrid w:val="0"/>
        </w:rPr>
        <w:t xml:space="preserve"> or the alternate registered manager, as the case may be</w:t>
      </w:r>
      <w:r>
        <w:t xml:space="preserve">; and </w:t>
      </w:r>
    </w:p>
    <w:p>
      <w:pPr>
        <w:pStyle w:val="Indenta"/>
      </w:pPr>
      <w:r>
        <w:tab/>
        <w:t>(b)</w:t>
      </w:r>
      <w:r>
        <w:tab/>
        <w:t>the name of the person who so acted during the period.</w:t>
      </w:r>
    </w:p>
    <w:p>
      <w:pPr>
        <w:pStyle w:val="Subsection"/>
        <w:rPr>
          <w:snapToGrid w:val="0"/>
        </w:rPr>
      </w:pPr>
      <w:r>
        <w:tab/>
        <w:t>(3)</w:t>
      </w:r>
      <w:r>
        <w:tab/>
        <w:t>T</w:t>
      </w:r>
      <w:r>
        <w:rPr>
          <w:snapToGrid w:val="0"/>
        </w:rPr>
        <w:t>he underground manager and any alternate underground manager must each maintain a log in the record book of his or her periods of duty as underground manager for the mine.</w:t>
      </w:r>
    </w:p>
    <w:p>
      <w:pPr>
        <w:pStyle w:val="Penstart"/>
        <w:rPr>
          <w:snapToGrid w:val="0"/>
        </w:rPr>
      </w:pPr>
      <w:r>
        <w:tab/>
        <w:t xml:space="preserve">Penalty: </w:t>
      </w:r>
      <w:r>
        <w:rPr>
          <w:snapToGrid w:val="0"/>
        </w:rPr>
        <w:t>$5 000.</w:t>
      </w:r>
    </w:p>
    <w:p>
      <w:pPr>
        <w:pStyle w:val="Subsection"/>
      </w:pPr>
      <w:r>
        <w:tab/>
        <w:t>(4)</w:t>
      </w:r>
      <w:r>
        <w:tab/>
        <w:t xml:space="preserve">Without limiting subsection (3), the log maintained by </w:t>
      </w:r>
      <w:r>
        <w:rPr>
          <w:snapToGrid w:val="0"/>
        </w:rPr>
        <w:t>the underground manager and the log maintained by any alternate underground manager</w:t>
      </w:r>
      <w:r>
        <w:t xml:space="preserve"> must include, in accordance with the regulations, particulars of — </w:t>
      </w:r>
    </w:p>
    <w:p>
      <w:pPr>
        <w:pStyle w:val="Indenta"/>
      </w:pPr>
      <w:r>
        <w:tab/>
        <w:t>(a)</w:t>
      </w:r>
      <w:r>
        <w:tab/>
        <w:t xml:space="preserve">each period during which a person appointed under section 36(3) acted as deputy of </w:t>
      </w:r>
      <w:r>
        <w:rPr>
          <w:snapToGrid w:val="0"/>
        </w:rPr>
        <w:t>the underground manager or the alternate underground manager, as the case may be</w:t>
      </w:r>
      <w:r>
        <w:t xml:space="preserve">; and </w:t>
      </w:r>
    </w:p>
    <w:p>
      <w:pPr>
        <w:pStyle w:val="Indenta"/>
      </w:pPr>
      <w:r>
        <w:tab/>
        <w:t>(b)</w:t>
      </w:r>
      <w:r>
        <w:tab/>
        <w:t>the name of the person who so acted during the period.</w:t>
      </w:r>
    </w:p>
    <w:p>
      <w:pPr>
        <w:pStyle w:val="Subsection"/>
        <w:rPr>
          <w:snapToGrid w:val="0"/>
        </w:rPr>
      </w:pPr>
      <w:r>
        <w:tab/>
        <w:t>(5)</w:t>
      </w:r>
      <w:r>
        <w:tab/>
        <w:t>T</w:t>
      </w:r>
      <w:r>
        <w:rPr>
          <w:snapToGrid w:val="0"/>
        </w:rPr>
        <w:t>he quarry manager and any alternate quarry manager must each maintain a log in the record book of his or her periods of duty as quarry manager for the mine.</w:t>
      </w:r>
    </w:p>
    <w:p>
      <w:pPr>
        <w:pStyle w:val="Penstart"/>
        <w:rPr>
          <w:snapToGrid w:val="0"/>
        </w:rPr>
      </w:pPr>
      <w:r>
        <w:tab/>
        <w:t xml:space="preserve">Penalty: </w:t>
      </w:r>
      <w:r>
        <w:rPr>
          <w:snapToGrid w:val="0"/>
        </w:rPr>
        <w:t>$5 000.</w:t>
      </w:r>
    </w:p>
    <w:p>
      <w:pPr>
        <w:pStyle w:val="Subsection"/>
      </w:pPr>
      <w:r>
        <w:tab/>
        <w:t>(6)</w:t>
      </w:r>
      <w:r>
        <w:tab/>
        <w:t xml:space="preserve">Without limiting subsection (5), the log maintained by </w:t>
      </w:r>
      <w:r>
        <w:rPr>
          <w:snapToGrid w:val="0"/>
        </w:rPr>
        <w:t xml:space="preserve">the quarry manager and the log maintained by any alternate quarry manager </w:t>
      </w:r>
      <w:r>
        <w:t xml:space="preserve">must include, in accordance with the regulations, particulars of — </w:t>
      </w:r>
    </w:p>
    <w:p>
      <w:pPr>
        <w:pStyle w:val="Indenta"/>
      </w:pPr>
      <w:r>
        <w:tab/>
        <w:t>(a)</w:t>
      </w:r>
      <w:r>
        <w:tab/>
        <w:t xml:space="preserve">each period during which a person appointed under section 38(3) acted as deputy of </w:t>
      </w:r>
      <w:r>
        <w:rPr>
          <w:snapToGrid w:val="0"/>
        </w:rPr>
        <w:t>the quarry manager or the alternate quarry manager, as the case may be</w:t>
      </w:r>
      <w:r>
        <w:t xml:space="preserve">; and </w:t>
      </w:r>
    </w:p>
    <w:p>
      <w:pPr>
        <w:pStyle w:val="Indenta"/>
      </w:pPr>
      <w:r>
        <w:tab/>
        <w:t>(b)</w:t>
      </w:r>
      <w:r>
        <w:tab/>
        <w:t>the name of the person who so acted during the period.</w:t>
      </w:r>
    </w:p>
    <w:p>
      <w:pPr>
        <w:pStyle w:val="Footnotesection"/>
      </w:pPr>
      <w:r>
        <w:tab/>
        <w:t>[Section 38A inserted by No. 68 of 2004 s. 46.]</w:t>
      </w:r>
    </w:p>
    <w:p>
      <w:pPr>
        <w:pStyle w:val="Heading5"/>
        <w:rPr>
          <w:snapToGrid w:val="0"/>
        </w:rPr>
      </w:pPr>
      <w:bookmarkStart w:id="125" w:name="_Toc192041136"/>
      <w:r>
        <w:rPr>
          <w:rStyle w:val="CharSectno"/>
        </w:rPr>
        <w:t>39</w:t>
      </w:r>
      <w:r>
        <w:rPr>
          <w:snapToGrid w:val="0"/>
        </w:rPr>
        <w:t>.</w:t>
      </w:r>
      <w:r>
        <w:rPr>
          <w:snapToGrid w:val="0"/>
        </w:rPr>
        <w:tab/>
        <w:t>Requirement for appointment of more than one certificated manager</w:t>
      </w:r>
      <w:bookmarkEnd w:id="125"/>
      <w:r>
        <w:rPr>
          <w:snapToGrid w:val="0"/>
        </w:rPr>
        <w:t xml:space="preserve"> </w:t>
      </w:r>
    </w:p>
    <w:p>
      <w:pPr>
        <w:pStyle w:val="Subsection"/>
        <w:spacing w:before="200"/>
        <w:rPr>
          <w:snapToGrid w:val="0"/>
        </w:rPr>
      </w:pPr>
      <w:r>
        <w:rPr>
          <w:snapToGrid w:val="0"/>
        </w:rPr>
        <w:tab/>
        <w:t>(1)</w:t>
      </w:r>
      <w:r>
        <w:rPr>
          <w:snapToGrid w:val="0"/>
        </w:rPr>
        <w:tab/>
        <w:t xml:space="preserve">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manager or a quarry manager to control and supervise on a daily basis such of those operations as the State mining engineer may specify in the notice. </w:t>
      </w:r>
    </w:p>
    <w:p>
      <w:pPr>
        <w:pStyle w:val="Subsection"/>
        <w:spacing w:before="200"/>
      </w:pPr>
      <w:r>
        <w:tab/>
        <w:t>(1a)</w:t>
      </w:r>
      <w:r>
        <w:tab/>
        <w:t>A notice is sufficiently given to the principal employer at a mine for the purposes of subsection (1) if it is given to the registered manager of the mine.</w:t>
      </w:r>
    </w:p>
    <w:p>
      <w:pPr>
        <w:pStyle w:val="Subsection"/>
        <w:spacing w:before="200"/>
        <w:rPr>
          <w:snapToGrid w:val="0"/>
        </w:rPr>
      </w:pPr>
      <w:r>
        <w:rPr>
          <w:snapToGrid w:val="0"/>
        </w:rPr>
        <w:tab/>
        <w:t>(2)</w:t>
      </w:r>
      <w:r>
        <w:rPr>
          <w:snapToGrid w:val="0"/>
        </w:rPr>
        <w:tab/>
        <w:t>A principal employer who fails to comply promptly with a requirement under subsection (1) commits an offence.</w:t>
      </w:r>
    </w:p>
    <w:p>
      <w:pPr>
        <w:pStyle w:val="Footnotesection"/>
      </w:pPr>
      <w:r>
        <w:tab/>
        <w:t>[Section 39 amended by No. 68 of 2004 s. 47.]</w:t>
      </w:r>
    </w:p>
    <w:p>
      <w:pPr>
        <w:pStyle w:val="Heading5"/>
        <w:rPr>
          <w:snapToGrid w:val="0"/>
        </w:rPr>
      </w:pPr>
      <w:bookmarkStart w:id="126" w:name="_Toc192041137"/>
      <w:r>
        <w:rPr>
          <w:rStyle w:val="CharSectno"/>
        </w:rPr>
        <w:t>40</w:t>
      </w:r>
      <w:r>
        <w:rPr>
          <w:snapToGrid w:val="0"/>
        </w:rPr>
        <w:t>.</w:t>
      </w:r>
      <w:r>
        <w:rPr>
          <w:snapToGrid w:val="0"/>
        </w:rPr>
        <w:tab/>
        <w:t>Managers to notify assumption of control</w:t>
      </w:r>
      <w:bookmarkEnd w:id="126"/>
      <w:r>
        <w:rPr>
          <w:snapToGrid w:val="0"/>
        </w:rPr>
        <w:t xml:space="preserve"> </w:t>
      </w:r>
    </w:p>
    <w:p>
      <w:pPr>
        <w:pStyle w:val="Subsection"/>
        <w:spacing w:before="200"/>
        <w:rPr>
          <w:snapToGrid w:val="0"/>
        </w:rPr>
      </w:pPr>
      <w:r>
        <w:rPr>
          <w:snapToGrid w:val="0"/>
        </w:rPr>
        <w:tab/>
        <w:t>(1)</w:t>
      </w:r>
      <w:r>
        <w:rPr>
          <w:snapToGrid w:val="0"/>
        </w:rPr>
        <w:tab/>
        <w: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t>
      </w:r>
    </w:p>
    <w:p>
      <w:pPr>
        <w:pStyle w:val="Penstart"/>
        <w:rPr>
          <w:snapToGrid w:val="0"/>
        </w:rPr>
      </w:pPr>
      <w:r>
        <w:rPr>
          <w:snapToGrid w:val="0"/>
        </w:rPr>
        <w:tab/>
        <w:t>Penalty: $5 000.</w:t>
      </w:r>
    </w:p>
    <w:p>
      <w:pPr>
        <w:pStyle w:val="Subsection"/>
        <w:spacing w:before="200"/>
        <w:rPr>
          <w:snapToGrid w:val="0"/>
        </w:rPr>
      </w:pPr>
      <w:r>
        <w:rPr>
          <w:snapToGrid w:val="0"/>
        </w:rPr>
        <w:tab/>
        <w:t>(2)</w:t>
      </w:r>
      <w:r>
        <w:rPr>
          <w:snapToGrid w:val="0"/>
        </w:rPr>
        <w:tab/>
        <w: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 district inspector must confirm in writing receipt of every notification that the inspector receives under this section.</w:t>
      </w:r>
    </w:p>
    <w:p>
      <w:pPr>
        <w:pStyle w:val="Subsection"/>
      </w:pPr>
      <w:r>
        <w:rPr>
          <w:snapToGrid w:val="0"/>
        </w:rPr>
        <w:tab/>
        <w:t>(4)</w:t>
      </w:r>
      <w:r>
        <w:rPr>
          <w:snapToGrid w:val="0"/>
        </w:rPr>
        <w:tab/>
        <w:t>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for the periods of duty provided for in the commute schedule may, instead of being notified to the district inspector, be entered in</w:t>
      </w:r>
      <w:r>
        <w:t xml:space="preserve"> the record book in accordance with section 38A.</w:t>
      </w:r>
    </w:p>
    <w:p>
      <w:pPr>
        <w:pStyle w:val="Footnotesection"/>
      </w:pPr>
      <w:r>
        <w:tab/>
        <w:t>[Section 40 amended by No. 68 of 2004 s. 48.]</w:t>
      </w:r>
    </w:p>
    <w:p>
      <w:pPr>
        <w:pStyle w:val="Heading5"/>
        <w:rPr>
          <w:snapToGrid w:val="0"/>
        </w:rPr>
      </w:pPr>
      <w:bookmarkStart w:id="127" w:name="_Toc192041138"/>
      <w:r>
        <w:rPr>
          <w:rStyle w:val="CharSectno"/>
        </w:rPr>
        <w:t>41</w:t>
      </w:r>
      <w:r>
        <w:rPr>
          <w:snapToGrid w:val="0"/>
        </w:rPr>
        <w:t>.</w:t>
      </w:r>
      <w:r>
        <w:rPr>
          <w:snapToGrid w:val="0"/>
        </w:rPr>
        <w:tab/>
        <w:t>Offence to work mine without appointed managers</w:t>
      </w:r>
      <w:bookmarkEnd w:id="127"/>
      <w:r>
        <w:rPr>
          <w:snapToGrid w:val="0"/>
        </w:rPr>
        <w:t xml:space="preserve"> </w:t>
      </w:r>
    </w:p>
    <w:p>
      <w:pPr>
        <w:pStyle w:val="Subsection"/>
        <w:keepNext/>
        <w:rPr>
          <w:snapToGrid w:val="0"/>
        </w:rPr>
      </w:pPr>
      <w:r>
        <w:rPr>
          <w:snapToGrid w:val="0"/>
        </w:rPr>
        <w:tab/>
      </w:r>
      <w:r>
        <w:rPr>
          <w:snapToGrid w:val="0"/>
        </w:rPr>
        <w:tab/>
        <w:t>If a mine is worked for more than 14 days other than — </w:t>
      </w:r>
    </w:p>
    <w:p>
      <w:pPr>
        <w:pStyle w:val="Indenta"/>
        <w:rPr>
          <w:snapToGrid w:val="0"/>
        </w:rPr>
      </w:pPr>
      <w:r>
        <w:rPr>
          <w:snapToGrid w:val="0"/>
        </w:rPr>
        <w:tab/>
        <w:t>(a)</w:t>
      </w:r>
      <w:r>
        <w:rPr>
          <w:snapToGrid w:val="0"/>
        </w:rPr>
        <w:tab/>
        <w:t>under the control and supervision of a registered manager when such a manager is required to be appointed under section 33; or</w:t>
      </w:r>
    </w:p>
    <w:p>
      <w:pPr>
        <w:pStyle w:val="Indenta"/>
        <w:rPr>
          <w:snapToGrid w:val="0"/>
        </w:rPr>
      </w:pPr>
      <w:r>
        <w:rPr>
          <w:snapToGrid w:val="0"/>
        </w:rPr>
        <w:tab/>
        <w:t>(b)</w:t>
      </w:r>
      <w:r>
        <w:rPr>
          <w:snapToGrid w:val="0"/>
        </w:rPr>
        <w:tab/>
        <w:t>in the case of underground operations and quarry operations, under the control and supervision on a daily basis of an underground manager or a quarry manager when such a manager is required to be appointed under section 35 or 37,</w:t>
      </w:r>
    </w:p>
    <w:p>
      <w:pPr>
        <w:pStyle w:val="Subsection"/>
        <w:rPr>
          <w:snapToGrid w:val="0"/>
        </w:rPr>
      </w:pPr>
      <w:r>
        <w:rPr>
          <w:snapToGrid w:val="0"/>
        </w:rPr>
        <w:tab/>
      </w:r>
      <w:r>
        <w:rPr>
          <w:snapToGrid w:val="0"/>
        </w:rPr>
        <w:tab/>
        <w:t>the principal employer commits an offence for each day or part of a day during which the mine is so worked and is liable to a fine of $25 000 in the case of a corporation and $5 000 in the case of an individual and to a further fine of $1 000 in the case of a corporation and $500 in the case of an individual for each day or part of a day during which the offence continues.</w:t>
      </w:r>
    </w:p>
    <w:p>
      <w:pPr>
        <w:pStyle w:val="Heading5"/>
        <w:rPr>
          <w:snapToGrid w:val="0"/>
        </w:rPr>
      </w:pPr>
      <w:bookmarkStart w:id="128" w:name="_Toc192041139"/>
      <w:r>
        <w:rPr>
          <w:rStyle w:val="CharSectno"/>
        </w:rPr>
        <w:t>42</w:t>
      </w:r>
      <w:r>
        <w:rPr>
          <w:snapToGrid w:val="0"/>
        </w:rPr>
        <w:t>.</w:t>
      </w:r>
      <w:r>
        <w:rPr>
          <w:snapToGrid w:val="0"/>
        </w:rPr>
        <w:tab/>
        <w:t>Commencement or suspension of mining</w:t>
      </w:r>
      <w:bookmarkEnd w:id="128"/>
      <w:r>
        <w:rPr>
          <w:snapToGrid w:val="0"/>
        </w:rPr>
        <w:t xml:space="preserve"> </w:t>
      </w:r>
    </w:p>
    <w:p>
      <w:pPr>
        <w:pStyle w:val="Subsection"/>
        <w:rPr>
          <w:snapToGrid w:val="0"/>
        </w:rPr>
      </w:pPr>
      <w:r>
        <w:rPr>
          <w:snapToGrid w:val="0"/>
        </w:rPr>
        <w:tab/>
        <w:t>(1)</w:t>
      </w:r>
      <w:r>
        <w:rPr>
          <w:snapToGrid w:val="0"/>
        </w:rPr>
        <w:tab/>
        <w:t>The principal employer or the manager of a mine must, in accordance with the regulations, notify the district inspector for the region in which the mine is situated — </w:t>
      </w:r>
    </w:p>
    <w:p>
      <w:pPr>
        <w:pStyle w:val="Indenta"/>
        <w:rPr>
          <w:snapToGrid w:val="0"/>
        </w:rPr>
      </w:pPr>
      <w:r>
        <w:rPr>
          <w:snapToGrid w:val="0"/>
        </w:rPr>
        <w:tab/>
        <w:t>(a)</w:t>
      </w:r>
      <w:r>
        <w:rPr>
          <w:snapToGrid w:val="0"/>
        </w:rPr>
        <w:tab/>
        <w:t>before mining operations are commenced at the mine; or</w:t>
      </w:r>
    </w:p>
    <w:p>
      <w:pPr>
        <w:pStyle w:val="Indenta"/>
        <w:rPr>
          <w:snapToGrid w:val="0"/>
        </w:rPr>
      </w:pPr>
      <w:r>
        <w:rPr>
          <w:snapToGrid w:val="0"/>
        </w:rPr>
        <w:tab/>
        <w:t>(b)</w:t>
      </w:r>
      <w:r>
        <w:rPr>
          <w:snapToGrid w:val="0"/>
        </w:rPr>
        <w:tab/>
        <w:t>before mining operations are recommenced after their suspension; or</w:t>
      </w:r>
    </w:p>
    <w:p>
      <w:pPr>
        <w:pStyle w:val="Indenta"/>
        <w:rPr>
          <w:snapToGrid w:val="0"/>
        </w:rPr>
      </w:pPr>
      <w:r>
        <w:rPr>
          <w:snapToGrid w:val="0"/>
        </w:rPr>
        <w:tab/>
        <w:t>(c)</w:t>
      </w:r>
      <w:r>
        <w:rPr>
          <w:snapToGrid w:val="0"/>
        </w:rPr>
        <w:tab/>
        <w:t>before mining operations are abandoned; or</w:t>
      </w:r>
    </w:p>
    <w:p>
      <w:pPr>
        <w:pStyle w:val="Indenta"/>
        <w:rPr>
          <w:snapToGrid w:val="0"/>
        </w:rPr>
      </w:pPr>
      <w:r>
        <w:rPr>
          <w:snapToGrid w:val="0"/>
        </w:rPr>
        <w:tab/>
        <w:t>(d)</w:t>
      </w:r>
      <w:r>
        <w:rPr>
          <w:snapToGrid w:val="0"/>
        </w:rPr>
        <w:tab/>
        <w:t>before mining operations are suspended.</w:t>
      </w:r>
    </w:p>
    <w:p>
      <w:pPr>
        <w:pStyle w:val="Subsection"/>
        <w:rPr>
          <w:snapToGrid w:val="0"/>
        </w:rPr>
      </w:pPr>
      <w:r>
        <w:rPr>
          <w:snapToGrid w:val="0"/>
        </w:rPr>
        <w:tab/>
        <w:t>(2)</w:t>
      </w:r>
      <w:r>
        <w:rPr>
          <w:snapToGrid w:val="0"/>
        </w:rPr>
        <w:tab/>
        <w: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t>
      </w:r>
    </w:p>
    <w:p>
      <w:pPr>
        <w:pStyle w:val="Subsection"/>
        <w:rPr>
          <w:snapToGrid w:val="0"/>
        </w:rPr>
      </w:pPr>
      <w:r>
        <w:rPr>
          <w:snapToGrid w:val="0"/>
        </w:rPr>
        <w:tab/>
        <w:t>(3)</w:t>
      </w:r>
      <w:r>
        <w:rPr>
          <w:snapToGrid w:val="0"/>
        </w:rPr>
        <w:tab/>
        <w:t>A principal employer or manager must procure the approval in writing of the State mining engineer before mining operations are commenced at a mine.</w:t>
      </w:r>
    </w:p>
    <w:p>
      <w:pPr>
        <w:pStyle w:val="Subsection"/>
        <w:rPr>
          <w:snapToGrid w:val="0"/>
        </w:rPr>
      </w:pPr>
      <w:r>
        <w:rPr>
          <w:snapToGrid w:val="0"/>
        </w:rPr>
        <w:tab/>
        <w:t>(4)</w:t>
      </w:r>
      <w:r>
        <w:rPr>
          <w:snapToGrid w:val="0"/>
        </w:rPr>
        <w:tab/>
        <w:t>A principal employer or manager who contravenes subsection (1), (2) or (3) commits an offence.</w:t>
      </w:r>
    </w:p>
    <w:p>
      <w:pPr>
        <w:pStyle w:val="Subsection"/>
        <w:rPr>
          <w:snapToGrid w:val="0"/>
        </w:rPr>
      </w:pPr>
      <w:r>
        <w:rPr>
          <w:snapToGrid w:val="0"/>
        </w:rPr>
        <w:tab/>
        <w:t>(5)</w:t>
      </w:r>
      <w:r>
        <w:rPr>
          <w:snapToGrid w:val="0"/>
        </w:rPr>
        <w:tab/>
        <w:t xml:space="preserve">In this section, </w:t>
      </w:r>
      <w:r>
        <w:rPr>
          <w:b/>
          <w:snapToGrid w:val="0"/>
        </w:rPr>
        <w:t>“</w:t>
      </w:r>
      <w:r>
        <w:rPr>
          <w:rStyle w:val="CharDefText"/>
        </w:rPr>
        <w:t>mining operations</w:t>
      </w:r>
      <w:r>
        <w:rPr>
          <w:b/>
          <w:snapToGrid w:val="0"/>
        </w:rPr>
        <w:t>”</w:t>
      </w:r>
      <w:r>
        <w:rPr>
          <w:snapToGrid w:val="0"/>
        </w:rPr>
        <w:t xml:space="preserve"> do not include exploration operations.</w:t>
      </w:r>
    </w:p>
    <w:p>
      <w:pPr>
        <w:pStyle w:val="Heading5"/>
        <w:rPr>
          <w:snapToGrid w:val="0"/>
        </w:rPr>
      </w:pPr>
      <w:bookmarkStart w:id="129" w:name="_Toc192041140"/>
      <w:r>
        <w:rPr>
          <w:rStyle w:val="CharSectno"/>
        </w:rPr>
        <w:t>43</w:t>
      </w:r>
      <w:r>
        <w:rPr>
          <w:snapToGrid w:val="0"/>
        </w:rPr>
        <w:t>.</w:t>
      </w:r>
      <w:r>
        <w:rPr>
          <w:snapToGrid w:val="0"/>
        </w:rPr>
        <w:tab/>
        <w:t>Duties and responsibilities of manager</w:t>
      </w:r>
      <w:bookmarkEnd w:id="129"/>
      <w:r>
        <w:rPr>
          <w:snapToGrid w:val="0"/>
        </w:rPr>
        <w:t xml:space="preserve"> </w:t>
      </w:r>
    </w:p>
    <w:p>
      <w:pPr>
        <w:pStyle w:val="Subsection"/>
        <w:rPr>
          <w:snapToGrid w:val="0"/>
        </w:rPr>
      </w:pPr>
      <w:r>
        <w:rPr>
          <w:snapToGrid w:val="0"/>
        </w:rPr>
        <w:tab/>
        <w:t>(1)</w:t>
      </w:r>
      <w:r>
        <w:rPr>
          <w:snapToGrid w:val="0"/>
        </w:rPr>
        <w:tab/>
        <w:t xml:space="preserve">The manager of a mine has the management and control of the mine subject to any instructions given to the manager by or on behalf of the principal employer. </w:t>
      </w:r>
    </w:p>
    <w:p>
      <w:pPr>
        <w:pStyle w:val="Subsection"/>
        <w:keepNext/>
        <w:keepLines/>
        <w:rPr>
          <w:snapToGrid w:val="0"/>
        </w:rPr>
      </w:pPr>
      <w:r>
        <w:rPr>
          <w:snapToGrid w:val="0"/>
        </w:rPr>
        <w:tab/>
        <w:t>(2)</w:t>
      </w:r>
      <w:r>
        <w:rPr>
          <w:snapToGrid w:val="0"/>
        </w:rPr>
        <w:tab/>
        <w:t>The manager of a mine must, so far as is practicable — </w:t>
      </w:r>
    </w:p>
    <w:p>
      <w:pPr>
        <w:pStyle w:val="Indenta"/>
        <w:rPr>
          <w:snapToGrid w:val="0"/>
        </w:rPr>
      </w:pPr>
      <w:r>
        <w:rPr>
          <w:snapToGrid w:val="0"/>
        </w:rPr>
        <w:tab/>
        <w:t>(a)</w:t>
      </w:r>
      <w:r>
        <w:rPr>
          <w:snapToGrid w:val="0"/>
        </w:rPr>
        <w:tab/>
        <w:t>manage and control the operation of the mine in accordance with this Act; and</w:t>
      </w:r>
    </w:p>
    <w:p>
      <w:pPr>
        <w:pStyle w:val="Indenta"/>
        <w:rPr>
          <w:snapToGrid w:val="0"/>
        </w:rPr>
      </w:pPr>
      <w:r>
        <w:rPr>
          <w:snapToGrid w:val="0"/>
        </w:rPr>
        <w:tab/>
        <w:t>(b)</w:t>
      </w:r>
      <w:r>
        <w:rPr>
          <w:snapToGrid w:val="0"/>
        </w:rPr>
        <w:tab/>
        <w:t>ensure that every person who is appointed to perform any duty under this Act understands the nature and scope of that duty; and</w:t>
      </w:r>
    </w:p>
    <w:p>
      <w:pPr>
        <w:pStyle w:val="Indenta"/>
        <w:rPr>
          <w:snapToGrid w:val="0"/>
        </w:rPr>
      </w:pPr>
      <w:r>
        <w:rPr>
          <w:snapToGrid w:val="0"/>
        </w:rPr>
        <w:tab/>
        <w:t>(c)</w:t>
      </w:r>
      <w:r>
        <w:rPr>
          <w:snapToGrid w:val="0"/>
        </w:rPr>
        <w:tab/>
        <w:t>ensure that every person, other than the principal employer and persons acting on behalf of the principal employer, performs all duties imposed on that person under this Act.</w:t>
      </w:r>
    </w:p>
    <w:p>
      <w:pPr>
        <w:pStyle w:val="Penstart"/>
        <w:rPr>
          <w:snapToGrid w:val="0"/>
        </w:rPr>
      </w:pPr>
      <w:r>
        <w:rPr>
          <w:snapToGrid w:val="0"/>
        </w:rPr>
        <w:tab/>
        <w:t>Penalty: $5 000.</w:t>
      </w:r>
    </w:p>
    <w:p>
      <w:pPr>
        <w:pStyle w:val="Heading5"/>
      </w:pPr>
      <w:bookmarkStart w:id="130" w:name="_Toc192041141"/>
      <w:r>
        <w:rPr>
          <w:rStyle w:val="CharSectno"/>
        </w:rPr>
        <w:t>43A</w:t>
      </w:r>
      <w:r>
        <w:t>.</w:t>
      </w:r>
      <w:r>
        <w:tab/>
        <w:t>Duties and responsibilities of underground manager or quarry manager</w:t>
      </w:r>
      <w:bookmarkEnd w:id="130"/>
    </w:p>
    <w:p>
      <w:pPr>
        <w:pStyle w:val="Subsection"/>
      </w:pPr>
      <w:r>
        <w:tab/>
        <w:t>(1)</w:t>
      </w:r>
      <w:r>
        <w:tab/>
        <w: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t>
      </w:r>
    </w:p>
    <w:p>
      <w:pPr>
        <w:pStyle w:val="Subsection"/>
      </w:pPr>
      <w:r>
        <w:tab/>
        <w:t>(2)</w:t>
      </w:r>
      <w:r>
        <w:tab/>
        <w:t xml:space="preserve">The underground manager of a mine must, so far as is practicable — </w:t>
      </w:r>
    </w:p>
    <w:p>
      <w:pPr>
        <w:pStyle w:val="Indenta"/>
      </w:pPr>
      <w:r>
        <w:tab/>
        <w:t>(a)</w:t>
      </w:r>
      <w:r>
        <w:tab/>
        <w:t>control and supervise, on a daily basis, the underground operations of the mine; and</w:t>
      </w:r>
    </w:p>
    <w:p>
      <w:pPr>
        <w:pStyle w:val="Indenta"/>
      </w:pPr>
      <w:r>
        <w:tab/>
        <w:t>(b)</w:t>
      </w:r>
      <w:r>
        <w:tab/>
        <w:t>ensure that every person who is appointed to perform any duty under this Act underground understands the nature and scope of that duty; and</w:t>
      </w:r>
    </w:p>
    <w:p>
      <w:pPr>
        <w:pStyle w:val="Indenta"/>
      </w:pPr>
      <w:r>
        <w:tab/>
        <w:t>(c)</w:t>
      </w:r>
      <w:r>
        <w:tab/>
        <w:t>ensure that, when underground, every person, other than the registered manager, the principal employer, or any person acting on behalf of the principal employer, performs all duties imposed on that person under this Act.</w:t>
      </w:r>
    </w:p>
    <w:p>
      <w:pPr>
        <w:pStyle w:val="Subsection"/>
        <w:keepNext/>
        <w:keepLines/>
      </w:pPr>
      <w:r>
        <w:tab/>
        <w:t>(3)</w:t>
      </w:r>
      <w:r>
        <w:tab/>
        <w: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t>
      </w:r>
    </w:p>
    <w:p>
      <w:pPr>
        <w:pStyle w:val="Subsection"/>
        <w:spacing w:before="120"/>
      </w:pPr>
      <w:r>
        <w:tab/>
        <w:t>(4)</w:t>
      </w:r>
      <w:r>
        <w:tab/>
        <w:t xml:space="preserve">The quarry manager of a mine must, so far as is practicable — </w:t>
      </w:r>
    </w:p>
    <w:p>
      <w:pPr>
        <w:pStyle w:val="Indenta"/>
        <w:spacing w:before="60"/>
      </w:pPr>
      <w:r>
        <w:tab/>
        <w:t>(a)</w:t>
      </w:r>
      <w:r>
        <w:tab/>
        <w:t>control and supervise, on a daily basis, the quarry operations of the mine; and</w:t>
      </w:r>
    </w:p>
    <w:p>
      <w:pPr>
        <w:pStyle w:val="Indenta"/>
        <w:spacing w:before="60"/>
      </w:pPr>
      <w:r>
        <w:tab/>
        <w:t>(b)</w:t>
      </w:r>
      <w:r>
        <w:tab/>
        <w:t>ensure that every person who is appointed to perform any duty under this Act in the course of quarry operations understands the nature and scope of that duty; and</w:t>
      </w:r>
    </w:p>
    <w:p>
      <w:pPr>
        <w:pStyle w:val="Indenta"/>
        <w:spacing w:before="60"/>
      </w:pPr>
      <w:r>
        <w:tab/>
        <w:t>(c)</w:t>
      </w:r>
      <w:r>
        <w:tab/>
        <w:t>ensure that, when engaged in quarry operations, every person, other than the registered manager, the principal employer, or any person acting on behalf of the principal employer, performs all duties imposed on that person under this Act.</w:t>
      </w:r>
    </w:p>
    <w:p>
      <w:pPr>
        <w:pStyle w:val="Penstart"/>
      </w:pPr>
      <w:r>
        <w:tab/>
        <w:t>Penalty: $5 000.</w:t>
      </w:r>
    </w:p>
    <w:p>
      <w:pPr>
        <w:pStyle w:val="Footnotesection"/>
      </w:pPr>
      <w:r>
        <w:tab/>
        <w:t>[Section 43A inserted by No. 16 of 2002 s. 4.]</w:t>
      </w:r>
    </w:p>
    <w:p>
      <w:pPr>
        <w:pStyle w:val="Heading5"/>
        <w:rPr>
          <w:snapToGrid w:val="0"/>
        </w:rPr>
      </w:pPr>
      <w:bookmarkStart w:id="131" w:name="_Toc192041142"/>
      <w:r>
        <w:rPr>
          <w:rStyle w:val="CharSectno"/>
        </w:rPr>
        <w:t>44</w:t>
      </w:r>
      <w:r>
        <w:rPr>
          <w:snapToGrid w:val="0"/>
        </w:rPr>
        <w:t>.</w:t>
      </w:r>
      <w:r>
        <w:rPr>
          <w:snapToGrid w:val="0"/>
        </w:rPr>
        <w:tab/>
        <w:t>Management appointments</w:t>
      </w:r>
      <w:bookmarkEnd w:id="131"/>
      <w:r>
        <w:rPr>
          <w:snapToGrid w:val="0"/>
        </w:rPr>
        <w:t xml:space="preserve"> </w:t>
      </w:r>
    </w:p>
    <w:p>
      <w:pPr>
        <w:pStyle w:val="Subsection"/>
        <w:spacing w:before="120"/>
        <w:rPr>
          <w:snapToGrid w:val="0"/>
        </w:rPr>
      </w:pPr>
      <w:r>
        <w:rPr>
          <w:snapToGrid w:val="0"/>
        </w:rPr>
        <w:tab/>
        <w:t>(1)</w:t>
      </w:r>
      <w:r>
        <w:rPr>
          <w:snapToGrid w:val="0"/>
        </w:rPr>
        <w:tab/>
        <w: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t>
      </w:r>
    </w:p>
    <w:p>
      <w:pPr>
        <w:pStyle w:val="Subsection"/>
        <w:spacing w:before="120"/>
        <w:rPr>
          <w:snapToGrid w:val="0"/>
        </w:rPr>
      </w:pPr>
      <w:r>
        <w:rPr>
          <w:snapToGrid w:val="0"/>
        </w:rPr>
        <w:tab/>
        <w:t>(2)</w:t>
      </w:r>
      <w:r>
        <w:rPr>
          <w:snapToGrid w:val="0"/>
        </w:rPr>
        <w:tab/>
        <w: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t>
      </w:r>
    </w:p>
    <w:p>
      <w:pPr>
        <w:pStyle w:val="Subsection"/>
        <w:spacing w:before="120"/>
        <w:rPr>
          <w:snapToGrid w:val="0"/>
        </w:rPr>
      </w:pPr>
      <w:r>
        <w:rPr>
          <w:snapToGrid w:val="0"/>
        </w:rPr>
        <w:tab/>
        <w:t>(3)</w:t>
      </w:r>
      <w:r>
        <w:rPr>
          <w:snapToGrid w:val="0"/>
        </w:rPr>
        <w:tab/>
        <w:t>A person who is appointed as provided in subsection (1) or (2) must, within 7 days of the appointment, acknowledge his or her appointment by signing — </w:t>
      </w:r>
    </w:p>
    <w:p>
      <w:pPr>
        <w:pStyle w:val="Indenta"/>
        <w:rPr>
          <w:snapToGrid w:val="0"/>
        </w:rPr>
      </w:pPr>
      <w:r>
        <w:rPr>
          <w:snapToGrid w:val="0"/>
        </w:rPr>
        <w:tab/>
        <w:t>(a)</w:t>
      </w:r>
      <w:r>
        <w:rPr>
          <w:snapToGrid w:val="0"/>
        </w:rPr>
        <w:tab/>
        <w:t>the record book next to the record of the appointment; and</w:t>
      </w:r>
    </w:p>
    <w:p>
      <w:pPr>
        <w:pStyle w:val="Indenta"/>
        <w:rPr>
          <w:snapToGrid w:val="0"/>
        </w:rPr>
      </w:pPr>
      <w:r>
        <w:rPr>
          <w:snapToGrid w:val="0"/>
        </w:rPr>
        <w:tab/>
        <w:t>(b)</w:t>
      </w:r>
      <w:r>
        <w:rPr>
          <w:snapToGrid w:val="0"/>
        </w:rPr>
        <w:tab/>
        <w:t>the instrument of appointment if there is such an instrument.</w:t>
      </w:r>
    </w:p>
    <w:p>
      <w:pPr>
        <w:pStyle w:val="Subsection"/>
        <w:rPr>
          <w:snapToGrid w:val="0"/>
        </w:rPr>
      </w:pPr>
      <w:r>
        <w:rPr>
          <w:snapToGrid w:val="0"/>
        </w:rPr>
        <w:tab/>
        <w:t>(4)</w:t>
      </w:r>
      <w:r>
        <w:rPr>
          <w:snapToGrid w:val="0"/>
        </w:rPr>
        <w:tab/>
        <w:t>A person who contravenes subsection (1), (2) or (3) commits an offence.</w:t>
      </w:r>
    </w:p>
    <w:p>
      <w:pPr>
        <w:pStyle w:val="Heading5"/>
        <w:rPr>
          <w:snapToGrid w:val="0"/>
        </w:rPr>
      </w:pPr>
      <w:bookmarkStart w:id="132" w:name="_Toc192041143"/>
      <w:r>
        <w:rPr>
          <w:rStyle w:val="CharSectno"/>
        </w:rPr>
        <w:t>45</w:t>
      </w:r>
      <w:r>
        <w:rPr>
          <w:snapToGrid w:val="0"/>
        </w:rPr>
        <w:t>.</w:t>
      </w:r>
      <w:r>
        <w:rPr>
          <w:snapToGrid w:val="0"/>
        </w:rPr>
        <w:tab/>
        <w:t>Provision of engineering report</w:t>
      </w:r>
      <w:bookmarkEnd w:id="132"/>
      <w:r>
        <w:rPr>
          <w:snapToGrid w:val="0"/>
        </w:rPr>
        <w:t xml:space="preserve"> </w:t>
      </w:r>
    </w:p>
    <w:p>
      <w:pPr>
        <w:pStyle w:val="Subsection"/>
        <w:rPr>
          <w:snapToGrid w:val="0"/>
        </w:rPr>
      </w:pPr>
      <w:r>
        <w:rPr>
          <w:snapToGrid w:val="0"/>
        </w:rPr>
        <w:tab/>
        <w:t>(1)</w:t>
      </w:r>
      <w:r>
        <w:rPr>
          <w:snapToGrid w:val="0"/>
        </w:rPr>
        <w:tab/>
        <w:t>If at any time the State mining engineer so requires by notice in writing, the principal employer or the manager of a mine must, without delay, procure and provide to the State mining engineer, at the principal employer’s expense, an independent study — </w:t>
      </w:r>
    </w:p>
    <w:p>
      <w:pPr>
        <w:pStyle w:val="Indenta"/>
        <w:rPr>
          <w:snapToGrid w:val="0"/>
        </w:rPr>
      </w:pPr>
      <w:r>
        <w:rPr>
          <w:snapToGrid w:val="0"/>
        </w:rPr>
        <w:tab/>
        <w:t>(a)</w:t>
      </w:r>
      <w:r>
        <w:rPr>
          <w:snapToGrid w:val="0"/>
        </w:rPr>
        <w:tab/>
        <w:t>concerning safety and health at the mine, generally or in some particular respect specified by the State mining engineer, or safety of all or some specified part of the mine’s plant, buildings, operations, or structures; or</w:t>
      </w:r>
    </w:p>
    <w:p>
      <w:pPr>
        <w:pStyle w:val="Indenta"/>
        <w:rPr>
          <w:snapToGrid w:val="0"/>
        </w:rPr>
      </w:pPr>
      <w:r>
        <w:rPr>
          <w:snapToGrid w:val="0"/>
        </w:rPr>
        <w:tab/>
        <w:t>(b)</w:t>
      </w:r>
      <w:r>
        <w:rPr>
          <w:snapToGrid w:val="0"/>
        </w:rPr>
        <w:tab/>
        <w:t>with respect to an accident or a dangerous occurrence at the mine that an inspector is investigating.</w:t>
      </w:r>
    </w:p>
    <w:p>
      <w:pPr>
        <w:pStyle w:val="Subsection"/>
        <w:rPr>
          <w:snapToGrid w:val="0"/>
        </w:rPr>
      </w:pPr>
      <w:r>
        <w:rPr>
          <w:snapToGrid w:val="0"/>
        </w:rPr>
        <w:tab/>
        <w:t>(2)</w:t>
      </w:r>
      <w:r>
        <w:rPr>
          <w:snapToGrid w:val="0"/>
        </w:rPr>
        <w:tab/>
        <w:t>The State mining engineer must state in any notice referred to in subsection (1) the reasons why the independent study is required.</w:t>
      </w:r>
    </w:p>
    <w:p>
      <w:pPr>
        <w:pStyle w:val="Subsection"/>
        <w:rPr>
          <w:snapToGrid w:val="0"/>
        </w:rPr>
      </w:pPr>
      <w:r>
        <w:rPr>
          <w:snapToGrid w:val="0"/>
        </w:rPr>
        <w:tab/>
        <w:t>(3)</w:t>
      </w:r>
      <w:r>
        <w:rPr>
          <w:snapToGrid w:val="0"/>
        </w:rPr>
        <w:tab/>
        <w:t>An independent study required under this section must be prepared by a professionally qualified engineer or some other qualified professional person who is approved for the purpose by the State mining engineer.</w:t>
      </w:r>
    </w:p>
    <w:p>
      <w:pPr>
        <w:pStyle w:val="Subsection"/>
        <w:rPr>
          <w:snapToGrid w:val="0"/>
        </w:rPr>
      </w:pPr>
      <w:r>
        <w:rPr>
          <w:snapToGrid w:val="0"/>
        </w:rPr>
        <w:tab/>
        <w:t>(4)</w:t>
      </w:r>
      <w:r>
        <w:rPr>
          <w:snapToGrid w:val="0"/>
        </w:rPr>
        <w:tab/>
        <w:t>A principal employer or manager who contravenes subsection (1) commits an offence.</w:t>
      </w:r>
    </w:p>
    <w:p>
      <w:pPr>
        <w:pStyle w:val="Footnotesection"/>
      </w:pPr>
      <w:r>
        <w:tab/>
        <w:t xml:space="preserve">[Section 45 amended by No. 30 of 1995 s. 76(4).] </w:t>
      </w:r>
    </w:p>
    <w:p>
      <w:pPr>
        <w:pStyle w:val="Heading5"/>
        <w:rPr>
          <w:snapToGrid w:val="0"/>
        </w:rPr>
      </w:pPr>
      <w:bookmarkStart w:id="133" w:name="_Toc192041144"/>
      <w:r>
        <w:rPr>
          <w:rStyle w:val="CharSectno"/>
        </w:rPr>
        <w:t>46</w:t>
      </w:r>
      <w:r>
        <w:rPr>
          <w:snapToGrid w:val="0"/>
        </w:rPr>
        <w:t>.</w:t>
      </w:r>
      <w:r>
        <w:rPr>
          <w:snapToGrid w:val="0"/>
        </w:rPr>
        <w:tab/>
        <w:t>Principal employer’s instructions to manager</w:t>
      </w:r>
      <w:bookmarkEnd w:id="133"/>
      <w:r>
        <w:rPr>
          <w:snapToGrid w:val="0"/>
        </w:rPr>
        <w:t xml:space="preserve"> </w:t>
      </w:r>
    </w:p>
    <w:p>
      <w:pPr>
        <w:pStyle w:val="Subsection"/>
        <w:rPr>
          <w:snapToGrid w:val="0"/>
        </w:rPr>
      </w:pPr>
      <w:r>
        <w:rPr>
          <w:snapToGrid w:val="0"/>
        </w:rPr>
        <w:tab/>
        <w:t>(1)</w:t>
      </w:r>
      <w:r>
        <w:rPr>
          <w:snapToGrid w:val="0"/>
        </w:rPr>
        <w:tab/>
        <w:t>If the manager of a mine so requests, the principal employer of the mine must confirm in writing an instruction given by or on behalf of the principal employer to the manager concerning the performance of any duty imposed on the manager under this Act.</w:t>
      </w:r>
    </w:p>
    <w:p>
      <w:pPr>
        <w:pStyle w:val="Subsection"/>
        <w:rPr>
          <w:snapToGrid w:val="0"/>
        </w:rPr>
      </w:pPr>
      <w:r>
        <w:rPr>
          <w:snapToGrid w:val="0"/>
        </w:rPr>
        <w:tab/>
        <w:t>(2)</w:t>
      </w:r>
      <w:r>
        <w:rPr>
          <w:snapToGrid w:val="0"/>
        </w:rPr>
        <w:tab/>
        <w:t>The principal employer of a mine, or a person on behalf of the principal employer, must not instruct any person (other than the manager) at work at the mine concerning any duty imposed on the manager under this Act except with the consent of the manager or in an emergency.</w:t>
      </w:r>
    </w:p>
    <w:p>
      <w:pPr>
        <w:pStyle w:val="Subsection"/>
        <w:rPr>
          <w:snapToGrid w:val="0"/>
        </w:rPr>
      </w:pPr>
      <w:r>
        <w:rPr>
          <w:snapToGrid w:val="0"/>
        </w:rPr>
        <w:tab/>
        <w:t>(3)</w:t>
      </w:r>
      <w:r>
        <w:rPr>
          <w:snapToGrid w:val="0"/>
        </w:rPr>
        <w:tab/>
        <w:t>If any instruction referred to in subsection (2) is given in an emergency, the principal employer must, if the manager of the mine so requests, confirm the instruction in writing.</w:t>
      </w:r>
    </w:p>
    <w:p>
      <w:pPr>
        <w:pStyle w:val="Subsection"/>
        <w:rPr>
          <w:snapToGrid w:val="0"/>
        </w:rPr>
      </w:pPr>
      <w:r>
        <w:rPr>
          <w:snapToGrid w:val="0"/>
        </w:rPr>
        <w:tab/>
        <w:t>(4)</w:t>
      </w:r>
      <w:r>
        <w:rPr>
          <w:snapToGrid w:val="0"/>
        </w:rPr>
        <w:tab/>
        <w:t>The principal employer of a mine must not hinder or compromise the manager in the performance of a duty or responsibility imposed on the manager under this Act.</w:t>
      </w:r>
    </w:p>
    <w:p>
      <w:pPr>
        <w:pStyle w:val="Subsection"/>
        <w:rPr>
          <w:snapToGrid w:val="0"/>
        </w:rPr>
      </w:pPr>
      <w:r>
        <w:rPr>
          <w:snapToGrid w:val="0"/>
        </w:rPr>
        <w:tab/>
        <w:t>(5)</w:t>
      </w:r>
      <w:r>
        <w:rPr>
          <w:snapToGrid w:val="0"/>
        </w:rPr>
        <w:tab/>
        <w:t>A principal employer who contravenes subsection (1), (2), (3), or (4) commits an offence.</w:t>
      </w:r>
    </w:p>
    <w:p>
      <w:pPr>
        <w:pStyle w:val="Subsection"/>
        <w:rPr>
          <w:snapToGrid w:val="0"/>
        </w:rPr>
      </w:pPr>
      <w:r>
        <w:rPr>
          <w:snapToGrid w:val="0"/>
        </w:rPr>
        <w:tab/>
        <w:t>(6)</w:t>
      </w:r>
      <w:r>
        <w:rPr>
          <w:snapToGrid w:val="0"/>
        </w:rPr>
        <w:tab/>
        <w:t>A person purporting to act on behalf of a principal employer who contravenes subsection (2) commits an offence.</w:t>
      </w:r>
    </w:p>
    <w:p>
      <w:pPr>
        <w:pStyle w:val="Heading5"/>
        <w:rPr>
          <w:snapToGrid w:val="0"/>
        </w:rPr>
      </w:pPr>
      <w:bookmarkStart w:id="134" w:name="_Toc192041145"/>
      <w:r>
        <w:rPr>
          <w:rStyle w:val="CharSectno"/>
        </w:rPr>
        <w:t>47</w:t>
      </w:r>
      <w:r>
        <w:rPr>
          <w:snapToGrid w:val="0"/>
        </w:rPr>
        <w:t>.</w:t>
      </w:r>
      <w:r>
        <w:rPr>
          <w:snapToGrid w:val="0"/>
        </w:rPr>
        <w:tab/>
        <w:t>Management of exploration operations</w:t>
      </w:r>
      <w:bookmarkEnd w:id="134"/>
      <w:r>
        <w:rPr>
          <w:snapToGrid w:val="0"/>
        </w:rPr>
        <w:t xml:space="preserve"> </w:t>
      </w:r>
    </w:p>
    <w:p>
      <w:pPr>
        <w:pStyle w:val="Subsection"/>
        <w:rPr>
          <w:snapToGrid w:val="0"/>
        </w:rPr>
      </w:pPr>
      <w:r>
        <w:rPr>
          <w:snapToGrid w:val="0"/>
        </w:rPr>
        <w:tab/>
        <w:t>(1)</w:t>
      </w:r>
      <w:r>
        <w:rPr>
          <w:snapToGrid w:val="0"/>
        </w:rPr>
        <w:tab/>
        <w:t>If exploration operations are carried out on a mining tenement which is owned by a person who owns 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activities are under the control of that registered manager.</w:t>
      </w:r>
    </w:p>
    <w:p>
      <w:pPr>
        <w:pStyle w:val="Subsection"/>
        <w:rPr>
          <w:snapToGrid w:val="0"/>
        </w:rPr>
      </w:pPr>
      <w:r>
        <w:rPr>
          <w:snapToGrid w:val="0"/>
        </w:rPr>
        <w:tab/>
        <w:t>(2)</w:t>
      </w:r>
      <w:r>
        <w:rPr>
          <w:snapToGrid w:val="0"/>
        </w:rPr>
        <w:tab/>
        <w:t>If a registered manager does not give the notice referred to in subsection (1) or exploration operations are carried out on a mining tenement other than one to which subsection (1) refers, the owner of a mining tenement on which exploration operations are being carried out must — </w:t>
      </w:r>
    </w:p>
    <w:p>
      <w:pPr>
        <w:pStyle w:val="Indenta"/>
        <w:rPr>
          <w:snapToGrid w:val="0"/>
        </w:rPr>
      </w:pPr>
      <w:r>
        <w:rPr>
          <w:snapToGrid w:val="0"/>
        </w:rPr>
        <w:tab/>
        <w:t>(a)</w:t>
      </w:r>
      <w:r>
        <w:rPr>
          <w:snapToGrid w:val="0"/>
        </w:rPr>
        <w:tab/>
        <w:t>notify, without delay and in writing, the senior inspector responsible for the region of the State in which those exploration operations are being carried out of the name and address of the person who is the exploration manager for the State for that owner; and</w:t>
      </w:r>
    </w:p>
    <w:p>
      <w:pPr>
        <w:pStyle w:val="Indenta"/>
        <w:rPr>
          <w:snapToGrid w:val="0"/>
        </w:rPr>
      </w:pPr>
      <w:r>
        <w:rPr>
          <w:snapToGrid w:val="0"/>
        </w:rPr>
        <w:tab/>
        <w:t>(b)</w:t>
      </w:r>
      <w:r>
        <w:rPr>
          <w:snapToGrid w:val="0"/>
        </w:rPr>
        <w:tab/>
        <w:t>notify, without delay and in writing, that senior inspector of the name and address of the person who is responsible to that owner for the management of all activity in carrying out such exploration operations (and that person may, but need not, be the person notified under paragraph (a) as exploration manager); and</w:t>
      </w:r>
    </w:p>
    <w:p>
      <w:pPr>
        <w:pStyle w:val="Indenta"/>
        <w:rPr>
          <w:snapToGrid w:val="0"/>
        </w:rPr>
      </w:pPr>
      <w:r>
        <w:rPr>
          <w:snapToGrid w:val="0"/>
        </w:rPr>
        <w:tab/>
        <w:t>(c)</w:t>
      </w:r>
      <w:r>
        <w:rPr>
          <w:snapToGrid w:val="0"/>
        </w:rPr>
        <w:tab/>
        <w:t>take all reasonable steps to ensure that the exploration operations are carried out in accordance with all applicable provisions under this Act.</w:t>
      </w:r>
    </w:p>
    <w:p>
      <w:pPr>
        <w:pStyle w:val="Penstart"/>
        <w:rPr>
          <w:snapToGrid w:val="0"/>
        </w:rPr>
      </w:pPr>
      <w:r>
        <w:rPr>
          <w:snapToGrid w:val="0"/>
        </w:rPr>
        <w:tab/>
        <w:t>Penalty: $25 000 in the case of a corporation and $5 000 in the case of an individual.</w:t>
      </w:r>
    </w:p>
    <w:p>
      <w:pPr>
        <w:pStyle w:val="Subsection"/>
        <w:rPr>
          <w:snapToGrid w:val="0"/>
        </w:rPr>
      </w:pPr>
      <w:r>
        <w:rPr>
          <w:snapToGrid w:val="0"/>
        </w:rPr>
        <w:tab/>
        <w:t>(3)</w:t>
      </w:r>
      <w:r>
        <w:rPr>
          <w:snapToGrid w:val="0"/>
        </w:rPr>
        <w:tab/>
        <w:t>An exploration manager must inform the senior inspector for the region of the State in which the exploration operations are to take place of the location, scope, and nature of the exploration operations in accordance with the regulations.</w:t>
      </w:r>
    </w:p>
    <w:p>
      <w:pPr>
        <w:pStyle w:val="Penstart"/>
        <w:rPr>
          <w:snapToGrid w:val="0"/>
        </w:rPr>
      </w:pPr>
      <w:r>
        <w:rPr>
          <w:snapToGrid w:val="0"/>
        </w:rPr>
        <w:tab/>
        <w:t>Penalty: $25 000 in the case of a corporation and $5 000 in the case of an individual.</w:t>
      </w:r>
    </w:p>
    <w:p>
      <w:pPr>
        <w:pStyle w:val="Subsection"/>
        <w:rPr>
          <w:snapToGrid w:val="0"/>
        </w:rPr>
      </w:pPr>
      <w:r>
        <w:rPr>
          <w:snapToGrid w:val="0"/>
        </w:rPr>
        <w:tab/>
        <w:t>(4)</w:t>
      </w:r>
      <w:r>
        <w:rPr>
          <w:snapToGrid w:val="0"/>
        </w:rPr>
        <w:tab/>
        <w:t>A person nominated as responsible for the management of exploration activity under subsection (2)(b) must take all reasonable steps to liaise effectively with the district inspector for the region where that activity is taking place concerning the location, scope and nature of the exploration operations.</w:t>
      </w:r>
    </w:p>
    <w:p>
      <w:pPr>
        <w:pStyle w:val="Penstart"/>
        <w:rPr>
          <w:snapToGrid w:val="0"/>
        </w:rPr>
      </w:pPr>
      <w:r>
        <w:rPr>
          <w:snapToGrid w:val="0"/>
        </w:rPr>
        <w:tab/>
        <w:t>Penalty: $5 000.</w:t>
      </w:r>
    </w:p>
    <w:p>
      <w:pPr>
        <w:pStyle w:val="Subsection"/>
        <w:rPr>
          <w:snapToGrid w:val="0"/>
        </w:rPr>
      </w:pPr>
      <w:r>
        <w:rPr>
          <w:snapToGrid w:val="0"/>
        </w:rPr>
        <w:tab/>
        <w:t>(5)</w:t>
      </w:r>
      <w:r>
        <w:rPr>
          <w:snapToGrid w:val="0"/>
        </w:rPr>
        <w:tab/>
        <w:t>Notwithstanding subsections (1) and (2), in the case of exploration operations carried out by a syndicate or other association of persons in such a way that no person is employed in those operations, no exploration manager or nomination under subsection (2)(b) is required, but the members of that entity or partnership or those persons are jointly and severally responsible for the performance of those duties and responsibilities which are imposed on exploration managers and persons nominated under subsection (2)(b) under this Act.</w:t>
      </w:r>
    </w:p>
    <w:p>
      <w:pPr>
        <w:pStyle w:val="Heading3"/>
        <w:rPr>
          <w:snapToGrid w:val="0"/>
        </w:rPr>
      </w:pPr>
      <w:bookmarkStart w:id="135" w:name="_Toc192041146"/>
      <w:r>
        <w:rPr>
          <w:rStyle w:val="CharDivNo"/>
        </w:rPr>
        <w:t>Division 2</w:t>
      </w:r>
      <w:r>
        <w:rPr>
          <w:snapToGrid w:val="0"/>
        </w:rPr>
        <w:t> — </w:t>
      </w:r>
      <w:r>
        <w:rPr>
          <w:rStyle w:val="CharDivText"/>
        </w:rPr>
        <w:t>Certificates of competency</w:t>
      </w:r>
      <w:bookmarkEnd w:id="135"/>
      <w:r>
        <w:rPr>
          <w:rStyle w:val="CharDivText"/>
        </w:rPr>
        <w:t xml:space="preserve"> </w:t>
      </w:r>
    </w:p>
    <w:p>
      <w:pPr>
        <w:pStyle w:val="Heading5"/>
        <w:rPr>
          <w:snapToGrid w:val="0"/>
        </w:rPr>
      </w:pPr>
      <w:bookmarkStart w:id="136" w:name="_Toc192041147"/>
      <w:r>
        <w:rPr>
          <w:rStyle w:val="CharSectno"/>
        </w:rPr>
        <w:t>48</w:t>
      </w:r>
      <w:r>
        <w:rPr>
          <w:snapToGrid w:val="0"/>
        </w:rPr>
        <w:t>.</w:t>
      </w:r>
      <w:r>
        <w:rPr>
          <w:snapToGrid w:val="0"/>
        </w:rPr>
        <w:tab/>
        <w:t>Board of Examiners</w:t>
      </w:r>
      <w:bookmarkEnd w:id="136"/>
      <w:r>
        <w:rPr>
          <w:snapToGrid w:val="0"/>
        </w:rPr>
        <w:t xml:space="preserve"> </w:t>
      </w:r>
    </w:p>
    <w:p>
      <w:pPr>
        <w:pStyle w:val="Subsection"/>
        <w:rPr>
          <w:snapToGrid w:val="0"/>
        </w:rPr>
      </w:pPr>
      <w:r>
        <w:rPr>
          <w:snapToGrid w:val="0"/>
        </w:rPr>
        <w:tab/>
        <w:t>(1)</w:t>
      </w:r>
      <w:r>
        <w:rPr>
          <w:snapToGrid w:val="0"/>
        </w:rPr>
        <w:tab/>
        <w:t>There is established a Board of Examiners which is to be constituted in the manner provided in the regulations; and the regulations may provide for the Board to be constituted differently for different purposes.</w:t>
      </w:r>
    </w:p>
    <w:p>
      <w:pPr>
        <w:pStyle w:val="Subsection"/>
        <w:rPr>
          <w:snapToGrid w:val="0"/>
        </w:rPr>
      </w:pPr>
      <w:r>
        <w:rPr>
          <w:snapToGrid w:val="0"/>
        </w:rPr>
        <w:tab/>
        <w:t>(2)</w:t>
      </w:r>
      <w:r>
        <w:rPr>
          <w:snapToGrid w:val="0"/>
        </w:rPr>
        <w:tab/>
        <w:t>The functions of the Board of Examiners are — </w:t>
      </w:r>
    </w:p>
    <w:p>
      <w:pPr>
        <w:pStyle w:val="Indenta"/>
        <w:rPr>
          <w:snapToGrid w:val="0"/>
        </w:rPr>
      </w:pPr>
      <w:r>
        <w:rPr>
          <w:snapToGrid w:val="0"/>
        </w:rPr>
        <w:tab/>
        <w:t>(a)</w:t>
      </w:r>
      <w:r>
        <w:rPr>
          <w:snapToGrid w:val="0"/>
        </w:rPr>
        <w:tab/>
        <w:t>to examine in accordance with the regulations the qualifications, experience and character of applicants for certificates of competency and issue such certificates where appropriate; and</w:t>
      </w:r>
    </w:p>
    <w:p>
      <w:pPr>
        <w:pStyle w:val="Indenta"/>
        <w:rPr>
          <w:snapToGrid w:val="0"/>
        </w:rPr>
      </w:pPr>
      <w:r>
        <w:rPr>
          <w:snapToGrid w:val="0"/>
        </w:rPr>
        <w:tab/>
        <w:t>(b)</w:t>
      </w:r>
      <w:r>
        <w:rPr>
          <w:snapToGrid w:val="0"/>
        </w:rPr>
        <w:tab/>
        <w:t>to receive, consider and inquire into complaints concerning holders of certificates of competency and to suspend or cancel such certificates where appropriate; and</w:t>
      </w:r>
    </w:p>
    <w:p>
      <w:pPr>
        <w:pStyle w:val="Indenta"/>
        <w:rPr>
          <w:snapToGrid w:val="0"/>
        </w:rPr>
      </w:pPr>
      <w:r>
        <w:rPr>
          <w:snapToGrid w:val="0"/>
        </w:rPr>
        <w:tab/>
        <w:t>(c)</w:t>
      </w:r>
      <w:r>
        <w:rPr>
          <w:snapToGrid w:val="0"/>
        </w:rPr>
        <w:tab/>
        <w:t>to perform such other functions as may be conferred in the regulations.</w:t>
      </w:r>
    </w:p>
    <w:p>
      <w:pPr>
        <w:pStyle w:val="Subsection"/>
        <w:rPr>
          <w:snapToGrid w:val="0"/>
        </w:rPr>
      </w:pPr>
      <w:r>
        <w:rPr>
          <w:snapToGrid w:val="0"/>
        </w:rPr>
        <w:tab/>
        <w:t>(3)</w:t>
      </w:r>
      <w:r>
        <w:rPr>
          <w:snapToGrid w:val="0"/>
        </w:rPr>
        <w:tab/>
        <w:t>Members of the Board of Examiners are entitled to be paid such remuneration and travelling and other allowances as the Minister determines on the recommendation of the Minister for Public Sector Management.</w:t>
      </w:r>
    </w:p>
    <w:p>
      <w:pPr>
        <w:pStyle w:val="Heading5"/>
        <w:rPr>
          <w:snapToGrid w:val="0"/>
        </w:rPr>
      </w:pPr>
      <w:bookmarkStart w:id="137" w:name="_Toc192041148"/>
      <w:r>
        <w:rPr>
          <w:rStyle w:val="CharSectno"/>
        </w:rPr>
        <w:t>49</w:t>
      </w:r>
      <w:r>
        <w:rPr>
          <w:snapToGrid w:val="0"/>
        </w:rPr>
        <w:t>.</w:t>
      </w:r>
      <w:r>
        <w:rPr>
          <w:snapToGrid w:val="0"/>
        </w:rPr>
        <w:tab/>
        <w:t>Complaint to Board of Examiners</w:t>
      </w:r>
      <w:bookmarkEnd w:id="137"/>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Board of Examiners if the inspector or person has reason to believe that the holder of a certificate of competency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Board of Examiners must meet promptly and decide whether to hold an inquiry.</w:t>
      </w:r>
    </w:p>
    <w:p>
      <w:pPr>
        <w:pStyle w:val="Heading5"/>
        <w:rPr>
          <w:snapToGrid w:val="0"/>
        </w:rPr>
      </w:pPr>
      <w:bookmarkStart w:id="138" w:name="_Toc192041149"/>
      <w:r>
        <w:rPr>
          <w:rStyle w:val="CharSectno"/>
        </w:rPr>
        <w:t>50</w:t>
      </w:r>
      <w:r>
        <w:rPr>
          <w:snapToGrid w:val="0"/>
        </w:rPr>
        <w:t>.</w:t>
      </w:r>
      <w:r>
        <w:rPr>
          <w:snapToGrid w:val="0"/>
        </w:rPr>
        <w:tab/>
        <w:t>Inquiry by Board of Examiners</w:t>
      </w:r>
      <w:bookmarkEnd w:id="138"/>
      <w:r>
        <w:rPr>
          <w:snapToGrid w:val="0"/>
        </w:rPr>
        <w:t xml:space="preserve"> </w:t>
      </w:r>
    </w:p>
    <w:p>
      <w:pPr>
        <w:pStyle w:val="Subsection"/>
        <w:rPr>
          <w:snapToGrid w:val="0"/>
        </w:rPr>
      </w:pPr>
      <w:r>
        <w:rPr>
          <w:snapToGrid w:val="0"/>
        </w:rPr>
        <w:tab/>
        <w:t>(1)</w:t>
      </w:r>
      <w:r>
        <w:rPr>
          <w:snapToGrid w:val="0"/>
        </w:rPr>
        <w:tab/>
        <w:t>After considering a complaint under section 49, the Board of Examiners may hold an inquiry into that complaint where it considers an inquiry is desirable and justified.</w:t>
      </w:r>
    </w:p>
    <w:p>
      <w:pPr>
        <w:pStyle w:val="Subsection"/>
        <w:rPr>
          <w:snapToGrid w:val="0"/>
        </w:rPr>
      </w:pPr>
      <w:r>
        <w:rPr>
          <w:snapToGrid w:val="0"/>
        </w:rPr>
        <w:tab/>
        <w:t>(2)</w:t>
      </w:r>
      <w:r>
        <w:rPr>
          <w:snapToGrid w:val="0"/>
        </w:rPr>
        <w:tab/>
        <w:t>The Board of Examiners must — </w:t>
      </w:r>
    </w:p>
    <w:p>
      <w:pPr>
        <w:pStyle w:val="Indenta"/>
        <w:rPr>
          <w:snapToGrid w:val="0"/>
        </w:rPr>
      </w:pPr>
      <w:r>
        <w:rPr>
          <w:snapToGrid w:val="0"/>
        </w:rPr>
        <w:tab/>
        <w:t>(a)</w:t>
      </w:r>
      <w:r>
        <w:rPr>
          <w:snapToGrid w:val="0"/>
        </w:rPr>
        <w:tab/>
        <w:t>give the holder of the certificate of competency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may be represented by a legal practitioner; and</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Board of Examiners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Board of Examiners may make an order of costs in favour of the respondent or the department and such an order may be registered in a court of competent jurisdiction as a judgment debt.</w:t>
      </w:r>
    </w:p>
    <w:p>
      <w:pPr>
        <w:pStyle w:val="Heading5"/>
        <w:rPr>
          <w:snapToGrid w:val="0"/>
        </w:rPr>
      </w:pPr>
      <w:bookmarkStart w:id="139" w:name="_Toc192041150"/>
      <w:r>
        <w:rPr>
          <w:rStyle w:val="CharSectno"/>
        </w:rPr>
        <w:t>51</w:t>
      </w:r>
      <w:r>
        <w:rPr>
          <w:snapToGrid w:val="0"/>
        </w:rPr>
        <w:t>.</w:t>
      </w:r>
      <w:r>
        <w:rPr>
          <w:snapToGrid w:val="0"/>
        </w:rPr>
        <w:tab/>
        <w:t>Disciplinary action following inquiry</w:t>
      </w:r>
      <w:bookmarkEnd w:id="139"/>
      <w:r>
        <w:rPr>
          <w:snapToGrid w:val="0"/>
        </w:rPr>
        <w:t xml:space="preserve"> </w:t>
      </w:r>
    </w:p>
    <w:p>
      <w:pPr>
        <w:pStyle w:val="Subsection"/>
        <w:rPr>
          <w:snapToGrid w:val="0"/>
        </w:rPr>
      </w:pPr>
      <w:r>
        <w:rPr>
          <w:snapToGrid w:val="0"/>
        </w:rPr>
        <w:tab/>
        <w:t>(1)</w:t>
      </w:r>
      <w:r>
        <w:rPr>
          <w:snapToGrid w:val="0"/>
        </w:rPr>
        <w:tab/>
        <w:t>If after holding an inquiry the Board of Examiners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suspend the respondent’s certificate of competency for a stated period; or</w:t>
      </w:r>
    </w:p>
    <w:p>
      <w:pPr>
        <w:pStyle w:val="Indenta"/>
        <w:rPr>
          <w:snapToGrid w:val="0"/>
        </w:rPr>
      </w:pPr>
      <w:r>
        <w:rPr>
          <w:snapToGrid w:val="0"/>
        </w:rPr>
        <w:tab/>
        <w:t>(c)</w:t>
      </w:r>
      <w:r>
        <w:rPr>
          <w:snapToGrid w:val="0"/>
        </w:rPr>
        <w:tab/>
        <w:t>cancel the respondent’s certificate of competency.</w:t>
      </w:r>
    </w:p>
    <w:p>
      <w:pPr>
        <w:pStyle w:val="Subsection"/>
        <w:rPr>
          <w:snapToGrid w:val="0"/>
        </w:rPr>
      </w:pPr>
      <w:r>
        <w:rPr>
          <w:snapToGrid w:val="0"/>
        </w:rPr>
        <w:tab/>
        <w:t>(2)</w:t>
      </w:r>
      <w:r>
        <w:rPr>
          <w:snapToGrid w:val="0"/>
        </w:rPr>
        <w:tab/>
        <w:t>A suspension or cancellation under this section takes effect after the time for an appeal under section 52 expires.</w:t>
      </w:r>
    </w:p>
    <w:p>
      <w:pPr>
        <w:pStyle w:val="Subsection"/>
        <w:rPr>
          <w:snapToGrid w:val="0"/>
        </w:rPr>
      </w:pPr>
      <w:r>
        <w:rPr>
          <w:snapToGrid w:val="0"/>
        </w:rPr>
        <w:tab/>
        <w:t>(3)</w:t>
      </w:r>
      <w:r>
        <w:rPr>
          <w:snapToGrid w:val="0"/>
        </w:rPr>
        <w:tab/>
        <w:t>When the Board of Examiners suspends or cancels a certificate of competency, the respondent must return the certificate to the Board within a period specified by the Board when suspending or cancelling the certificate.</w:t>
      </w:r>
    </w:p>
    <w:p>
      <w:pPr>
        <w:pStyle w:val="Penstart"/>
        <w:rPr>
          <w:snapToGrid w:val="0"/>
        </w:rPr>
      </w:pPr>
      <w:r>
        <w:rPr>
          <w:snapToGrid w:val="0"/>
        </w:rPr>
        <w:tab/>
        <w:t>Penalty: $2 000.</w:t>
      </w:r>
    </w:p>
    <w:p>
      <w:pPr>
        <w:pStyle w:val="Heading5"/>
        <w:rPr>
          <w:snapToGrid w:val="0"/>
        </w:rPr>
      </w:pPr>
      <w:bookmarkStart w:id="140" w:name="_Toc192041151"/>
      <w:r>
        <w:rPr>
          <w:rStyle w:val="CharSectno"/>
        </w:rPr>
        <w:t>52</w:t>
      </w:r>
      <w:r>
        <w:rPr>
          <w:snapToGrid w:val="0"/>
        </w:rPr>
        <w:t>.</w:t>
      </w:r>
      <w:r>
        <w:rPr>
          <w:snapToGrid w:val="0"/>
        </w:rPr>
        <w:tab/>
        <w:t>Appeal to</w:t>
      </w:r>
      <w:r>
        <w:t xml:space="preserve"> Tribunal</w:t>
      </w:r>
      <w:bookmarkEnd w:id="140"/>
      <w:r>
        <w:rPr>
          <w:snapToGrid w:val="0"/>
        </w:rPr>
        <w:t xml:space="preserve"> </w:t>
      </w:r>
    </w:p>
    <w:p>
      <w:pPr>
        <w:pStyle w:val="Subsection"/>
        <w:rPr>
          <w:snapToGrid w:val="0"/>
        </w:rPr>
      </w:pPr>
      <w:r>
        <w:rPr>
          <w:snapToGrid w:val="0"/>
        </w:rPr>
        <w:tab/>
        <w:t>(1)</w:t>
      </w:r>
      <w:r>
        <w:rPr>
          <w:snapToGrid w:val="0"/>
        </w:rPr>
        <w:tab/>
        <w:t xml:space="preserve">A person whose certificate of competency is suspended or cancelled by the Board of Examiners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Board of Examiners might have made when inquiring into the complaint.</w:t>
      </w:r>
    </w:p>
    <w:p>
      <w:pPr>
        <w:pStyle w:val="Footnotesection"/>
      </w:pPr>
      <w:r>
        <w:tab/>
        <w:t>[Section 52 amended by No. 68 of 2004 s. 85(1).]</w:t>
      </w:r>
    </w:p>
    <w:p>
      <w:pPr>
        <w:pStyle w:val="Heading2"/>
      </w:pPr>
      <w:bookmarkStart w:id="141" w:name="_Toc192041152"/>
      <w:r>
        <w:rPr>
          <w:rStyle w:val="CharPartNo"/>
        </w:rPr>
        <w:t>Part 5</w:t>
      </w:r>
      <w:r>
        <w:t> — </w:t>
      </w:r>
      <w:r>
        <w:rPr>
          <w:rStyle w:val="CharPartText"/>
        </w:rPr>
        <w:t>Safety and health representatives and committees</w:t>
      </w:r>
      <w:bookmarkEnd w:id="141"/>
      <w:r>
        <w:rPr>
          <w:rStyle w:val="CharPartText"/>
        </w:rPr>
        <w:t xml:space="preserve"> </w:t>
      </w:r>
    </w:p>
    <w:p>
      <w:pPr>
        <w:pStyle w:val="Footnoteheading"/>
      </w:pPr>
      <w:r>
        <w:tab/>
        <w:t xml:space="preserve">[Heading amended by No. 30 of 1995 s. 76(1).] </w:t>
      </w:r>
    </w:p>
    <w:p>
      <w:pPr>
        <w:pStyle w:val="Heading3"/>
        <w:rPr>
          <w:snapToGrid w:val="0"/>
        </w:rPr>
      </w:pPr>
      <w:bookmarkStart w:id="142" w:name="_Toc192041153"/>
      <w:r>
        <w:rPr>
          <w:rStyle w:val="CharDivNo"/>
        </w:rPr>
        <w:t>Division 1</w:t>
      </w:r>
      <w:r>
        <w:rPr>
          <w:snapToGrid w:val="0"/>
        </w:rPr>
        <w:t> — </w:t>
      </w:r>
      <w:r>
        <w:rPr>
          <w:rStyle w:val="CharDivText"/>
        </w:rPr>
        <w:t>Safety and health representatives</w:t>
      </w:r>
      <w:bookmarkEnd w:id="142"/>
      <w:r>
        <w:rPr>
          <w:rStyle w:val="CharDivText"/>
        </w:rPr>
        <w:t xml:space="preserve"> </w:t>
      </w:r>
    </w:p>
    <w:p>
      <w:pPr>
        <w:pStyle w:val="Footnoteheading"/>
      </w:pPr>
      <w:r>
        <w:tab/>
        <w:t xml:space="preserve">[Heading amended by No. 30 of 1995 s. 76(1).] </w:t>
      </w:r>
    </w:p>
    <w:p>
      <w:pPr>
        <w:pStyle w:val="Heading5"/>
        <w:rPr>
          <w:snapToGrid w:val="0"/>
        </w:rPr>
      </w:pPr>
      <w:bookmarkStart w:id="143" w:name="_Toc192041154"/>
      <w:r>
        <w:rPr>
          <w:rStyle w:val="CharSectno"/>
        </w:rPr>
        <w:t>53</w:t>
      </w:r>
      <w:r>
        <w:rPr>
          <w:snapToGrid w:val="0"/>
        </w:rPr>
        <w:t>.</w:t>
      </w:r>
      <w:r>
        <w:rPr>
          <w:snapToGrid w:val="0"/>
        </w:rPr>
        <w:tab/>
        <w:t>Functions of safety and health representatives</w:t>
      </w:r>
      <w:bookmarkEnd w:id="143"/>
      <w:r>
        <w:rPr>
          <w:snapToGrid w:val="0"/>
        </w:rPr>
        <w:t xml:space="preserve"> </w:t>
      </w:r>
    </w:p>
    <w:p>
      <w:pPr>
        <w:pStyle w:val="Subsection"/>
        <w:rPr>
          <w:snapToGrid w:val="0"/>
        </w:rPr>
      </w:pPr>
      <w:r>
        <w:rPr>
          <w:snapToGrid w:val="0"/>
        </w:rPr>
        <w:tab/>
        <w:t>(1)</w:t>
      </w:r>
      <w:r>
        <w:rPr>
          <w:snapToGrid w:val="0"/>
        </w:rPr>
        <w:tab/>
        <w:t>The functions of a safety and health representative are, in the interests of safety and health at the mine for which the representative was elected — </w:t>
      </w:r>
    </w:p>
    <w:p>
      <w:pPr>
        <w:pStyle w:val="Indenta"/>
        <w:rPr>
          <w:snapToGrid w:val="0"/>
        </w:rPr>
      </w:pPr>
      <w:r>
        <w:rPr>
          <w:snapToGrid w:val="0"/>
        </w:rPr>
        <w:tab/>
        <w:t>(a)</w:t>
      </w:r>
      <w:r>
        <w:rPr>
          <w:snapToGrid w:val="0"/>
        </w:rPr>
        <w:tab/>
        <w:t>to inspect the mine, or any part of the mine — </w:t>
      </w:r>
    </w:p>
    <w:p>
      <w:pPr>
        <w:pStyle w:val="Indenti"/>
        <w:rPr>
          <w:snapToGrid w:val="0"/>
        </w:rPr>
      </w:pPr>
      <w:r>
        <w:rPr>
          <w:snapToGrid w:val="0"/>
        </w:rPr>
        <w:tab/>
        <w:t>(i)</w:t>
      </w:r>
      <w:r>
        <w:rPr>
          <w:snapToGrid w:val="0"/>
        </w:rPr>
        <w:tab/>
        <w:t>at such times as are agreed with the manager of the mine; or</w:t>
      </w:r>
    </w:p>
    <w:p>
      <w:pPr>
        <w:pStyle w:val="Indenti"/>
        <w:rPr>
          <w:snapToGrid w:val="0"/>
        </w:rPr>
      </w:pPr>
      <w:r>
        <w:rPr>
          <w:snapToGrid w:val="0"/>
        </w:rPr>
        <w:tab/>
        <w:t>(ii)</w:t>
      </w:r>
      <w:r>
        <w:rPr>
          <w:snapToGrid w:val="0"/>
        </w:rPr>
        <w:tab/>
        <w:t xml:space="preserve">where the representative has not inspected the mine, or that part of the mine, in the preceding 30 days, at any time upon giving reasonable notice to the manager;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an accident, a dangerous occurrence, or a risk of imminent and serious injury to, or imminent and serious harm to the health of, any person, immediately to carry out an appropriate investigation in respect of the matter; and</w:t>
      </w:r>
    </w:p>
    <w:p>
      <w:pPr>
        <w:pStyle w:val="Indenta"/>
        <w:rPr>
          <w:snapToGrid w:val="0"/>
        </w:rPr>
      </w:pPr>
      <w:r>
        <w:rPr>
          <w:snapToGrid w:val="0"/>
        </w:rPr>
        <w:tab/>
        <w:t>(c)</w:t>
      </w:r>
      <w:r>
        <w:rPr>
          <w:snapToGrid w:val="0"/>
        </w:rPr>
        <w:tab/>
        <w:t>to keep informed as to the safety and health information provided by the manager of the mine or an employer in accordance with this Act and liaise as necessary with the department and other public sector and private bodies; and</w:t>
      </w:r>
    </w:p>
    <w:p>
      <w:pPr>
        <w:pStyle w:val="Indenta"/>
        <w:rPr>
          <w:snapToGrid w:val="0"/>
        </w:rPr>
      </w:pPr>
      <w:r>
        <w:rPr>
          <w:snapToGrid w:val="0"/>
        </w:rPr>
        <w:tab/>
        <w:t>(d)</w:t>
      </w:r>
      <w:r>
        <w:rPr>
          <w:snapToGrid w:val="0"/>
        </w:rPr>
        <w:tab/>
        <w:t>immediately to report to the employer concerned and to the manager of the mine any hazard or potential hazard to which any person is, or might be, exposed at the mine that comes to the representative’s notice; and</w:t>
      </w:r>
    </w:p>
    <w:p>
      <w:pPr>
        <w:pStyle w:val="Indenta"/>
        <w:rPr>
          <w:snapToGrid w:val="0"/>
        </w:rPr>
      </w:pPr>
      <w:r>
        <w:rPr>
          <w:snapToGrid w:val="0"/>
        </w:rPr>
        <w:tab/>
        <w:t>(e)</w:t>
      </w:r>
      <w:r>
        <w:rPr>
          <w:snapToGrid w:val="0"/>
        </w:rPr>
        <w:tab/>
        <w:t>where there is a safety and health committee for the mine, to refer to that committee any matters that the representative thinks the safety and health committee should consider; and</w:t>
      </w:r>
    </w:p>
    <w:p>
      <w:pPr>
        <w:pStyle w:val="Indenta"/>
        <w:rPr>
          <w:snapToGrid w:val="0"/>
        </w:rPr>
      </w:pPr>
      <w:r>
        <w:rPr>
          <w:snapToGrid w:val="0"/>
        </w:rPr>
        <w:tab/>
        <w:t>(f)</w:t>
      </w:r>
      <w:r>
        <w:rPr>
          <w:snapToGrid w:val="0"/>
        </w:rPr>
        <w:tab/>
        <w:t>to consult and cooperate with the manager of the mine and employers on all matters relating to the safety or health of persons at the mine; and</w:t>
      </w:r>
    </w:p>
    <w:p>
      <w:pPr>
        <w:pStyle w:val="Indenta"/>
        <w:rPr>
          <w:snapToGrid w:val="0"/>
        </w:rPr>
      </w:pPr>
      <w:r>
        <w:rPr>
          <w:snapToGrid w:val="0"/>
        </w:rPr>
        <w:tab/>
        <w:t>(g)</w:t>
      </w:r>
      <w:r>
        <w:rPr>
          <w:snapToGrid w:val="0"/>
        </w:rPr>
        <w:tab/>
        <w:t>to liaise with the employees, employers, and employee’s inspectors in accordance with section 25, regarding matters concerning the safety or health of persons at the mine.</w:t>
      </w:r>
    </w:p>
    <w:p>
      <w:pPr>
        <w:pStyle w:val="Subsection"/>
        <w:rPr>
          <w:snapToGrid w:val="0"/>
        </w:rPr>
      </w:pPr>
      <w:r>
        <w:rPr>
          <w:snapToGrid w:val="0"/>
        </w:rPr>
        <w:tab/>
        <w:t>(2)</w:t>
      </w:r>
      <w:r>
        <w:rPr>
          <w:snapToGrid w:val="0"/>
        </w:rPr>
        <w:tab/>
        <w:t>A safety and health representative for a mine has such powers as are necessary for the carrying out of the representative’s functions under this Part and in particular, but without limiting the generality of the preceding statement, may, where requested to do so by an inspector, accompany an inspector while the inspector is carrying out, at the mine, any of the inspector’s functions under this Act.</w:t>
      </w:r>
    </w:p>
    <w:p>
      <w:pPr>
        <w:pStyle w:val="Subsection"/>
        <w:rPr>
          <w:snapToGrid w:val="0"/>
        </w:rPr>
      </w:pPr>
      <w:r>
        <w:rPr>
          <w:snapToGrid w:val="0"/>
        </w:rPr>
        <w:tab/>
        <w:t>(3)</w:t>
      </w:r>
      <w:r>
        <w:rPr>
          <w:snapToGrid w:val="0"/>
        </w:rPr>
        <w:tab/>
        <w:t>A safety and health representative incurs no civil liability arising from the representative’s performance of, or failure to perform, in good faith any function of a safety and health representative under this Act.</w:t>
      </w:r>
    </w:p>
    <w:p>
      <w:pPr>
        <w:pStyle w:val="Subsection"/>
      </w:pPr>
      <w:r>
        <w:tab/>
        <w:t>(4)</w:t>
      </w:r>
      <w:r>
        <w:tab/>
        <w:t xml:space="preserve">If a scheme has been established under section 55A, the references in this section to </w:t>
      </w:r>
      <w:r>
        <w:rPr>
          <w:b/>
        </w:rPr>
        <w:t>“</w:t>
      </w:r>
      <w:r>
        <w:rPr>
          <w:rStyle w:val="CharDefText"/>
        </w:rPr>
        <w:t>the mine</w:t>
      </w:r>
      <w:r>
        <w:rPr>
          <w:b/>
        </w:rPr>
        <w:t>”</w:t>
      </w:r>
      <w:r>
        <w:t xml:space="preserve"> and </w:t>
      </w:r>
      <w:r>
        <w:rPr>
          <w:b/>
        </w:rPr>
        <w:t>“</w:t>
      </w:r>
      <w:r>
        <w:rPr>
          <w:rStyle w:val="CharDefText"/>
        </w:rPr>
        <w:t>a mine</w:t>
      </w:r>
      <w:r>
        <w:rPr>
          <w:b/>
        </w:rPr>
        <w:t>”</w:t>
      </w:r>
      <w:r>
        <w:t xml:space="preserve"> include — </w:t>
      </w:r>
    </w:p>
    <w:p>
      <w:pPr>
        <w:pStyle w:val="Indenta"/>
      </w:pPr>
      <w:r>
        <w:tab/>
        <w:t>(a)</w:t>
      </w:r>
      <w:r>
        <w:tab/>
        <w:t xml:space="preserve">if the scheme applies to more than one mine, each mine to which the scheme applies; and </w:t>
      </w:r>
    </w:p>
    <w:p>
      <w:pPr>
        <w:pStyle w:val="Indenta"/>
      </w:pPr>
      <w:r>
        <w:tab/>
        <w:t>(b)</w:t>
      </w:r>
      <w:r>
        <w:tab/>
        <w:t>if under the scheme a safety and health representative is elected for a group of employees, each mine or part of a mine at which any member of the group works.</w:t>
      </w:r>
    </w:p>
    <w:p>
      <w:pPr>
        <w:pStyle w:val="Footnotesection"/>
      </w:pPr>
      <w:r>
        <w:tab/>
        <w:t xml:space="preserve">[Section 53 amended by No. 30 of 1995 s. 61 and 76(2), (3) and (4); No. 68 of 2004 s. 52.] </w:t>
      </w:r>
    </w:p>
    <w:p>
      <w:pPr>
        <w:pStyle w:val="Heading5"/>
        <w:rPr>
          <w:snapToGrid w:val="0"/>
        </w:rPr>
      </w:pPr>
      <w:bookmarkStart w:id="144" w:name="_Toc192041155"/>
      <w:r>
        <w:rPr>
          <w:rStyle w:val="CharSectno"/>
        </w:rPr>
        <w:t>54</w:t>
      </w:r>
      <w:r>
        <w:rPr>
          <w:snapToGrid w:val="0"/>
        </w:rPr>
        <w:t>.</w:t>
      </w:r>
      <w:r>
        <w:rPr>
          <w:snapToGrid w:val="0"/>
        </w:rPr>
        <w:tab/>
        <w:t>Notice requiring election of safety and health representatives</w:t>
      </w:r>
      <w:bookmarkEnd w:id="144"/>
      <w:r>
        <w:rPr>
          <w:snapToGrid w:val="0"/>
        </w:rPr>
        <w:t xml:space="preserve"> </w:t>
      </w:r>
    </w:p>
    <w:p>
      <w:pPr>
        <w:pStyle w:val="Subsection"/>
        <w:rPr>
          <w:snapToGrid w:val="0"/>
        </w:rPr>
      </w:pPr>
      <w:r>
        <w:rPr>
          <w:snapToGrid w:val="0"/>
        </w:rPr>
        <w:tab/>
        <w:t>(1)</w:t>
      </w:r>
      <w:r>
        <w:rPr>
          <w:snapToGrid w:val="0"/>
        </w:rPr>
        <w:tab/>
        <w:t>An employee who works at a mine may give notice to his or her employer at the mine requiring the election of a safety and health representative for the mine.</w:t>
      </w:r>
    </w:p>
    <w:p>
      <w:pPr>
        <w:pStyle w:val="Subsection"/>
      </w:pPr>
      <w:r>
        <w:tab/>
        <w:t>(2)</w:t>
      </w:r>
      <w:r>
        <w:tab/>
        <w:t xml:space="preserve">The fact that a notice under subsection (1) requires an election for the mine at which the employee works does not prevent — </w:t>
      </w:r>
    </w:p>
    <w:p>
      <w:pPr>
        <w:pStyle w:val="Indenta"/>
      </w:pPr>
      <w:r>
        <w:tab/>
        <w:t>(a)</w:t>
      </w:r>
      <w:r>
        <w:tab/>
        <w:t>the establishment of a scheme under section 55A that extends beyond that mine; or</w:t>
      </w:r>
    </w:p>
    <w:p>
      <w:pPr>
        <w:pStyle w:val="Indenta"/>
      </w:pPr>
      <w:r>
        <w:tab/>
        <w:t>(b)</w:t>
      </w:r>
      <w:r>
        <w:tab/>
        <w:t>the making of a determination under section 55(4a) for that purpose.</w:t>
      </w:r>
    </w:p>
    <w:p>
      <w:pPr>
        <w:pStyle w:val="Footnotesection"/>
      </w:pPr>
      <w:r>
        <w:tab/>
        <w:t xml:space="preserve">[Section 54 amended by No. 30 of 1995 s. 76(4); No. 68 of 2004 s. 53.] </w:t>
      </w:r>
    </w:p>
    <w:p>
      <w:pPr>
        <w:pStyle w:val="Heading5"/>
        <w:rPr>
          <w:snapToGrid w:val="0"/>
        </w:rPr>
      </w:pPr>
      <w:bookmarkStart w:id="145" w:name="_Toc192041156"/>
      <w:r>
        <w:rPr>
          <w:rStyle w:val="CharSectno"/>
        </w:rPr>
        <w:t>55</w:t>
      </w:r>
      <w:r>
        <w:rPr>
          <w:snapToGrid w:val="0"/>
        </w:rPr>
        <w:t>.</w:t>
      </w:r>
      <w:r>
        <w:rPr>
          <w:snapToGrid w:val="0"/>
        </w:rPr>
        <w:tab/>
        <w:t>Consultation on election matters</w:t>
      </w:r>
      <w:bookmarkEnd w:id="145"/>
      <w:r>
        <w:rPr>
          <w:snapToGrid w:val="0"/>
        </w:rPr>
        <w:t xml:space="preserve"> </w:t>
      </w:r>
    </w:p>
    <w:p>
      <w:pPr>
        <w:pStyle w:val="Subsection"/>
        <w:rPr>
          <w:snapToGrid w:val="0"/>
        </w:rPr>
      </w:pPr>
      <w:r>
        <w:rPr>
          <w:snapToGrid w:val="0"/>
        </w:rPr>
        <w:tab/>
        <w:t>(1)</w:t>
      </w:r>
      <w:r>
        <w:rPr>
          <w:snapToGrid w:val="0"/>
        </w:rPr>
        <w:tab/>
        <w: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t>
      </w:r>
    </w:p>
    <w:p>
      <w:pPr>
        <w:pStyle w:val="Subsection"/>
        <w:rPr>
          <w:snapToGrid w:val="0"/>
        </w:rPr>
      </w:pPr>
      <w:r>
        <w:rPr>
          <w:snapToGrid w:val="0"/>
        </w:rPr>
        <w:tab/>
        <w:t>(2)</w:t>
      </w:r>
      <w:r>
        <w:rPr>
          <w:snapToGrid w:val="0"/>
        </w:rPr>
        <w:tab/>
        <w:t>An employer may, at any time the employer requires the election of a safety and health representative for a mine, invite the employees who work at the mine to appoint a delegate or delegates in accordance with subsection (3).</w:t>
      </w:r>
    </w:p>
    <w:p>
      <w:pPr>
        <w:pStyle w:val="Subsection"/>
        <w:rPr>
          <w:snapToGrid w:val="0"/>
        </w:rPr>
      </w:pPr>
      <w:r>
        <w:rPr>
          <w:snapToGrid w:val="0"/>
        </w:rPr>
        <w:tab/>
        <w:t>(3)</w:t>
      </w:r>
      <w:r>
        <w:rPr>
          <w:snapToGrid w:val="0"/>
        </w:rPr>
        <w:tab/>
        <w:t>The employees who work at a mine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must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which are required to be determined under this section in relation to an election are — </w:t>
      </w:r>
    </w:p>
    <w:p>
      <w:pPr>
        <w:pStyle w:val="Indenta"/>
        <w:spacing w:before="60"/>
        <w:rPr>
          <w:snapToGrid w:val="0"/>
        </w:rPr>
      </w:pPr>
      <w:r>
        <w:rPr>
          <w:snapToGrid w:val="0"/>
        </w:rPr>
        <w:tab/>
        <w:t>(a)</w:t>
      </w:r>
      <w:r>
        <w:rPr>
          <w:snapToGrid w:val="0"/>
        </w:rPr>
        <w:tab/>
        <w:t>the number of safety and health representatives to be elected for the mine;</w:t>
      </w:r>
    </w:p>
    <w:p>
      <w:pPr>
        <w:pStyle w:val="Indenta"/>
        <w:spacing w:before="60"/>
        <w:rPr>
          <w:snapToGrid w:val="0"/>
        </w:rPr>
      </w:pPr>
      <w:r>
        <w:rPr>
          <w:snapToGrid w:val="0"/>
        </w:rPr>
        <w:tab/>
        <w:t>(b)</w:t>
      </w:r>
      <w:r>
        <w:rPr>
          <w:snapToGrid w:val="0"/>
        </w:rPr>
        <w:tab/>
        <w:t>whether any training is to be agreed as being adequate for the purposes of section 56(8)(c) and, if so, what that training is to be;</w:t>
      </w:r>
    </w:p>
    <w:p>
      <w:pPr>
        <w:pStyle w:val="Indenta"/>
        <w:spacing w:before="60"/>
      </w:pPr>
      <w:r>
        <w:tab/>
        <w:t>(ba)</w:t>
      </w:r>
      <w:r>
        <w:tab/>
        <w:t>the matters, areas or kinds of work in respect of which each safety and health representative is to perform functions, so far as those things are not to be dealt with by provision of a kind mentioned in section 55B(2) or (3);</w:t>
      </w:r>
    </w:p>
    <w:p>
      <w:pPr>
        <w:pStyle w:val="Indenta"/>
        <w:spacing w:before="60"/>
      </w:pPr>
      <w:r>
        <w:tab/>
        <w:t>(bb)</w:t>
      </w:r>
      <w:r>
        <w:tab/>
        <w:t>how a vacancy in an office of safety and health representative that occurs in the circumstances mentioned in section 57(2)(b), (ba), (c) or (d) is to be dealt with; and</w:t>
      </w:r>
    </w:p>
    <w:p>
      <w:pPr>
        <w:pStyle w:val="Indenta"/>
        <w:spacing w:before="60"/>
        <w:rPr>
          <w:snapToGrid w:val="0"/>
        </w:rPr>
      </w:pPr>
      <w:r>
        <w:rPr>
          <w:snapToGrid w:val="0"/>
        </w:rPr>
        <w:tab/>
        <w:t>(c)</w:t>
      </w:r>
      <w:r>
        <w:rPr>
          <w:snapToGrid w:val="0"/>
        </w:rPr>
        <w:tab/>
        <w:t>the person by whom and the manner in which the election is to be conducted.</w:t>
      </w:r>
    </w:p>
    <w:p>
      <w:pPr>
        <w:pStyle w:val="Subsection"/>
        <w:spacing w:before="120"/>
      </w:pPr>
      <w:r>
        <w:tab/>
        <w:t>(4a)</w:t>
      </w:r>
      <w:r>
        <w:tab/>
        <w:t>The employer and the delegate or delegates consulting under subsection (3a) may determine that provision of a kind mentioned in section 55B(2) or (3) should be made.</w:t>
      </w:r>
    </w:p>
    <w:p>
      <w:pPr>
        <w:pStyle w:val="Subsection"/>
        <w:spacing w:before="120"/>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the Electoral Commissioner;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spacing w:before="120"/>
        <w:rPr>
          <w:snapToGrid w:val="0"/>
        </w:rPr>
      </w:pPr>
      <w:r>
        <w:rPr>
          <w:snapToGrid w:val="0"/>
        </w:rPr>
        <w:tab/>
        <w:t>(6)</w:t>
      </w:r>
      <w:r>
        <w:rPr>
          <w:snapToGrid w:val="0"/>
        </w:rPr>
        <w:tab/>
        <w: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t>
      </w:r>
      <w:r>
        <w:t>the Tribunal</w:t>
      </w:r>
      <w:r>
        <w:rPr>
          <w:snapToGrid w:val="0"/>
        </w:rPr>
        <w:t xml:space="preserve"> for determination.</w:t>
      </w:r>
    </w:p>
    <w:p>
      <w:pPr>
        <w:pStyle w:val="Subsection"/>
        <w:rPr>
          <w:snapToGrid w:val="0"/>
        </w:rPr>
      </w:pPr>
      <w:r>
        <w:rPr>
          <w:snapToGrid w:val="0"/>
        </w:rPr>
        <w:tab/>
        <w:t>(7)</w:t>
      </w:r>
      <w:r>
        <w:rPr>
          <w:snapToGrid w:val="0"/>
        </w:rPr>
        <w:tab/>
        <w:t>An employer who contravenes subsection (1) or (3a) commits an offence.</w:t>
      </w:r>
    </w:p>
    <w:p>
      <w:pPr>
        <w:pStyle w:val="Footnotesection"/>
      </w:pPr>
      <w:r>
        <w:tab/>
        <w:t xml:space="preserve">[Section 55 amended by No. 30 of 1995 s. 62 and 76(4); No. 68 of 2004 s. 54 and 84(1).] </w:t>
      </w:r>
    </w:p>
    <w:p>
      <w:pPr>
        <w:pStyle w:val="Heading5"/>
      </w:pPr>
      <w:bookmarkStart w:id="146" w:name="_Toc192041157"/>
      <w:r>
        <w:rPr>
          <w:rStyle w:val="CharSectno"/>
        </w:rPr>
        <w:t>55A</w:t>
      </w:r>
      <w:r>
        <w:t>.</w:t>
      </w:r>
      <w:r>
        <w:tab/>
        <w:t>Election scheme may be established</w:t>
      </w:r>
      <w:bookmarkEnd w:id="146"/>
    </w:p>
    <w:p>
      <w:pPr>
        <w:pStyle w:val="Subsection"/>
      </w:pPr>
      <w:r>
        <w:tab/>
        <w:t>(1)</w:t>
      </w:r>
      <w:r>
        <w:tab/>
        <w:t xml:space="preserve">In this section — </w:t>
      </w:r>
    </w:p>
    <w:p>
      <w:pPr>
        <w:pStyle w:val="Defstart"/>
      </w:pPr>
      <w:r>
        <w:rPr>
          <w:b/>
        </w:rPr>
        <w:tab/>
        <w:t>“</w:t>
      </w:r>
      <w:r>
        <w:rPr>
          <w:rStyle w:val="CharDefText"/>
        </w:rPr>
        <w:t>consulting parties</w:t>
      </w:r>
      <w:r>
        <w:rPr>
          <w:b/>
        </w:rPr>
        <w:t>”</w:t>
      </w:r>
      <w:r>
        <w:t xml:space="preserve"> means the employer and the delegate or delegates consulting under section 55(3a), and includes any delegate or delegates appointed under section 55C.</w:t>
      </w:r>
    </w:p>
    <w:p>
      <w:pPr>
        <w:pStyle w:val="Subsection"/>
      </w:pPr>
      <w:r>
        <w:tab/>
        <w:t>(2)</w:t>
      </w:r>
      <w:r>
        <w:tab/>
        <w:t>If the consulting parties in respect of a mine have made a determination referred to in section 55(4a),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State mining engineer, who is to attempt to resolve it to the satisfaction of the consulting parties.</w:t>
      </w:r>
    </w:p>
    <w:p>
      <w:pPr>
        <w:pStyle w:val="Subsection"/>
      </w:pPr>
      <w:r>
        <w:tab/>
        <w:t>(4)</w:t>
      </w:r>
      <w:r>
        <w:tab/>
        <w:t>If the State mining engineer is unable to resolve the matter, he or she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pPr>
      <w:r>
        <w:tab/>
        <w:t>(b)</w:t>
      </w:r>
      <w:r>
        <w:tab/>
        <w:t>the determination of the Tribunal under subsection (4).</w:t>
      </w:r>
    </w:p>
    <w:p>
      <w:pPr>
        <w:pStyle w:val="Footnotesection"/>
      </w:pPr>
      <w:r>
        <w:tab/>
        <w:t>[Section 55A inserted by No. 68 of 2004 s. 55.]</w:t>
      </w:r>
    </w:p>
    <w:p>
      <w:pPr>
        <w:pStyle w:val="Heading5"/>
      </w:pPr>
      <w:bookmarkStart w:id="147" w:name="_Toc192041158"/>
      <w:r>
        <w:rPr>
          <w:rStyle w:val="CharSectno"/>
        </w:rPr>
        <w:t>55B</w:t>
      </w:r>
      <w:r>
        <w:t>.</w:t>
      </w:r>
      <w:r>
        <w:tab/>
        <w:t>What may be included in a scheme</w:t>
      </w:r>
      <w:bookmarkEnd w:id="147"/>
    </w:p>
    <w:p>
      <w:pPr>
        <w:pStyle w:val="Subsection"/>
      </w:pPr>
      <w:r>
        <w:tab/>
        <w:t>(1)</w:t>
      </w:r>
      <w:r>
        <w:tab/>
        <w:t xml:space="preserve">In this section — </w:t>
      </w:r>
    </w:p>
    <w:p>
      <w:pPr>
        <w:pStyle w:val="Defstart"/>
      </w:pPr>
      <w:r>
        <w:rPr>
          <w:b/>
        </w:rPr>
        <w:tab/>
        <w:t>“</w:t>
      </w:r>
      <w:r>
        <w:rPr>
          <w:rStyle w:val="CharDefText"/>
        </w:rPr>
        <w:t>contractor</w:t>
      </w:r>
      <w:r>
        <w:rPr>
          <w:b/>
        </w:rPr>
        <w:t>”</w:t>
      </w:r>
      <w:r>
        <w:t xml:space="preserve"> and </w:t>
      </w:r>
      <w:r>
        <w:rPr>
          <w:b/>
        </w:rPr>
        <w:t>“</w:t>
      </w:r>
      <w:r>
        <w:rPr>
          <w:rStyle w:val="CharDefText"/>
        </w:rPr>
        <w:t>principal</w:t>
      </w:r>
      <w:r>
        <w:rPr>
          <w:b/>
        </w:rPr>
        <w:t>”</w:t>
      </w:r>
      <w:r>
        <w:t xml:space="preserve"> have the meanings given to those terms in section 15A(1).</w:t>
      </w:r>
    </w:p>
    <w:p>
      <w:pPr>
        <w:pStyle w:val="Subsection"/>
      </w:pPr>
      <w:r>
        <w:tab/>
        <w:t>(2)</w:t>
      </w:r>
      <w:r>
        <w:tab/>
        <w:t xml:space="preserve">A scheme under section 55A (a </w:t>
      </w:r>
      <w:r>
        <w:rPr>
          <w:b/>
        </w:rPr>
        <w:t>“</w:t>
      </w:r>
      <w:r>
        <w:rPr>
          <w:rStyle w:val="CharDefText"/>
        </w:rPr>
        <w:t>scheme</w:t>
      </w:r>
      <w:r>
        <w:rPr>
          <w:b/>
        </w:rPr>
        <w:t>”</w:t>
      </w:r>
      <w:r>
        <w:t xml:space="preserve">) may include provision for the election of one or more safety and health representatives for — </w:t>
      </w:r>
    </w:p>
    <w:p>
      <w:pPr>
        <w:pStyle w:val="Indenta"/>
      </w:pPr>
      <w:r>
        <w:tab/>
        <w:t>(a)</w:t>
      </w:r>
      <w:r>
        <w:tab/>
        <w:t>one or more mines in addition to the mine referred to in section 55A(2);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who engages the contractor; and</w:t>
      </w:r>
    </w:p>
    <w:p>
      <w:pPr>
        <w:pStyle w:val="Indenta"/>
      </w:pPr>
      <w:r>
        <w:tab/>
        <w:t>(b)</w:t>
      </w:r>
      <w:r>
        <w:tab/>
        <w:t xml:space="preserve">provide for the principal who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one or more safety and health representatives; and</w:t>
      </w:r>
    </w:p>
    <w:p>
      <w:pPr>
        <w:pStyle w:val="Indenta"/>
      </w:pPr>
      <w:r>
        <w:tab/>
        <w:t>(b)</w:t>
      </w:r>
      <w:r>
        <w:tab/>
        <w:t>the manner in which an amendment may be made to the scheme after it has been determined.</w:t>
      </w:r>
    </w:p>
    <w:p>
      <w:pPr>
        <w:pStyle w:val="Footnotesection"/>
      </w:pPr>
      <w:r>
        <w:tab/>
        <w:t>[Section 55B inserted by No. 68 of 2004 s. 55.]</w:t>
      </w:r>
    </w:p>
    <w:p>
      <w:pPr>
        <w:pStyle w:val="Heading5"/>
      </w:pPr>
      <w:bookmarkStart w:id="148" w:name="_Toc192041159"/>
      <w:r>
        <w:rPr>
          <w:rStyle w:val="CharSectno"/>
        </w:rPr>
        <w:t>55C</w:t>
      </w:r>
      <w:r>
        <w:t>.</w:t>
      </w:r>
      <w:r>
        <w:tab/>
        <w:t>Appointment of further delegates may be required</w:t>
      </w:r>
      <w:bookmarkEnd w:id="148"/>
    </w:p>
    <w:p>
      <w:pPr>
        <w:pStyle w:val="Subsection"/>
      </w:pPr>
      <w:r>
        <w:tab/>
        <w:t>(1)</w:t>
      </w:r>
      <w:r>
        <w:tab/>
        <w:t xml:space="preserve">In this section — </w:t>
      </w:r>
    </w:p>
    <w:p>
      <w:pPr>
        <w:pStyle w:val="Defstart"/>
      </w:pPr>
      <w:r>
        <w:rPr>
          <w:b/>
        </w:rPr>
        <w:tab/>
        <w:t>“</w:t>
      </w:r>
      <w:r>
        <w:rPr>
          <w:rStyle w:val="CharDefText"/>
        </w:rPr>
        <w:t>additional employees</w:t>
      </w:r>
      <w:r>
        <w:rPr>
          <w:b/>
        </w:rPr>
        <w:t>”</w:t>
      </w:r>
      <w:r>
        <w:t xml:space="preserve"> means employees who have not been invited to appoint a delegate or delegates under section 55(1) or (2) because that subsection has not become applicable to the mine at which they work.</w:t>
      </w:r>
    </w:p>
    <w:p>
      <w:pPr>
        <w:pStyle w:val="Subsection"/>
        <w:spacing w:before="120"/>
      </w:pPr>
      <w:r>
        <w:tab/>
        <w:t>(2)</w:t>
      </w:r>
      <w:r>
        <w:tab/>
        <w:t>A scheme under section 55A cannot make provision of the kind mentioned in section 55B(2) that will affect additional employees unless subsection (3) of this section is complied with.</w:t>
      </w:r>
    </w:p>
    <w:p>
      <w:pPr>
        <w:pStyle w:val="Subsection"/>
        <w:spacing w:before="120"/>
      </w:pPr>
      <w:r>
        <w:tab/>
        <w:t>(3)</w:t>
      </w:r>
      <w:r>
        <w:tab/>
        <w:t>If it is proposed that such provision be made the employer must invite any additional employees at a mine to appoint a delegate or delegates in accordance with subsection (4).</w:t>
      </w:r>
    </w:p>
    <w:p>
      <w:pPr>
        <w:pStyle w:val="Subsection"/>
        <w:spacing w:before="120"/>
      </w:pPr>
      <w:r>
        <w:tab/>
        <w:t>(4)</w:t>
      </w:r>
      <w:r>
        <w:tab/>
        <w:t>Additional employees who work at a mine may, upon being invited under subsection (3) to do so, appoint a delegate or delegates from amongst their number to represent them for the purposes of making an agreement under section 55A(2).</w:t>
      </w:r>
    </w:p>
    <w:p>
      <w:pPr>
        <w:pStyle w:val="Footnotesection"/>
      </w:pPr>
      <w:r>
        <w:tab/>
        <w:t>[Section 55C inserted by No. 68 of 2004 s. 55.]</w:t>
      </w:r>
    </w:p>
    <w:p>
      <w:pPr>
        <w:pStyle w:val="Heading5"/>
        <w:rPr>
          <w:snapToGrid w:val="0"/>
        </w:rPr>
      </w:pPr>
      <w:bookmarkStart w:id="149" w:name="_Toc192041160"/>
      <w:r>
        <w:rPr>
          <w:rStyle w:val="CharSectno"/>
        </w:rPr>
        <w:t>56</w:t>
      </w:r>
      <w:r>
        <w:rPr>
          <w:snapToGrid w:val="0"/>
        </w:rPr>
        <w:t>.</w:t>
      </w:r>
      <w:r>
        <w:rPr>
          <w:snapToGrid w:val="0"/>
        </w:rPr>
        <w:tab/>
        <w:t>Election of safety and health representatives</w:t>
      </w:r>
      <w:bookmarkEnd w:id="149"/>
      <w:r>
        <w:rPr>
          <w:snapToGrid w:val="0"/>
        </w:rPr>
        <w:t xml:space="preserve"> </w:t>
      </w:r>
    </w:p>
    <w:p>
      <w:pPr>
        <w:pStyle w:val="Subsection"/>
        <w:spacing w:before="120"/>
      </w:pPr>
      <w:r>
        <w:tab/>
        <w:t>(1)</w:t>
      </w:r>
      <w:r>
        <w:tab/>
        <w:t xml:space="preserve">In this section — </w:t>
      </w:r>
    </w:p>
    <w:p>
      <w:pPr>
        <w:pStyle w:val="Defstart"/>
      </w:pPr>
      <w:r>
        <w:tab/>
      </w:r>
      <w:r>
        <w:rPr>
          <w:b/>
        </w:rPr>
        <w:t>“</w:t>
      </w:r>
      <w:r>
        <w:rPr>
          <w:rStyle w:val="CharDefText"/>
        </w:rPr>
        <w:t>election</w:t>
      </w:r>
      <w:r>
        <w:rPr>
          <w:b/>
        </w:rPr>
        <w:t>”</w:t>
      </w:r>
      <w:r>
        <w:t xml:space="preserve"> means an election required for the purpose of electing one or more safety and health representatives following — </w:t>
      </w:r>
    </w:p>
    <w:p>
      <w:pPr>
        <w:pStyle w:val="Defpara"/>
      </w:pPr>
      <w:r>
        <w:tab/>
        <w:t>(a)</w:t>
      </w:r>
      <w:r>
        <w:tab/>
        <w:t>the giving of a notice under section 54 in relation to a mine; or</w:t>
      </w:r>
    </w:p>
    <w:p>
      <w:pPr>
        <w:pStyle w:val="Defpara"/>
      </w:pPr>
      <w:r>
        <w:tab/>
        <w:t>(b)</w:t>
      </w:r>
      <w:r>
        <w:tab/>
        <w:t>a decision of an employer under section 55(2);</w:t>
      </w:r>
    </w:p>
    <w:p>
      <w:pPr>
        <w:pStyle w:val="Defstart"/>
      </w:pPr>
      <w:r>
        <w:rPr>
          <w:b/>
        </w:rPr>
        <w:tab/>
        <w:t>“</w:t>
      </w:r>
      <w:r>
        <w:rPr>
          <w:rStyle w:val="CharDefText"/>
        </w:rPr>
        <w:t>relevant employee</w:t>
      </w:r>
      <w:r>
        <w:rPr>
          <w:b/>
        </w:rPr>
        <w:t>”</w:t>
      </w:r>
      <w:r>
        <w:t xml:space="preserve">, in relation to an election, means — </w:t>
      </w:r>
    </w:p>
    <w:p>
      <w:pPr>
        <w:pStyle w:val="Defpara"/>
      </w:pPr>
      <w:r>
        <w:tab/>
        <w:t>(a)</w:t>
      </w:r>
      <w:r>
        <w:tab/>
        <w:t>an employee who works at the mine to which the election relates; or</w:t>
      </w:r>
    </w:p>
    <w:p>
      <w:pPr>
        <w:pStyle w:val="Defpara"/>
      </w:pPr>
      <w:r>
        <w:tab/>
        <w:t>(b)</w:t>
      </w:r>
      <w:r>
        <w:tab/>
        <w:t xml:space="preserve">if a scheme has been established under section 55A for the election, an employee who — </w:t>
      </w:r>
    </w:p>
    <w:p>
      <w:pPr>
        <w:pStyle w:val="Defsubpara"/>
      </w:pPr>
      <w:r>
        <w:tab/>
        <w:t>(i)</w:t>
      </w:r>
      <w:r>
        <w:tab/>
        <w:t>works at a mine;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repealed]</w:t>
      </w:r>
    </w:p>
    <w:p>
      <w:pPr>
        <w:pStyle w:val="Subsection"/>
      </w:pPr>
      <w:r>
        <w:tab/>
        <w:t>(6)</w:t>
      </w:r>
      <w:r>
        <w:tab/>
        <w:t xml:space="preserve">Subject to this section, an election is to be conducted and safety and health representatives are to be elected in accordance with — </w:t>
      </w:r>
    </w:p>
    <w:p>
      <w:pPr>
        <w:pStyle w:val="Indenta"/>
      </w:pPr>
      <w:r>
        <w:tab/>
        <w:t>(a)</w:t>
      </w:r>
      <w:r>
        <w:tab/>
        <w:t>any determination under section 55; and</w:t>
      </w:r>
    </w:p>
    <w:p>
      <w:pPr>
        <w:pStyle w:val="Indenta"/>
      </w:pPr>
      <w:r>
        <w:tab/>
        <w:t>(b)</w:t>
      </w:r>
      <w:r>
        <w:tab/>
        <w:t>if applicable, a scheme established under section 55A.</w:t>
      </w:r>
    </w:p>
    <w:p>
      <w:pPr>
        <w:pStyle w:val="Subsection"/>
      </w:pPr>
      <w:r>
        <w:tab/>
        <w:t>(7)</w:t>
      </w:r>
      <w:r>
        <w:tab/>
        <w:t>If there is any inconsistency between a determination under section 55 and a scheme established under section 55A, the latter prevails.</w:t>
      </w:r>
    </w:p>
    <w:p>
      <w:pPr>
        <w:pStyle w:val="Subsection"/>
      </w:pPr>
      <w:r>
        <w:tab/>
        <w:t>(8)</w:t>
      </w:r>
      <w:r>
        <w:tab/>
        <w:t>An election is to be by secret ballot.</w:t>
      </w:r>
    </w:p>
    <w:p>
      <w:pPr>
        <w:pStyle w:val="Subsection"/>
      </w:pPr>
      <w:r>
        <w:tab/>
        <w:t>(8a)</w:t>
      </w:r>
      <w:r>
        <w:tab/>
        <w:t>Every relevant employee is entitled to vote at an election.</w:t>
      </w:r>
    </w:p>
    <w:p>
      <w:pPr>
        <w:pStyle w:val="Subsection"/>
      </w:pPr>
      <w:r>
        <w:tab/>
        <w:t>(8b)</w:t>
      </w:r>
      <w:r>
        <w:tab/>
        <w:t xml:space="preserve">A person is not eligible to be elected as a safety and health representative for a mine unless the person — </w:t>
      </w:r>
    </w:p>
    <w:p>
      <w:pPr>
        <w:pStyle w:val="Indenta"/>
      </w:pPr>
      <w:r>
        <w:tab/>
        <w:t>(a)</w:t>
      </w:r>
      <w:r>
        <w:tab/>
        <w:t>is a relevant employee; and</w:t>
      </w:r>
    </w:p>
    <w:p>
      <w:pPr>
        <w:pStyle w:val="Indenta"/>
      </w:pPr>
      <w:r>
        <w:tab/>
        <w:t>(b)</w:t>
      </w:r>
      <w:r>
        <w:tab/>
        <w:t>where the representative to be elected will be required to perform his or her functions in relation to underground mining operations, has had a total of a least 12 months’ experience as a person engaged in underground mining operations.</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a ballot need not be held and that candidate is deemed to have been duly elected.</w:t>
      </w:r>
    </w:p>
    <w:p>
      <w:pPr>
        <w:pStyle w:val="Subsection"/>
      </w:pPr>
      <w:r>
        <w:tab/>
        <w:t>(10)</w:t>
      </w:r>
      <w:r>
        <w:tab/>
        <w:t xml:space="preserve">The person conducting an election must — </w:t>
      </w:r>
    </w:p>
    <w:p>
      <w:pPr>
        <w:pStyle w:val="Indenta"/>
      </w:pPr>
      <w:r>
        <w:tab/>
        <w:t>(a)</w:t>
      </w:r>
      <w:r>
        <w:tab/>
        <w:t xml:space="preserve">give notice of the result to — </w:t>
      </w:r>
    </w:p>
    <w:p>
      <w:pPr>
        <w:pStyle w:val="Indenti"/>
      </w:pPr>
      <w:r>
        <w:tab/>
        <w:t>(i)</w:t>
      </w:r>
      <w:r>
        <w:tab/>
        <w:t>a person elected as a safety and health representative; and</w:t>
      </w:r>
    </w:p>
    <w:p>
      <w:pPr>
        <w:pStyle w:val="Indenti"/>
      </w:pPr>
      <w:r>
        <w:tab/>
        <w:t>(ii)</w:t>
      </w:r>
      <w:r>
        <w:tab/>
        <w:t>the employer concerned;</w:t>
      </w:r>
    </w:p>
    <w:p>
      <w:pPr>
        <w:pStyle w:val="Indenta"/>
      </w:pPr>
      <w:r>
        <w:tab/>
      </w:r>
      <w:r>
        <w:tab/>
        <w:t>and</w:t>
      </w:r>
    </w:p>
    <w:p>
      <w:pPr>
        <w:pStyle w:val="Indenta"/>
      </w:pPr>
      <w:r>
        <w:tab/>
        <w:t>(b)</w:t>
      </w:r>
      <w:r>
        <w:tab/>
        <w:t>give notice of the result to the State mining engineer in the prescribed form and provide such further particulars as are prescribed in that form.</w:t>
      </w:r>
    </w:p>
    <w:p>
      <w:pPr>
        <w:pStyle w:val="Subsection"/>
      </w:pPr>
      <w:r>
        <w:tab/>
        <w:t>(10a)</w:t>
      </w:r>
      <w:r>
        <w:tab/>
        <w:t xml:space="preserve">A notice under subsection (10)(a) must be in writing and must — </w:t>
      </w:r>
    </w:p>
    <w:p>
      <w:pPr>
        <w:pStyle w:val="Indenta"/>
      </w:pPr>
      <w:r>
        <w:tab/>
        <w:t>(a)</w:t>
      </w:r>
      <w:r>
        <w:tab/>
        <w:t>specify the day on which the election was completed; and</w:t>
      </w:r>
    </w:p>
    <w:p>
      <w:pPr>
        <w:pStyle w:val="Indenta"/>
      </w:pPr>
      <w:r>
        <w:tab/>
        <w:t>(b)</w:t>
      </w:r>
      <w:r>
        <w:tab/>
        <w:t>be given not later than the 7</w:t>
      </w:r>
      <w:r>
        <w:rPr>
          <w:vertAlign w:val="superscript"/>
        </w:rPr>
        <w:t>th</w:t>
      </w:r>
      <w:r>
        <w:t xml:space="preserve"> day after that day.</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State mining engineer who must, if unable to resolve the matter to the satisfaction of the persons concerned, refer the matter to </w:t>
      </w:r>
      <w:r>
        <w:t>the Tribunal</w:t>
      </w:r>
      <w:r>
        <w:rPr>
          <w:snapToGrid w:val="0"/>
        </w:rPr>
        <w:t xml:space="preserve"> for determination.</w:t>
      </w:r>
    </w:p>
    <w:p>
      <w:pPr>
        <w:pStyle w:val="Footnotesection"/>
      </w:pPr>
      <w:r>
        <w:tab/>
        <w:t xml:space="preserve">[Section 56 amended by No. 30 of 1995 s. 63 and 76(4); No. 68 of 2004 s. 56 and 84(1).] </w:t>
      </w:r>
    </w:p>
    <w:p>
      <w:pPr>
        <w:pStyle w:val="Heading5"/>
        <w:rPr>
          <w:snapToGrid w:val="0"/>
        </w:rPr>
      </w:pPr>
      <w:bookmarkStart w:id="150" w:name="_Toc192041161"/>
      <w:r>
        <w:rPr>
          <w:rStyle w:val="CharSectno"/>
        </w:rPr>
        <w:t>57</w:t>
      </w:r>
      <w:r>
        <w:rPr>
          <w:snapToGrid w:val="0"/>
        </w:rPr>
        <w:t>.</w:t>
      </w:r>
      <w:r>
        <w:rPr>
          <w:snapToGrid w:val="0"/>
        </w:rPr>
        <w:tab/>
        <w:t>Terms of office</w:t>
      </w:r>
      <w:bookmarkEnd w:id="150"/>
      <w:r>
        <w:rPr>
          <w:snapToGrid w:val="0"/>
        </w:rPr>
        <w:t xml:space="preserve"> </w:t>
      </w:r>
    </w:p>
    <w:p>
      <w:pPr>
        <w:pStyle w:val="Subsection"/>
        <w:rPr>
          <w:snapToGrid w:val="0"/>
        </w:rPr>
      </w:pPr>
      <w:r>
        <w:rPr>
          <w:snapToGrid w:val="0"/>
        </w:rPr>
        <w:tab/>
        <w:t>(1)</w:t>
      </w:r>
      <w:r>
        <w:rPr>
          <w:snapToGrid w:val="0"/>
        </w:rPr>
        <w:tab/>
        <w:t>A person who is elected as a safety and health representative holds office, subject to this Act, for a term of 2 years</w:t>
      </w:r>
      <w:r>
        <w:t xml:space="preserve"> commencing on the 10</w:t>
      </w:r>
      <w:r>
        <w:rPr>
          <w:vertAlign w:val="superscript"/>
        </w:rPr>
        <w:t>th</w:t>
      </w:r>
      <w:r>
        <w:t xml:space="preserve"> day after the day specified for the purposes of section 56(10a)(a) in respect of that person</w:t>
      </w:r>
      <w:r>
        <w:rPr>
          <w:snapToGrid w:val="0"/>
        </w:rPr>
        <w:t>.</w:t>
      </w:r>
    </w:p>
    <w:p>
      <w:pPr>
        <w:pStyle w:val="Subsection"/>
        <w:rPr>
          <w:snapToGrid w:val="0"/>
        </w:rPr>
      </w:pPr>
      <w:r>
        <w:rPr>
          <w:snapToGrid w:val="0"/>
        </w:rPr>
        <w:tab/>
        <w:t>(2)</w:t>
      </w:r>
      <w:r>
        <w:rPr>
          <w:snapToGrid w:val="0"/>
        </w:rPr>
        <w:tab/>
        <w:t>A person ceases to hold office as a safety and health representative if — </w:t>
      </w:r>
    </w:p>
    <w:p>
      <w:pPr>
        <w:pStyle w:val="Indenta"/>
        <w:rPr>
          <w:snapToGrid w:val="0"/>
        </w:rPr>
      </w:pPr>
      <w:r>
        <w:rPr>
          <w:snapToGrid w:val="0"/>
        </w:rPr>
        <w:tab/>
        <w:t>(a)</w:t>
      </w:r>
      <w:r>
        <w:rPr>
          <w:snapToGrid w:val="0"/>
        </w:rPr>
        <w:tab/>
        <w:t>the term of office of the person expires and the person is not re</w:t>
      </w:r>
      <w:r>
        <w:rPr>
          <w:snapToGrid w:val="0"/>
        </w:rPr>
        <w:noBreakHyphen/>
        <w:t>elected; or</w:t>
      </w:r>
    </w:p>
    <w:p>
      <w:pPr>
        <w:pStyle w:val="Indenta"/>
      </w:pPr>
      <w:r>
        <w:tab/>
        <w:t>(b)</w:t>
      </w:r>
      <w:r>
        <w:tab/>
        <w:t>the person ceases to be an employee who works at a mine for which the person was elected; or</w:t>
      </w:r>
    </w:p>
    <w:p>
      <w:pPr>
        <w:pStyle w:val="Indenta"/>
      </w:pPr>
      <w:r>
        <w:tab/>
        <w:t>(ba)</w:t>
      </w:r>
      <w:r>
        <w:tab/>
        <w:t>if the person was elected for a group of employees pursuant to a scheme under section 55A, the person ceases to be an employee who belongs to that group of employees; or</w:t>
      </w:r>
    </w:p>
    <w:p>
      <w:pPr>
        <w:pStyle w:val="Indenta"/>
        <w:rPr>
          <w:snapToGrid w:val="0"/>
        </w:rPr>
      </w:pPr>
      <w:r>
        <w:rPr>
          <w:snapToGrid w:val="0"/>
        </w:rPr>
        <w:tab/>
        <w:t>(c)</w:t>
      </w:r>
      <w:r>
        <w:rPr>
          <w:snapToGrid w:val="0"/>
        </w:rPr>
        <w:tab/>
        <w:t>the person resigns office by notice given to his or her employer; or</w:t>
      </w:r>
    </w:p>
    <w:p>
      <w:pPr>
        <w:pStyle w:val="Indenta"/>
        <w:rPr>
          <w:snapToGrid w:val="0"/>
        </w:rPr>
      </w:pPr>
      <w:r>
        <w:rPr>
          <w:snapToGrid w:val="0"/>
        </w:rPr>
        <w:tab/>
        <w:t>(d)</w:t>
      </w:r>
      <w:r>
        <w:rPr>
          <w:snapToGrid w:val="0"/>
        </w:rPr>
        <w:tab/>
        <w:t>the person is disqualified under section 59.</w:t>
      </w:r>
    </w:p>
    <w:p>
      <w:pPr>
        <w:pStyle w:val="Footnotesection"/>
      </w:pPr>
      <w:r>
        <w:tab/>
        <w:t xml:space="preserve">[Section 57 amended by No. 30 of 1995 s. 76(4); No. 68 of 2004 s. 58.] </w:t>
      </w:r>
    </w:p>
    <w:p>
      <w:pPr>
        <w:pStyle w:val="Heading5"/>
        <w:rPr>
          <w:snapToGrid w:val="0"/>
        </w:rPr>
      </w:pPr>
      <w:bookmarkStart w:id="151" w:name="_Toc192041162"/>
      <w:r>
        <w:rPr>
          <w:rStyle w:val="CharSectno"/>
        </w:rPr>
        <w:t>58</w:t>
      </w:r>
      <w:r>
        <w:rPr>
          <w:snapToGrid w:val="0"/>
        </w:rPr>
        <w:t>.</w:t>
      </w:r>
      <w:r>
        <w:rPr>
          <w:snapToGrid w:val="0"/>
        </w:rPr>
        <w:tab/>
        <w:t>Manager to ensure safety of safety and health representative</w:t>
      </w:r>
      <w:bookmarkEnd w:id="151"/>
      <w:r>
        <w:rPr>
          <w:snapToGrid w:val="0"/>
        </w:rPr>
        <w:t xml:space="preserve"> </w:t>
      </w:r>
    </w:p>
    <w:p>
      <w:pPr>
        <w:pStyle w:val="Subsection"/>
        <w:rPr>
          <w:snapToGrid w:val="0"/>
        </w:rPr>
      </w:pPr>
      <w:r>
        <w:rPr>
          <w:snapToGrid w:val="0"/>
        </w:rPr>
        <w:tab/>
        <w:t>(1)</w:t>
      </w:r>
      <w:r>
        <w:rPr>
          <w:snapToGrid w:val="0"/>
        </w:rPr>
        <w:tab/>
        <w:t>The manager of a mine must ensure that whenever a safety and health representative is carrying out an inspection of the mine in accordance with section 53(1)(a), a suitably experienced person has been given responsibility for ensuring the safe conduct of the representative through the mine.</w:t>
      </w:r>
    </w:p>
    <w:p>
      <w:pPr>
        <w:pStyle w:val="Subsection"/>
        <w:rPr>
          <w:snapToGrid w:val="0"/>
        </w:rPr>
      </w:pPr>
      <w:r>
        <w:rPr>
          <w:snapToGrid w:val="0"/>
        </w:rPr>
        <w:tab/>
        <w:t>(2)</w:t>
      </w:r>
      <w:r>
        <w:rPr>
          <w:snapToGrid w:val="0"/>
        </w:rPr>
        <w:tab/>
        <w:t>A manager who contravenes subsection (1) commits an offence.</w:t>
      </w:r>
    </w:p>
    <w:p>
      <w:pPr>
        <w:pStyle w:val="Footnotesection"/>
      </w:pPr>
      <w:r>
        <w:tab/>
        <w:t xml:space="preserve">[Section 58 amended by No. 30 of 1995 s. 76(4).] </w:t>
      </w:r>
    </w:p>
    <w:p>
      <w:pPr>
        <w:pStyle w:val="Heading5"/>
        <w:rPr>
          <w:snapToGrid w:val="0"/>
        </w:rPr>
      </w:pPr>
      <w:bookmarkStart w:id="152" w:name="_Toc192041163"/>
      <w:r>
        <w:rPr>
          <w:rStyle w:val="CharSectno"/>
        </w:rPr>
        <w:t>59</w:t>
      </w:r>
      <w:r>
        <w:rPr>
          <w:snapToGrid w:val="0"/>
        </w:rPr>
        <w:t>.</w:t>
      </w:r>
      <w:r>
        <w:rPr>
          <w:snapToGrid w:val="0"/>
        </w:rPr>
        <w:tab/>
        <w:t>Disqualification of safety and health representative</w:t>
      </w:r>
      <w:bookmarkEnd w:id="152"/>
      <w:r>
        <w:rPr>
          <w:snapToGrid w:val="0"/>
        </w:rPr>
        <w:t xml:space="preserve"> </w:t>
      </w:r>
    </w:p>
    <w:p>
      <w:pPr>
        <w:pStyle w:val="Subsection"/>
        <w:rPr>
          <w:snapToGrid w:val="0"/>
        </w:rPr>
      </w:pPr>
      <w:r>
        <w:rPr>
          <w:snapToGrid w:val="0"/>
        </w:rPr>
        <w:tab/>
        <w:t>(1)</w:t>
      </w:r>
      <w:r>
        <w:rPr>
          <w:snapToGrid w:val="0"/>
        </w:rPr>
        <w:tab/>
        <w:t xml:space="preserve">A person specified in subsection (2) may refer to </w:t>
      </w:r>
      <w:r>
        <w:t>the Tribunal</w:t>
      </w:r>
      <w:r>
        <w:rPr>
          <w:snapToGrid w:val="0"/>
        </w:rPr>
        <w:t xml:space="preserve"> the question of whether a safety and health representative should be disqualified on the ground that the representative — </w:t>
      </w:r>
    </w:p>
    <w:p>
      <w:pPr>
        <w:pStyle w:val="Indenta"/>
        <w:rPr>
          <w:snapToGrid w:val="0"/>
        </w:rPr>
      </w:pPr>
      <w:r>
        <w:rPr>
          <w:snapToGrid w:val="0"/>
        </w:rPr>
        <w:tab/>
        <w:t>(a)</w:t>
      </w:r>
      <w:r>
        <w:rPr>
          <w:snapToGrid w:val="0"/>
        </w:rPr>
        <w:tab/>
        <w:t>has done anything under this Act with the intention only of causing harm to an employer at the mine or the manager of the mine, or a commercial or business undertaking of one of those persons; or</w:t>
      </w:r>
    </w:p>
    <w:p>
      <w:pPr>
        <w:pStyle w:val="Indenta"/>
        <w:rPr>
          <w:snapToGrid w:val="0"/>
        </w:rPr>
      </w:pPr>
      <w:r>
        <w:rPr>
          <w:snapToGrid w:val="0"/>
        </w:rPr>
        <w:tab/>
        <w:t>(b)</w:t>
      </w:r>
      <w:r>
        <w:rPr>
          <w:snapToGrid w:val="0"/>
        </w:rPr>
        <w:tab/>
        <w: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t>
      </w:r>
    </w:p>
    <w:p>
      <w:pPr>
        <w:pStyle w:val="Indenta"/>
        <w:rPr>
          <w:snapToGrid w:val="0"/>
        </w:rPr>
      </w:pPr>
      <w:r>
        <w:rPr>
          <w:snapToGrid w:val="0"/>
        </w:rPr>
        <w:tab/>
        <w:t>(c)</w:t>
      </w:r>
      <w:r>
        <w:rPr>
          <w:snapToGrid w:val="0"/>
        </w:rPr>
        <w:tab/>
        <w:t>has failed adequately to perform the functions of a safety and health representative under this Act,</w:t>
      </w:r>
    </w:p>
    <w:p>
      <w:pPr>
        <w:pStyle w:val="Subsection"/>
        <w:rPr>
          <w:snapToGrid w:val="0"/>
        </w:rPr>
      </w:pPr>
      <w:r>
        <w:rPr>
          <w:snapToGrid w:val="0"/>
        </w:rPr>
        <w:tab/>
      </w:r>
      <w:r>
        <w:rPr>
          <w:snapToGrid w:val="0"/>
        </w:rPr>
        <w:tab/>
        <w:t>or on more than one of those grounds.</w:t>
      </w:r>
    </w:p>
    <w:p>
      <w:pPr>
        <w:pStyle w:val="Subsection"/>
        <w:keepNext/>
        <w:rPr>
          <w:snapToGrid w:val="0"/>
        </w:rPr>
      </w:pPr>
      <w:r>
        <w:rPr>
          <w:snapToGrid w:val="0"/>
        </w:rPr>
        <w:tab/>
        <w:t>(2)</w:t>
      </w:r>
      <w:r>
        <w:rPr>
          <w:snapToGrid w:val="0"/>
        </w:rPr>
        <w:tab/>
        <w:t>A reference under subsection (1) concerning the disqualification of a safety and health representative may be made by — </w:t>
      </w:r>
    </w:p>
    <w:p>
      <w:pPr>
        <w:pStyle w:val="Indenta"/>
        <w:rPr>
          <w:snapToGrid w:val="0"/>
        </w:rPr>
      </w:pPr>
      <w:r>
        <w:rPr>
          <w:snapToGrid w:val="0"/>
        </w:rPr>
        <w:tab/>
        <w:t>(a)</w:t>
      </w:r>
      <w:r>
        <w:rPr>
          <w:snapToGrid w:val="0"/>
        </w:rPr>
        <w:tab/>
        <w:t>an employer at the mine or the manager of the mine; or</w:t>
      </w:r>
    </w:p>
    <w:p>
      <w:pPr>
        <w:pStyle w:val="Indenta"/>
      </w:pPr>
      <w:r>
        <w:tab/>
        <w:t>(b)</w:t>
      </w:r>
      <w:r>
        <w:tab/>
        <w:t>a relevant employee; or</w:t>
      </w:r>
    </w:p>
    <w:p>
      <w:pPr>
        <w:pStyle w:val="Indenta"/>
        <w:rPr>
          <w:snapToGrid w:val="0"/>
        </w:rPr>
      </w:pPr>
      <w:r>
        <w:rPr>
          <w:snapToGrid w:val="0"/>
        </w:rPr>
        <w:tab/>
        <w:t>(c)</w:t>
      </w:r>
      <w:r>
        <w:rPr>
          <w:snapToGrid w:val="0"/>
        </w:rPr>
        <w:tab/>
        <w:t>the State mining engineer.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the representative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must take into account — </w:t>
      </w:r>
    </w:p>
    <w:p>
      <w:pPr>
        <w:pStyle w:val="Indenta"/>
        <w:rPr>
          <w:snapToGrid w:val="0"/>
        </w:rPr>
      </w:pPr>
      <w:r>
        <w:rPr>
          <w:snapToGrid w:val="0"/>
        </w:rPr>
        <w:tab/>
        <w:t>(a)</w:t>
      </w:r>
      <w:r>
        <w:rPr>
          <w:snapToGrid w:val="0"/>
        </w:rPr>
        <w:tab/>
        <w:t>the harm, if any, caused to the employer, or manager of the mine, or a commercial or business undertaking of one of those persons; and</w:t>
      </w:r>
    </w:p>
    <w:p>
      <w:pPr>
        <w:pStyle w:val="Indenta"/>
        <w:rPr>
          <w:snapToGrid w:val="0"/>
        </w:rPr>
      </w:pPr>
      <w:r>
        <w:rPr>
          <w:snapToGrid w:val="0"/>
        </w:rPr>
        <w:tab/>
        <w:t>(b)</w:t>
      </w:r>
      <w:r>
        <w:rPr>
          <w:snapToGrid w:val="0"/>
        </w:rPr>
        <w:tab/>
        <w:t>the past record of the safety and health representative in performing the functions of a safety and health representative under this Act; and</w:t>
      </w:r>
    </w:p>
    <w:p>
      <w:pPr>
        <w:pStyle w:val="Indenta"/>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t>“</w:t>
      </w:r>
      <w:r>
        <w:rPr>
          <w:rStyle w:val="CharDefText"/>
        </w:rPr>
        <w:t>relevant employee</w:t>
      </w:r>
      <w:r>
        <w:rPr>
          <w:b/>
        </w:rPr>
        <w:t>”</w:t>
      </w:r>
      <w:r>
        <w:t xml:space="preserve"> means — </w:t>
      </w:r>
    </w:p>
    <w:p>
      <w:pPr>
        <w:pStyle w:val="Defpara"/>
      </w:pPr>
      <w:r>
        <w:tab/>
        <w:t>(a)</w:t>
      </w:r>
      <w:r>
        <w:tab/>
        <w:t xml:space="preserve">an employee who works at the mine concerned; </w:t>
      </w:r>
    </w:p>
    <w:p>
      <w:pPr>
        <w:pStyle w:val="Defpara"/>
      </w:pPr>
      <w:r>
        <w:tab/>
        <w:t>(b)</w:t>
      </w:r>
      <w:r>
        <w:tab/>
        <w:t>if the safety and health representative was elected for more than one mine pursuant to a scheme established under section 55A, an employee who works at any such mine; or</w:t>
      </w:r>
    </w:p>
    <w:p>
      <w:pPr>
        <w:pStyle w:val="Defpara"/>
      </w:pPr>
      <w:r>
        <w:tab/>
        <w:t>(c)</w:t>
      </w:r>
      <w:r>
        <w:tab/>
        <w:t>if under a scheme referred to in paragraph (b) the safety and health representative was elected for a group of employees, an employee who is a member of the group.</w:t>
      </w:r>
    </w:p>
    <w:p>
      <w:pPr>
        <w:pStyle w:val="Footnotesection"/>
      </w:pPr>
      <w:r>
        <w:tab/>
        <w:t xml:space="preserve">[Section 59 amended by No. 30 of 1995 s. 64 and 76(4); No. 68 of 2004 s. 59 and 84.] </w:t>
      </w:r>
    </w:p>
    <w:p>
      <w:pPr>
        <w:pStyle w:val="Heading5"/>
        <w:rPr>
          <w:snapToGrid w:val="0"/>
        </w:rPr>
      </w:pPr>
      <w:bookmarkStart w:id="153" w:name="_Toc192041164"/>
      <w:r>
        <w:rPr>
          <w:rStyle w:val="CharSectno"/>
        </w:rPr>
        <w:t>60</w:t>
      </w:r>
      <w:r>
        <w:rPr>
          <w:snapToGrid w:val="0"/>
        </w:rPr>
        <w:t>.</w:t>
      </w:r>
      <w:r>
        <w:rPr>
          <w:snapToGrid w:val="0"/>
        </w:rPr>
        <w:tab/>
        <w:t>Duties of employers and manager regarding safety and health representatives</w:t>
      </w:r>
      <w:bookmarkEnd w:id="153"/>
      <w:r>
        <w:rPr>
          <w:snapToGrid w:val="0"/>
        </w:rPr>
        <w:t xml:space="preserve"> </w:t>
      </w:r>
    </w:p>
    <w:p>
      <w:pPr>
        <w:pStyle w:val="Subsection"/>
        <w:rPr>
          <w:snapToGrid w:val="0"/>
        </w:rPr>
      </w:pPr>
      <w:r>
        <w:rPr>
          <w:snapToGrid w:val="0"/>
        </w:rPr>
        <w:tab/>
        <w:t>(1)</w:t>
      </w:r>
      <w:r>
        <w:rPr>
          <w:snapToGrid w:val="0"/>
        </w:rPr>
        <w:tab/>
        <w:t>This section applies in relation to a mine if there is a safety and health representative for that mine.</w:t>
      </w:r>
    </w:p>
    <w:p>
      <w:pPr>
        <w:pStyle w:val="Subsection"/>
      </w:pPr>
      <w:r>
        <w:tab/>
        <w:t>(1a)</w:t>
      </w:r>
      <w:r>
        <w:tab/>
        <w:t xml:space="preserve">This section also applies in relation to a mine or a part of a mine if — </w:t>
      </w:r>
    </w:p>
    <w:p>
      <w:pPr>
        <w:pStyle w:val="Indenta"/>
      </w:pPr>
      <w:r>
        <w:tab/>
        <w:t>(a)</w:t>
      </w:r>
      <w:r>
        <w:tab/>
        <w:t>pursuant to a scheme under section 55A, a safety and health representative has been elected for a group of employees; and</w:t>
      </w:r>
    </w:p>
    <w:p>
      <w:pPr>
        <w:pStyle w:val="Indenta"/>
      </w:pPr>
      <w:r>
        <w:tab/>
        <w:t>(b)</w:t>
      </w:r>
      <w:r>
        <w:tab/>
        <w:t>any member of the group works at that mine or at that part of a mine.</w:t>
      </w:r>
    </w:p>
    <w:p>
      <w:pPr>
        <w:pStyle w:val="Subsection"/>
        <w:keepNext/>
        <w:keepLines/>
        <w:rPr>
          <w:snapToGrid w:val="0"/>
        </w:rPr>
      </w:pPr>
      <w:r>
        <w:rPr>
          <w:snapToGrid w:val="0"/>
        </w:rPr>
        <w:tab/>
        <w:t>(2)</w:t>
      </w:r>
      <w:r>
        <w:rPr>
          <w:snapToGrid w:val="0"/>
        </w:rPr>
        <w:tab/>
        <w:t>The manager of a mine and every employer at the mine must make available to each safety and health representative such information as each of those persons has, or could reasonably be expected to have, relating to — </w:t>
      </w:r>
    </w:p>
    <w:p>
      <w:pPr>
        <w:pStyle w:val="Indenta"/>
        <w:rPr>
          <w:snapToGrid w:val="0"/>
        </w:rPr>
      </w:pPr>
      <w:r>
        <w:rPr>
          <w:snapToGrid w:val="0"/>
        </w:rPr>
        <w:tab/>
        <w:t>(a)</w:t>
      </w:r>
      <w:r>
        <w:rPr>
          <w:snapToGrid w:val="0"/>
        </w:rPr>
        <w:tab/>
        <w:t>hazards to persons that arise or may arise at the mine; and</w:t>
      </w:r>
    </w:p>
    <w:p>
      <w:pPr>
        <w:pStyle w:val="Indenta"/>
        <w:rPr>
          <w:snapToGrid w:val="0"/>
        </w:rPr>
      </w:pPr>
      <w:r>
        <w:rPr>
          <w:snapToGrid w:val="0"/>
        </w:rPr>
        <w:tab/>
        <w:t>(b)</w:t>
      </w:r>
      <w:r>
        <w:rPr>
          <w:snapToGrid w:val="0"/>
        </w:rPr>
        <w:tab/>
        <w:t>so far as it is relevant to the hazards mentioned in paragraph (a), the plant and substances used at the mine and the systems of work at the mine; and</w:t>
      </w:r>
    </w:p>
    <w:p>
      <w:pPr>
        <w:pStyle w:val="Indenta"/>
        <w:rPr>
          <w:snapToGrid w:val="0"/>
        </w:rPr>
      </w:pPr>
      <w:r>
        <w:rPr>
          <w:snapToGrid w:val="0"/>
        </w:rPr>
        <w:tab/>
        <w:t>(c)</w:t>
      </w:r>
      <w:r>
        <w:rPr>
          <w:snapToGrid w:val="0"/>
        </w:rPr>
        <w:tab/>
        <w:t>the safety and health of employees who work at the mine.</w:t>
      </w:r>
    </w:p>
    <w:p>
      <w:pPr>
        <w:pStyle w:val="Subsection"/>
        <w:rPr>
          <w:snapToGrid w:val="0"/>
        </w:rPr>
      </w:pPr>
      <w:r>
        <w:rPr>
          <w:snapToGrid w:val="0"/>
        </w:rPr>
        <w:tab/>
        <w:t>(3)</w:t>
      </w:r>
      <w:r>
        <w:rPr>
          <w:snapToGrid w:val="0"/>
        </w:rPr>
        <w:tab/>
        <w: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t>
      </w:r>
    </w:p>
    <w:p>
      <w:pPr>
        <w:pStyle w:val="Subsection"/>
        <w:rPr>
          <w:snapToGrid w:val="0"/>
        </w:rPr>
      </w:pPr>
      <w:r>
        <w:rPr>
          <w:snapToGrid w:val="0"/>
        </w:rPr>
        <w:tab/>
        <w:t>(4)</w:t>
      </w:r>
      <w:r>
        <w:rPr>
          <w:snapToGrid w:val="0"/>
        </w:rPr>
        <w:tab/>
        <w: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t>
      </w:r>
    </w:p>
    <w:p>
      <w:pPr>
        <w:pStyle w:val="Subsection"/>
      </w:pPr>
      <w:r>
        <w:tab/>
        <w:t>(5)</w:t>
      </w:r>
      <w:r>
        <w:tab/>
        <w:t>The employer of a safety and health representative must ensure that the safety and health representative receives any entitlement that becomes due to him or her under subsection (7a) or section 62.</w:t>
      </w:r>
    </w:p>
    <w:p>
      <w:pPr>
        <w:pStyle w:val="Subsection"/>
        <w:rPr>
          <w:snapToGrid w:val="0"/>
        </w:rPr>
      </w:pPr>
      <w:r>
        <w:rPr>
          <w:snapToGrid w:val="0"/>
        </w:rPr>
        <w:tab/>
        <w:t>(6)</w:t>
      </w:r>
      <w:r>
        <w:rPr>
          <w:snapToGrid w:val="0"/>
        </w:rPr>
        <w:tab/>
        <w: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t>
      </w:r>
    </w:p>
    <w:p>
      <w:pPr>
        <w:pStyle w:val="Subsection"/>
        <w:rPr>
          <w:snapToGrid w:val="0"/>
        </w:rPr>
      </w:pPr>
      <w:r>
        <w:rPr>
          <w:snapToGrid w:val="0"/>
        </w:rPr>
        <w:tab/>
        <w:t>(7)</w:t>
      </w:r>
      <w:r>
        <w:rPr>
          <w:snapToGrid w:val="0"/>
        </w:rPr>
        <w:tab/>
        <w:t>Every employer at a mine must provide such facilities and assistance as are necessary or prescribed for the purposes of the performance by safety and health representatives of their functions under this Part.</w:t>
      </w:r>
    </w:p>
    <w:p>
      <w:pPr>
        <w:pStyle w:val="Subsection"/>
      </w:pPr>
      <w:r>
        <w:tab/>
        <w:t>(7a)</w:t>
      </w:r>
      <w:r>
        <w:tab/>
        <w:t xml:space="preserve">Where a safety and health representative attends a course of training — </w:t>
      </w:r>
    </w:p>
    <w:p>
      <w:pPr>
        <w:pStyle w:val="Indenta"/>
      </w:pPr>
      <w:r>
        <w:tab/>
        <w:t>(a)</w:t>
      </w:r>
      <w:r>
        <w:tab/>
        <w:t>for which, under section 62, the representative is entitled to take time off work; and</w:t>
      </w:r>
    </w:p>
    <w:p>
      <w:pPr>
        <w:pStyle w:val="Indenta"/>
      </w:pPr>
      <w:r>
        <w:tab/>
        <w:t>(b)</w:t>
      </w:r>
      <w:r>
        <w:tab/>
        <w:t>that is prescribed for the purposes of this paragraph,</w:t>
      </w:r>
    </w:p>
    <w:p>
      <w:pPr>
        <w:pStyle w:val="Subsection"/>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rPr>
          <w:snapToGrid w:val="0"/>
        </w:rPr>
      </w:pPr>
      <w:r>
        <w:rPr>
          <w:snapToGrid w:val="0"/>
        </w:rPr>
        <w:tab/>
        <w:t>(8)</w:t>
      </w:r>
      <w:r>
        <w:rPr>
          <w:snapToGrid w:val="0"/>
        </w:rPr>
        <w:tab/>
        <w:t>A person who contravenes subsection (2), (3), (4), (5), (6) or (7) commits an offence.</w:t>
      </w:r>
    </w:p>
    <w:p>
      <w:pPr>
        <w:pStyle w:val="Footnotesection"/>
      </w:pPr>
      <w:r>
        <w:tab/>
        <w:t xml:space="preserve">[Section 60 amended by No. 30 of 1995 s. 76(1), (3) and (4); No. 68 of 2004 s. 60.] </w:t>
      </w:r>
    </w:p>
    <w:p>
      <w:pPr>
        <w:pStyle w:val="Heading5"/>
        <w:rPr>
          <w:snapToGrid w:val="0"/>
        </w:rPr>
      </w:pPr>
      <w:bookmarkStart w:id="154" w:name="_Toc192041165"/>
      <w:r>
        <w:rPr>
          <w:rStyle w:val="CharSectno"/>
        </w:rPr>
        <w:t>61</w:t>
      </w:r>
      <w:r>
        <w:rPr>
          <w:snapToGrid w:val="0"/>
        </w:rPr>
        <w:t>.</w:t>
      </w:r>
      <w:r>
        <w:rPr>
          <w:snapToGrid w:val="0"/>
        </w:rPr>
        <w:tab/>
        <w:t>Duties of employers regarding safety and health representatives</w:t>
      </w:r>
      <w:bookmarkEnd w:id="154"/>
      <w:r>
        <w:rPr>
          <w:snapToGrid w:val="0"/>
        </w:rPr>
        <w:t xml:space="preserve"> </w:t>
      </w:r>
    </w:p>
    <w:p>
      <w:pPr>
        <w:pStyle w:val="Subsection"/>
        <w:rPr>
          <w:snapToGrid w:val="0"/>
        </w:rPr>
      </w:pPr>
      <w:r>
        <w:rPr>
          <w:snapToGrid w:val="0"/>
        </w:rPr>
        <w:tab/>
        <w:t>(1)</w:t>
      </w:r>
      <w:r>
        <w:rPr>
          <w:snapToGrid w:val="0"/>
        </w:rPr>
        <w:tab/>
        <w:t>An employer at a mine — </w:t>
      </w:r>
    </w:p>
    <w:p>
      <w:pPr>
        <w:pStyle w:val="Indenta"/>
        <w:rPr>
          <w:snapToGrid w:val="0"/>
        </w:rPr>
      </w:pPr>
      <w:r>
        <w:rPr>
          <w:snapToGrid w:val="0"/>
        </w:rPr>
        <w:tab/>
        <w:t>(a)</w:t>
      </w:r>
      <w:r>
        <w:rPr>
          <w:snapToGrid w:val="0"/>
        </w:rPr>
        <w:tab/>
        <w:t>must not make available to a safety and health representative any medical information concerning an employee unless — </w:t>
      </w:r>
    </w:p>
    <w:p>
      <w:pPr>
        <w:pStyle w:val="Indenti"/>
        <w:rPr>
          <w:snapToGrid w:val="0"/>
        </w:rPr>
      </w:pPr>
      <w:r>
        <w:rPr>
          <w:snapToGrid w:val="0"/>
        </w:rPr>
        <w:tab/>
        <w:t>(i)</w:t>
      </w:r>
      <w:r>
        <w:rPr>
          <w:snapToGrid w:val="0"/>
        </w:rPr>
        <w:tab/>
        <w:t>the employee has consented to the employer doing so; or</w:t>
      </w:r>
    </w:p>
    <w:p>
      <w:pPr>
        <w:pStyle w:val="Indenti"/>
        <w:rPr>
          <w:snapToGrid w:val="0"/>
        </w:rPr>
      </w:pPr>
      <w:r>
        <w:rPr>
          <w:snapToGrid w:val="0"/>
        </w:rPr>
        <w:tab/>
        <w:t>(ii)</w:t>
      </w:r>
      <w:r>
        <w:rPr>
          <w:snapToGrid w:val="0"/>
        </w:rPr>
        <w:tab/>
        <w:t xml:space="preserve">the information is in a form that does not identify, nor permit the identification of, the employee;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section 60(2) to make available information disclosing a trade secret.</w:t>
      </w:r>
    </w:p>
    <w:p>
      <w:pPr>
        <w:pStyle w:val="Subsection"/>
        <w:rPr>
          <w:snapToGrid w:val="0"/>
        </w:rPr>
      </w:pPr>
      <w:r>
        <w:rPr>
          <w:snapToGrid w:val="0"/>
        </w:rPr>
        <w:tab/>
        <w:t>(2)</w:t>
      </w:r>
      <w:r>
        <w:rPr>
          <w:snapToGrid w:val="0"/>
        </w:rPr>
        <w:tab/>
        <w:t>An employer who contravenes subsection (1)(a) commits an offence.</w:t>
      </w:r>
    </w:p>
    <w:p>
      <w:pPr>
        <w:pStyle w:val="Footnotesection"/>
      </w:pPr>
      <w:r>
        <w:tab/>
        <w:t xml:space="preserve">[Section 61 amended by No. 30 of 1995 s. 76(4).] </w:t>
      </w:r>
    </w:p>
    <w:p>
      <w:pPr>
        <w:pStyle w:val="Heading5"/>
        <w:rPr>
          <w:snapToGrid w:val="0"/>
        </w:rPr>
      </w:pPr>
      <w:bookmarkStart w:id="155" w:name="_Toc192041166"/>
      <w:r>
        <w:rPr>
          <w:rStyle w:val="CharSectno"/>
        </w:rPr>
        <w:t>62</w:t>
      </w:r>
      <w:r>
        <w:rPr>
          <w:snapToGrid w:val="0"/>
        </w:rPr>
        <w:t>.</w:t>
      </w:r>
      <w:r>
        <w:rPr>
          <w:snapToGrid w:val="0"/>
        </w:rPr>
        <w:tab/>
        <w:t>Regulations regarding time off work for safety and health representatives</w:t>
      </w:r>
      <w:bookmarkEnd w:id="155"/>
      <w:r>
        <w:rPr>
          <w:snapToGrid w:val="0"/>
        </w:rPr>
        <w:t xml:space="preserve"> </w:t>
      </w:r>
    </w:p>
    <w:p>
      <w:pPr>
        <w:pStyle w:val="Subsection"/>
        <w:rPr>
          <w:snapToGrid w:val="0"/>
        </w:rPr>
      </w:pPr>
      <w:r>
        <w:rPr>
          <w:snapToGrid w:val="0"/>
        </w:rPr>
        <w:tab/>
        <w:t>(1)</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performing the functions that the representative is required to perform under this Act; and</w:t>
      </w:r>
    </w:p>
    <w:p>
      <w:pPr>
        <w:pStyle w:val="Indenta"/>
        <w:rPr>
          <w:snapToGrid w:val="0"/>
        </w:rPr>
      </w:pPr>
      <w:r>
        <w:rPr>
          <w:snapToGrid w:val="0"/>
        </w:rPr>
        <w:tab/>
        <w:t>(b)</w:t>
      </w:r>
      <w:r>
        <w:rPr>
          <w:snapToGrid w:val="0"/>
        </w:rPr>
        <w:tab/>
        <w:t xml:space="preserve">the attendance of the representative at courses of training in occupational safety and health accredited under section 14(1)(h) of the </w:t>
      </w:r>
      <w:r>
        <w:rPr>
          <w:i/>
          <w:snapToGrid w:val="0"/>
        </w:rPr>
        <w:t>Occupational Safety and Health Act 1984</w:t>
      </w:r>
      <w:r>
        <w:rPr>
          <w:snapToGrid w:val="0"/>
        </w:rPr>
        <w:t>,</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section by the employer, the safety and health representative, or the State mining engineer.</w:t>
      </w:r>
    </w:p>
    <w:p>
      <w:pPr>
        <w:pStyle w:val="Subsection"/>
      </w:pPr>
      <w:r>
        <w:tab/>
        <w:t>(2)</w:t>
      </w:r>
      <w:r>
        <w:tab/>
        <w:t xml:space="preserve">In subsection (1) — </w:t>
      </w:r>
    </w:p>
    <w:p>
      <w:pPr>
        <w:pStyle w:val="Defstart"/>
      </w:pPr>
      <w:r>
        <w:rPr>
          <w:b/>
        </w:rPr>
        <w:tab/>
        <w:t>“</w:t>
      </w:r>
      <w:r>
        <w:rPr>
          <w:rStyle w:val="CharDefText"/>
        </w:rPr>
        <w:t>entitlements</w:t>
      </w:r>
      <w:r>
        <w:rPr>
          <w:b/>
        </w:rPr>
        <w:t>”</w:t>
      </w:r>
      <w:r>
        <w:t xml:space="preserve"> means — </w:t>
      </w:r>
    </w:p>
    <w:p>
      <w:pPr>
        <w:pStyle w:val="Defpara"/>
      </w:pPr>
      <w:r>
        <w:tab/>
        <w:t>(a)</w:t>
      </w:r>
      <w:r>
        <w:tab/>
        <w:t>the time that a safety and health representative is to be permitted to take off work with pay and other benefits; and</w:t>
      </w:r>
    </w:p>
    <w:p>
      <w:pPr>
        <w:pStyle w:val="Defpara"/>
      </w:pPr>
      <w:r>
        <w:tab/>
        <w:t>(b)</w:t>
      </w:r>
      <w:r>
        <w:tab/>
        <w:t>payments to which a safety and health representative is entitled for attendance at a course of training in his or her own time.</w:t>
      </w:r>
    </w:p>
    <w:p>
      <w:pPr>
        <w:pStyle w:val="Footnotesection"/>
      </w:pPr>
      <w:r>
        <w:tab/>
        <w:t xml:space="preserve">[Section 62 amended by No. 30 of 1995 s. 65 and 76(1) and (4); No. 68 of 2004 s. 61 and 84.] </w:t>
      </w:r>
    </w:p>
    <w:p>
      <w:pPr>
        <w:pStyle w:val="Heading3"/>
        <w:rPr>
          <w:snapToGrid w:val="0"/>
        </w:rPr>
      </w:pPr>
      <w:bookmarkStart w:id="156" w:name="_Toc192041167"/>
      <w:r>
        <w:rPr>
          <w:rStyle w:val="CharDivNo"/>
        </w:rPr>
        <w:t>Division 2</w:t>
      </w:r>
      <w:r>
        <w:rPr>
          <w:snapToGrid w:val="0"/>
        </w:rPr>
        <w:t> — </w:t>
      </w:r>
      <w:r>
        <w:rPr>
          <w:rStyle w:val="CharDivText"/>
        </w:rPr>
        <w:t>Safety and health committees</w:t>
      </w:r>
      <w:bookmarkEnd w:id="156"/>
      <w:r>
        <w:rPr>
          <w:rStyle w:val="CharDivText"/>
        </w:rPr>
        <w:t xml:space="preserve"> </w:t>
      </w:r>
    </w:p>
    <w:p>
      <w:pPr>
        <w:pStyle w:val="Footnoteheading"/>
        <w:rPr>
          <w:snapToGrid w:val="0"/>
        </w:rPr>
      </w:pPr>
      <w:r>
        <w:rPr>
          <w:snapToGrid w:val="0"/>
        </w:rPr>
        <w:tab/>
        <w:t>[Heading amended by No. 57 of 1997 s. 88(1).]</w:t>
      </w:r>
    </w:p>
    <w:p>
      <w:pPr>
        <w:pStyle w:val="Heading5"/>
      </w:pPr>
      <w:bookmarkStart w:id="157" w:name="_Toc192041168"/>
      <w:r>
        <w:rPr>
          <w:rStyle w:val="CharSectno"/>
        </w:rPr>
        <w:t>62A</w:t>
      </w:r>
      <w:r>
        <w:t>.</w:t>
      </w:r>
      <w:r>
        <w:tab/>
        <w:t>Interpretation</w:t>
      </w:r>
      <w:bookmarkEnd w:id="157"/>
    </w:p>
    <w:p>
      <w:pPr>
        <w:pStyle w:val="Subsection"/>
      </w:pPr>
      <w:r>
        <w:tab/>
        <w:t>(1)</w:t>
      </w:r>
      <w:r>
        <w:tab/>
        <w:t xml:space="preserve">In this Division — </w:t>
      </w:r>
    </w:p>
    <w:p>
      <w:pPr>
        <w:pStyle w:val="Defstart"/>
      </w:pPr>
      <w:r>
        <w:rPr>
          <w:b/>
        </w:rPr>
        <w:tab/>
        <w:t>“</w:t>
      </w:r>
      <w:r>
        <w:rPr>
          <w:rStyle w:val="CharDefText"/>
        </w:rPr>
        <w:t>allowed period</w:t>
      </w:r>
      <w:r>
        <w:rPr>
          <w:b/>
        </w:rPr>
        <w:t>”</w:t>
      </w:r>
      <w:r>
        <w:t xml:space="preserve"> means — </w:t>
      </w:r>
    </w:p>
    <w:p>
      <w:pPr>
        <w:pStyle w:val="Defpara"/>
      </w:pPr>
      <w:r>
        <w:tab/>
        <w:t>(a)</w:t>
      </w:r>
      <w:r>
        <w:tab/>
        <w:t>3 months; or</w:t>
      </w:r>
    </w:p>
    <w:p>
      <w:pPr>
        <w:pStyle w:val="Defpara"/>
      </w:pPr>
      <w:r>
        <w:tab/>
        <w:t>(b)</w:t>
      </w:r>
      <w:r>
        <w:tab/>
        <w:t>such longer period as the State mining engineer may allow on application by a consultation party;</w:t>
      </w:r>
    </w:p>
    <w:p>
      <w:pPr>
        <w:pStyle w:val="Defstart"/>
      </w:pPr>
      <w:r>
        <w:rPr>
          <w:b/>
        </w:rPr>
        <w:tab/>
        <w:t>“</w:t>
      </w:r>
      <w:r>
        <w:rPr>
          <w:rStyle w:val="CharDefText"/>
        </w:rPr>
        <w:t>consultation party</w:t>
      </w:r>
      <w:r>
        <w:rPr>
          <w:b/>
        </w:rPr>
        <w:t>”</w:t>
      </w:r>
      <w:r>
        <w:t xml:space="preserve"> means a person who comes within section 67B(2)(a), (b) or (c);</w:t>
      </w:r>
    </w:p>
    <w:p>
      <w:pPr>
        <w:pStyle w:val="Defstart"/>
      </w:pPr>
      <w:r>
        <w:rPr>
          <w:b/>
        </w:rPr>
        <w:tab/>
        <w:t>“</w:t>
      </w:r>
      <w:r>
        <w:rPr>
          <w:rStyle w:val="CharDefText"/>
        </w:rPr>
        <w:t>prescribed requirements</w:t>
      </w:r>
      <w:r>
        <w:rPr>
          <w:b/>
        </w:rPr>
        <w:t>”</w:t>
      </w:r>
      <w:r>
        <w:t xml:space="preserve"> means — </w:t>
      </w:r>
    </w:p>
    <w:p>
      <w:pPr>
        <w:pStyle w:val="Defpara"/>
      </w:pPr>
      <w:r>
        <w:tab/>
        <w:t>(a)</w:t>
      </w:r>
      <w:r>
        <w:tab/>
        <w:t xml:space="preserve">the provisions of — </w:t>
      </w:r>
    </w:p>
    <w:p>
      <w:pPr>
        <w:pStyle w:val="Defsubpara"/>
      </w:pPr>
      <w:r>
        <w:tab/>
        <w:t>(i)</w:t>
      </w:r>
      <w:r>
        <w:tab/>
        <w:t>an agreement under section 67B(2); and</w:t>
      </w:r>
    </w:p>
    <w:p>
      <w:pPr>
        <w:pStyle w:val="Defsubpara"/>
      </w:pPr>
      <w:r>
        <w:tab/>
        <w:t>(ii)</w:t>
      </w:r>
      <w:r>
        <w:tab/>
        <w:t>section 67B(3);</w:t>
      </w:r>
    </w:p>
    <w:p>
      <w:pPr>
        <w:pStyle w:val="Defpara"/>
      </w:pPr>
      <w:r>
        <w:tab/>
        <w:t>(b)</w:t>
      </w:r>
      <w:r>
        <w:tab/>
        <w:t xml:space="preserve">the terms of a determination of — </w:t>
      </w:r>
    </w:p>
    <w:p>
      <w:pPr>
        <w:pStyle w:val="Defsubpara"/>
      </w:pPr>
      <w:r>
        <w:tab/>
        <w:t>(i)</w:t>
      </w:r>
      <w:r>
        <w:tab/>
        <w:t xml:space="preserve">the State mining engineer, under section 67C; or </w:t>
      </w:r>
    </w:p>
    <w:p>
      <w:pPr>
        <w:pStyle w:val="Defsubpara"/>
      </w:pPr>
      <w:r>
        <w:tab/>
        <w:t>(ii)</w:t>
      </w:r>
      <w:r>
        <w:tab/>
        <w:t>the Tribunal, under section 67F,</w:t>
      </w:r>
    </w:p>
    <w:p>
      <w:pPr>
        <w:pStyle w:val="Defpara"/>
      </w:pPr>
      <w:r>
        <w:tab/>
      </w:r>
      <w:r>
        <w:tab/>
        <w:t>in respect of the mine concerned or, if any agreement under section 67D applies, any mine concerned; and</w:t>
      </w:r>
    </w:p>
    <w:p>
      <w:pPr>
        <w:pStyle w:val="Defpara"/>
      </w:pPr>
      <w:r>
        <w:tab/>
        <w:t>(c)</w:t>
      </w:r>
      <w:r>
        <w:tab/>
        <w:t>any requirement of the regulations.</w:t>
      </w:r>
    </w:p>
    <w:p>
      <w:pPr>
        <w:pStyle w:val="Subsection"/>
      </w:pPr>
      <w:r>
        <w:tab/>
        <w:t>(2)</w:t>
      </w:r>
      <w:r>
        <w:tab/>
        <w:t xml:space="preserve">In this Division references to a </w:t>
      </w:r>
      <w:r>
        <w:rPr>
          <w:b/>
        </w:rPr>
        <w:t>“</w:t>
      </w:r>
      <w:r>
        <w:rPr>
          <w:rStyle w:val="CharDefText"/>
        </w:rPr>
        <w:t>safety and health representative for the mine</w:t>
      </w:r>
      <w:r>
        <w:rPr>
          <w:b/>
        </w:rPr>
        <w:t>”</w:t>
      </w:r>
      <w:r>
        <w:t xml:space="preserve"> or a </w:t>
      </w:r>
      <w:r>
        <w:rPr>
          <w:b/>
        </w:rPr>
        <w:t>“</w:t>
      </w:r>
      <w:r>
        <w:rPr>
          <w:rStyle w:val="CharDefText"/>
        </w:rPr>
        <w:t>safety and health representative for a mine</w:t>
      </w:r>
      <w:r>
        <w:rPr>
          <w:b/>
        </w:rPr>
        <w:t>”</w:t>
      </w:r>
      <w:r>
        <w:t xml:space="preserve"> include a safety and health representative elected for a group of employees pursuant to a scheme under section 55A if any member of the group works at the mine concerned.</w:t>
      </w:r>
    </w:p>
    <w:p>
      <w:pPr>
        <w:pStyle w:val="Footnotesection"/>
      </w:pPr>
      <w:r>
        <w:tab/>
        <w:t>[Section 62A inserted by No. 68 of 2004 s. 62.]</w:t>
      </w:r>
    </w:p>
    <w:p>
      <w:pPr>
        <w:pStyle w:val="Heading5"/>
        <w:rPr>
          <w:snapToGrid w:val="0"/>
        </w:rPr>
      </w:pPr>
      <w:bookmarkStart w:id="158" w:name="_Toc192041169"/>
      <w:r>
        <w:rPr>
          <w:rStyle w:val="CharSectno"/>
        </w:rPr>
        <w:t>63</w:t>
      </w:r>
      <w:r>
        <w:rPr>
          <w:snapToGrid w:val="0"/>
        </w:rPr>
        <w:t>.</w:t>
      </w:r>
      <w:r>
        <w:rPr>
          <w:snapToGrid w:val="0"/>
        </w:rPr>
        <w:tab/>
        <w:t>Functions of safety and health committees</w:t>
      </w:r>
      <w:bookmarkEnd w:id="158"/>
      <w:r>
        <w:rPr>
          <w:snapToGrid w:val="0"/>
        </w:rPr>
        <w:t xml:space="preserve"> </w:t>
      </w:r>
    </w:p>
    <w:p>
      <w:pPr>
        <w:pStyle w:val="Subsection"/>
      </w:pPr>
      <w:r>
        <w:tab/>
        <w:t>(1)</w:t>
      </w:r>
      <w:r>
        <w:tab/>
        <w:t xml:space="preserve">In this section — </w:t>
      </w:r>
    </w:p>
    <w:p>
      <w:pPr>
        <w:pStyle w:val="Defstart"/>
      </w:pPr>
      <w:r>
        <w:rPr>
          <w:b/>
        </w:rPr>
        <w:tab/>
        <w:t>“</w:t>
      </w:r>
      <w:r>
        <w:rPr>
          <w:rStyle w:val="CharDefText"/>
        </w:rPr>
        <w:t>mine</w:t>
      </w:r>
      <w:r>
        <w:rPr>
          <w:b/>
        </w:rPr>
        <w:t>”</w:t>
      </w:r>
      <w:r>
        <w:t>, where an agreement under section 67B(2) applies to the establishment of a safety and health committee, means any mine in relation to which the committee may perform functions.</w:t>
      </w:r>
    </w:p>
    <w:p>
      <w:pPr>
        <w:pStyle w:val="Subsection"/>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to facilitate consultation and cooperation between the manager of the mine, employers and employees in initiating, developing, and implementing measures designed to ensure the safety and health of employees at the mine; and</w:t>
      </w:r>
    </w:p>
    <w:p>
      <w:pPr>
        <w:pStyle w:val="Indenta"/>
        <w:rPr>
          <w:snapToGrid w:val="0"/>
        </w:rPr>
      </w:pPr>
      <w:r>
        <w:rPr>
          <w:snapToGrid w:val="0"/>
        </w:rPr>
        <w:tab/>
        <w:t>(b)</w:t>
      </w:r>
      <w:r>
        <w:rPr>
          <w:snapToGrid w:val="0"/>
        </w:rPr>
        <w:tab/>
        <w: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t>
      </w:r>
    </w:p>
    <w:p>
      <w:pPr>
        <w:pStyle w:val="Indenta"/>
        <w:rPr>
          <w:snapToGrid w:val="0"/>
        </w:rPr>
      </w:pPr>
      <w:r>
        <w:rPr>
          <w:snapToGrid w:val="0"/>
        </w:rPr>
        <w:tab/>
        <w:t>(c)</w:t>
      </w:r>
      <w:r>
        <w:rPr>
          <w:snapToGrid w:val="0"/>
        </w:rPr>
        <w:tab/>
        <w:t>to recommend to the manager, employers and employees at the mine the establishment, maintenance, and monitoring of programmes, measures and procedures at the mine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manager and employers regarding the hazards to persons that arise or may arise at the mine; and</w:t>
      </w:r>
    </w:p>
    <w:p>
      <w:pPr>
        <w:pStyle w:val="Indenta"/>
        <w:rPr>
          <w:snapToGrid w:val="0"/>
        </w:rPr>
      </w:pPr>
      <w:r>
        <w:rPr>
          <w:snapToGrid w:val="0"/>
        </w:rPr>
        <w:tab/>
        <w:t>(e)</w:t>
      </w:r>
      <w:r>
        <w:rPr>
          <w:snapToGrid w:val="0"/>
        </w:rPr>
        <w:tab/>
        <w:t>to consider any changes or intended changes to or at the mine that may reasonably be expected to affect the safety or health of employees at the mine and make such recommendations as the committee considers appropriate to the manager and any employer at the mine in respect of those changes or intended changes;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an employer at the mine or the manager of the mine.</w:t>
      </w:r>
    </w:p>
    <w:p>
      <w:pPr>
        <w:pStyle w:val="Footnotesection"/>
      </w:pPr>
      <w:r>
        <w:tab/>
        <w:t xml:space="preserve">[Section 63 amended by No. 30 of 1995 s. 76(2), (3) and (4); No. 68 of 2004 s. 63.] </w:t>
      </w:r>
    </w:p>
    <w:p>
      <w:pPr>
        <w:pStyle w:val="Heading5"/>
      </w:pPr>
      <w:bookmarkStart w:id="159" w:name="_Toc192041170"/>
      <w:r>
        <w:rPr>
          <w:rStyle w:val="CharSectno"/>
        </w:rPr>
        <w:t>64</w:t>
      </w:r>
      <w:r>
        <w:t>.</w:t>
      </w:r>
      <w:r>
        <w:tab/>
        <w:t>Employees to appoint representatives</w:t>
      </w:r>
      <w:bookmarkEnd w:id="159"/>
    </w:p>
    <w:p>
      <w:pPr>
        <w:pStyle w:val="Subsection"/>
      </w:pPr>
      <w:r>
        <w:tab/>
      </w:r>
      <w:r>
        <w:tab/>
        <w:t xml:space="preserve">Whenever required for the purpose of making an agreement under section 67B(2) or 67D(1) in respect of a mine, the employees who work at the mine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64 inserted by No. 68 of 2004 s. 64.]</w:t>
      </w:r>
    </w:p>
    <w:p>
      <w:pPr>
        <w:pStyle w:val="Heading5"/>
      </w:pPr>
      <w:bookmarkStart w:id="160" w:name="_Toc192041171"/>
      <w:r>
        <w:rPr>
          <w:rStyle w:val="CharSectno"/>
        </w:rPr>
        <w:t>65</w:t>
      </w:r>
      <w:r>
        <w:t>.</w:t>
      </w:r>
      <w:r>
        <w:tab/>
        <w:t>Obligation of employer to establish a safety and health committee</w:t>
      </w:r>
      <w:bookmarkEnd w:id="160"/>
      <w:r>
        <w:t xml:space="preserve"> </w:t>
      </w:r>
    </w:p>
    <w:p>
      <w:pPr>
        <w:pStyle w:val="Subsection"/>
        <w:rPr>
          <w:snapToGrid w:val="0"/>
        </w:rPr>
      </w:pPr>
      <w:r>
        <w:tab/>
        <w:t>(1)</w:t>
      </w:r>
      <w:r>
        <w:tab/>
      </w:r>
      <w:r>
        <w:rPr>
          <w:snapToGrid w:val="0"/>
        </w:rPr>
        <w:t>An employer must, in accordance with the prescribed requirements, establish a safety and health committee for a mine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State mining engineer requiring the employer to do so; or</w:t>
      </w:r>
    </w:p>
    <w:p>
      <w:pPr>
        <w:pStyle w:val="Indenta"/>
        <w:rPr>
          <w:snapToGrid w:val="0"/>
        </w:rPr>
      </w:pPr>
      <w:r>
        <w:rPr>
          <w:snapToGrid w:val="0"/>
        </w:rPr>
        <w:tab/>
        <w:t>(c)</w:t>
      </w:r>
      <w:r>
        <w:rPr>
          <w:snapToGrid w:val="0"/>
        </w:rPr>
        <w:tab/>
        <w:t>being requested under section 66(1) to do so,</w:t>
      </w:r>
    </w:p>
    <w:p>
      <w:pPr>
        <w:pStyle w:val="Subsection"/>
        <w:rPr>
          <w:snapToGrid w:val="0"/>
        </w:rPr>
      </w:pPr>
      <w:r>
        <w:tab/>
      </w:r>
      <w:r>
        <w:tab/>
      </w:r>
      <w:r>
        <w:rPr>
          <w:snapToGrid w:val="0"/>
        </w:rPr>
        <w:t>unless, in the case mentioned in paragraph (c), the State mining engineer has decided under section 67 that a safety and health committee is not required to be established for the mine concerned.</w:t>
      </w:r>
    </w:p>
    <w:p>
      <w:pPr>
        <w:pStyle w:val="Subsection"/>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65 inserted by No. 68 of 2004 s. 64.]</w:t>
      </w:r>
    </w:p>
    <w:p>
      <w:pPr>
        <w:pStyle w:val="Heading5"/>
      </w:pPr>
      <w:bookmarkStart w:id="161" w:name="_Toc192041172"/>
      <w:r>
        <w:rPr>
          <w:rStyle w:val="CharSectno"/>
        </w:rPr>
        <w:t>66</w:t>
      </w:r>
      <w:r>
        <w:t>.</w:t>
      </w:r>
      <w:r>
        <w:tab/>
        <w:t>Request for establishment of safety and health committee</w:t>
      </w:r>
      <w:bookmarkEnd w:id="161"/>
    </w:p>
    <w:p>
      <w:pPr>
        <w:pStyle w:val="Subsection"/>
        <w:rPr>
          <w:snapToGrid w:val="0"/>
        </w:rPr>
      </w:pPr>
      <w:r>
        <w:tab/>
        <w:t>(1)</w:t>
      </w:r>
      <w:r>
        <w:tab/>
      </w:r>
      <w:r>
        <w:rPr>
          <w:snapToGrid w:val="0"/>
        </w:rPr>
        <w:t>An employee who works at a mine may request an employer at the mine to establish a safety and health committee for the mine.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rPr>
          <w:snapToGrid w:val="0"/>
        </w:rPr>
      </w:pPr>
      <w:r>
        <w:rPr>
          <w:snapToGrid w:val="0"/>
        </w:rPr>
        <w:tab/>
        <w:t>(ii)</w:t>
      </w:r>
      <w:r>
        <w:rPr>
          <w:snapToGrid w:val="0"/>
        </w:rPr>
        <w:tab/>
        <w:t>any safety and health representative for the mine,</w:t>
      </w:r>
    </w:p>
    <w:p>
      <w:pPr>
        <w:pStyle w:val="Indenta"/>
        <w:rPr>
          <w:snapToGrid w:val="0"/>
        </w:rPr>
      </w:pPr>
      <w:r>
        <w:tab/>
      </w:r>
      <w:r>
        <w:tab/>
      </w:r>
      <w:r>
        <w:rPr>
          <w:snapToGrid w:val="0"/>
        </w:rPr>
        <w:t>that the employer agrees to the request; or</w:t>
      </w:r>
    </w:p>
    <w:p>
      <w:pPr>
        <w:pStyle w:val="Indenta"/>
      </w:pPr>
      <w:r>
        <w:tab/>
        <w:t>(b)</w:t>
      </w:r>
      <w:r>
        <w:tab/>
        <w:t>under section 67, refer to the State mining engineer the question whether a safety and health committee should be established for the mine.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66 inserted by No. 68 of 2004 s. 64.]</w:t>
      </w:r>
    </w:p>
    <w:p>
      <w:pPr>
        <w:pStyle w:val="Heading5"/>
        <w:spacing w:before="180"/>
      </w:pPr>
      <w:bookmarkStart w:id="162" w:name="_Toc192041173"/>
      <w:r>
        <w:rPr>
          <w:rStyle w:val="CharSectno"/>
        </w:rPr>
        <w:t>67</w:t>
      </w:r>
      <w:r>
        <w:t>.</w:t>
      </w:r>
      <w:r>
        <w:tab/>
        <w:t>Referral of question to State mining engineer</w:t>
      </w:r>
      <w:bookmarkEnd w:id="162"/>
    </w:p>
    <w:p>
      <w:pPr>
        <w:pStyle w:val="Subsection"/>
        <w:spacing w:before="120"/>
      </w:pPr>
      <w:r>
        <w:tab/>
        <w:t>(1)</w:t>
      </w:r>
      <w:r>
        <w:tab/>
        <w:t xml:space="preserve">If — </w:t>
      </w:r>
    </w:p>
    <w:p>
      <w:pPr>
        <w:pStyle w:val="Indenta"/>
      </w:pPr>
      <w:r>
        <w:tab/>
        <w:t>(a)</w:t>
      </w:r>
      <w:r>
        <w:tab/>
        <w:t>a request has been made to an employer under section 66(1) in respect of a mine;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mine</w:t>
      </w:r>
      <w:r>
        <w:rPr>
          <w:snapToGrid w:val="0"/>
        </w:rPr>
        <w:t>,</w:t>
      </w:r>
    </w:p>
    <w:p>
      <w:pPr>
        <w:pStyle w:val="Subsection"/>
        <w:spacing w:before="120"/>
        <w:rPr>
          <w:snapToGrid w:val="0"/>
        </w:rPr>
      </w:pPr>
      <w:r>
        <w:tab/>
      </w:r>
      <w:r>
        <w:tab/>
      </w:r>
      <w:r>
        <w:rPr>
          <w:snapToGrid w:val="0"/>
        </w:rPr>
        <w:t>t</w:t>
      </w:r>
      <w:r>
        <w:t xml:space="preserve">he employer may </w:t>
      </w:r>
      <w:r>
        <w:rPr>
          <w:snapToGrid w:val="0"/>
        </w:rPr>
        <w:t xml:space="preserve">refer to the State mining engineer the question of whether a </w:t>
      </w:r>
      <w:r>
        <w:t xml:space="preserve">safety and health </w:t>
      </w:r>
      <w:r>
        <w:rPr>
          <w:snapToGrid w:val="0"/>
        </w:rPr>
        <w:t>committee should be so established.</w:t>
      </w:r>
    </w:p>
    <w:p>
      <w:pPr>
        <w:pStyle w:val="Subsection"/>
        <w:spacing w:before="120"/>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mine.</w:t>
      </w:r>
    </w:p>
    <w:p>
      <w:pPr>
        <w:pStyle w:val="Subsection"/>
        <w:spacing w:before="120"/>
        <w:rPr>
          <w:snapToGrid w:val="0"/>
        </w:rPr>
      </w:pPr>
      <w:r>
        <w:rPr>
          <w:snapToGrid w:val="0"/>
        </w:rPr>
        <w:tab/>
        <w:t>(3)</w:t>
      </w:r>
      <w:r>
        <w:rPr>
          <w:snapToGrid w:val="0"/>
        </w:rPr>
        <w:tab/>
        <w:t xml:space="preserve">The State mining engineer is to — </w:t>
      </w:r>
    </w:p>
    <w:p>
      <w:pPr>
        <w:pStyle w:val="Indenta"/>
        <w:rPr>
          <w:snapToGrid w:val="0"/>
        </w:rPr>
      </w:pPr>
      <w:r>
        <w:rPr>
          <w:snapToGrid w:val="0"/>
        </w:rPr>
        <w:tab/>
        <w:t>(a)</w:t>
      </w:r>
      <w:r>
        <w:rPr>
          <w:snapToGrid w:val="0"/>
        </w:rPr>
        <w:tab/>
        <w:t>decide a question referred to the State mining engineer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67 inserted by No. 68 of 2004 s. 64.]</w:t>
      </w:r>
    </w:p>
    <w:p>
      <w:pPr>
        <w:pStyle w:val="Heading5"/>
        <w:spacing w:before="180"/>
      </w:pPr>
      <w:bookmarkStart w:id="163" w:name="_Toc192041174"/>
      <w:r>
        <w:rPr>
          <w:rStyle w:val="CharSectno"/>
        </w:rPr>
        <w:t>67A</w:t>
      </w:r>
      <w:r>
        <w:t>.</w:t>
      </w:r>
      <w:r>
        <w:tab/>
        <w:t>Employer may establish a safety and health committee</w:t>
      </w:r>
      <w:bookmarkEnd w:id="163"/>
    </w:p>
    <w:p>
      <w:pPr>
        <w:pStyle w:val="Subsection"/>
        <w:spacing w:before="120"/>
      </w:pPr>
      <w:r>
        <w:tab/>
      </w:r>
      <w:r>
        <w:tab/>
        <w:t xml:space="preserve">An employer at a mine may, on the employer’s own initiative and </w:t>
      </w:r>
      <w:r>
        <w:rPr>
          <w:snapToGrid w:val="0"/>
        </w:rPr>
        <w:t>in accordance with the prescribed requirements</w:t>
      </w:r>
      <w:r>
        <w:t xml:space="preserve">, </w:t>
      </w:r>
      <w:r>
        <w:rPr>
          <w:snapToGrid w:val="0"/>
        </w:rPr>
        <w:t>establish a safety and health committee for the mine</w:t>
      </w:r>
      <w:r>
        <w:t xml:space="preserve"> if — </w:t>
      </w:r>
    </w:p>
    <w:p>
      <w:pPr>
        <w:pStyle w:val="Indenta"/>
      </w:pPr>
      <w:r>
        <w:tab/>
        <w:t>(a)</w:t>
      </w:r>
      <w:r>
        <w:tab/>
        <w:t>a regulation referred to in section 65(1)(a) has not come into operation;</w:t>
      </w:r>
    </w:p>
    <w:p>
      <w:pPr>
        <w:pStyle w:val="Indenta"/>
      </w:pPr>
      <w:r>
        <w:tab/>
        <w:t>(b)</w:t>
      </w:r>
      <w:r>
        <w:tab/>
        <w:t>a notice referred to in section 65(1)(b) has not been served on the employer; or</w:t>
      </w:r>
    </w:p>
    <w:p>
      <w:pPr>
        <w:pStyle w:val="Indenta"/>
      </w:pPr>
      <w:r>
        <w:tab/>
        <w:t>(c)</w:t>
      </w:r>
      <w:r>
        <w:tab/>
        <w:t>a request has not been made under section 66(1),</w:t>
      </w:r>
    </w:p>
    <w:p>
      <w:pPr>
        <w:pStyle w:val="Subsection"/>
      </w:pPr>
      <w:r>
        <w:tab/>
      </w:r>
      <w:r>
        <w:tab/>
        <w:t>in respect of the mine.</w:t>
      </w:r>
    </w:p>
    <w:p>
      <w:pPr>
        <w:pStyle w:val="Footnotesection"/>
      </w:pPr>
      <w:r>
        <w:tab/>
        <w:t>[Section 67A inserted by No. 68 of 2004 s. 64.]</w:t>
      </w:r>
    </w:p>
    <w:p>
      <w:pPr>
        <w:pStyle w:val="Heading5"/>
      </w:pPr>
      <w:bookmarkStart w:id="164" w:name="_Toc192041175"/>
      <w:r>
        <w:rPr>
          <w:rStyle w:val="CharSectno"/>
        </w:rPr>
        <w:t>67B</w:t>
      </w:r>
      <w:r>
        <w:t>.</w:t>
      </w:r>
      <w:r>
        <w:tab/>
        <w:t>How safety and health committee to be constituted</w:t>
      </w:r>
      <w:bookmarkEnd w:id="164"/>
    </w:p>
    <w:p>
      <w:pPr>
        <w:pStyle w:val="Subsection"/>
      </w:pPr>
      <w:r>
        <w:tab/>
        <w:t>(1)</w:t>
      </w:r>
      <w:r>
        <w:tab/>
        <w:t xml:space="preserve">In this section — </w:t>
      </w:r>
    </w:p>
    <w:p>
      <w:pPr>
        <w:pStyle w:val="Defstart"/>
      </w:pPr>
      <w:r>
        <w:rPr>
          <w:b/>
        </w:rPr>
        <w:tab/>
        <w:t>“</w:t>
      </w:r>
      <w:r>
        <w:rPr>
          <w:rStyle w:val="CharDefText"/>
        </w:rPr>
        <w:t>mine</w:t>
      </w:r>
      <w:r>
        <w:rPr>
          <w:b/>
        </w:rPr>
        <w:t>”</w:t>
      </w:r>
      <w:r>
        <w:t>, where an agreement under section 67D applies, includes 2 or more mines.</w:t>
      </w:r>
    </w:p>
    <w:p>
      <w:pPr>
        <w:pStyle w:val="Subsection"/>
      </w:pPr>
      <w:r>
        <w:tab/>
        <w:t>(2)</w:t>
      </w:r>
      <w:r>
        <w:tab/>
        <w:t xml:space="preserve">Subject to subsection (3), the composition, and the manner in which persons become members, of a safety and health committee for a mine are to be determined by agreement in writing between — </w:t>
      </w:r>
    </w:p>
    <w:p>
      <w:pPr>
        <w:pStyle w:val="Indenta"/>
      </w:pPr>
      <w:r>
        <w:tab/>
        <w:t>(a)</w:t>
      </w:r>
      <w:r>
        <w:tab/>
        <w:t>the employer or employers at the mine;</w:t>
      </w:r>
    </w:p>
    <w:p>
      <w:pPr>
        <w:pStyle w:val="Indenta"/>
      </w:pPr>
      <w:r>
        <w:tab/>
        <w:t>(b)</w:t>
      </w:r>
      <w:r>
        <w:tab/>
        <w:t>any safety and health representative for the mine; and</w:t>
      </w:r>
    </w:p>
    <w:p>
      <w:pPr>
        <w:pStyle w:val="Indenta"/>
      </w:pPr>
      <w:r>
        <w:tab/>
        <w:t>(c)</w:t>
      </w:r>
      <w:r>
        <w:tab/>
        <w:t>the employees appointed under section 64 in respect of the mine.</w:t>
      </w:r>
    </w:p>
    <w:p>
      <w:pPr>
        <w:pStyle w:val="Subsection"/>
      </w:pPr>
      <w:r>
        <w:tab/>
        <w:t>(3)</w:t>
      </w:r>
      <w:r>
        <w:tab/>
        <w:t xml:space="preserve">At least one half of the members of a safety and health committee for a mine must be persons each of whom is — </w:t>
      </w:r>
    </w:p>
    <w:p>
      <w:pPr>
        <w:pStyle w:val="Indenta"/>
      </w:pPr>
      <w:r>
        <w:tab/>
        <w:t>(a)</w:t>
      </w:r>
      <w:r>
        <w:tab/>
        <w:t>a safety and health representative for the mine; or</w:t>
      </w:r>
    </w:p>
    <w:p>
      <w:pPr>
        <w:pStyle w:val="Indenta"/>
      </w:pPr>
      <w:r>
        <w:tab/>
        <w:t>(b)</w:t>
      </w:r>
      <w:r>
        <w:tab/>
        <w:t>an employee who works at the mine and holds office as a member representing other employees.</w:t>
      </w:r>
    </w:p>
    <w:p>
      <w:pPr>
        <w:pStyle w:val="Footnotesection"/>
      </w:pPr>
      <w:r>
        <w:tab/>
        <w:t>[Section 67B inserted by No. 68 of 2004 s. 64.]</w:t>
      </w:r>
    </w:p>
    <w:p>
      <w:pPr>
        <w:pStyle w:val="Heading5"/>
      </w:pPr>
      <w:bookmarkStart w:id="165" w:name="_Toc192041176"/>
      <w:r>
        <w:rPr>
          <w:rStyle w:val="CharSectno"/>
        </w:rPr>
        <w:t>67C</w:t>
      </w:r>
      <w:r>
        <w:t>.</w:t>
      </w:r>
      <w:r>
        <w:tab/>
        <w:t>State mining engineer may make determination in certain cases</w:t>
      </w:r>
      <w:bookmarkEnd w:id="165"/>
    </w:p>
    <w:p>
      <w:pPr>
        <w:pStyle w:val="Subsection"/>
        <w:outlineLvl w:val="0"/>
      </w:pPr>
      <w:r>
        <w:tab/>
        <w:t>(1)</w:t>
      </w:r>
      <w:r>
        <w:tab/>
        <w:t xml:space="preserve">This section applies if — </w:t>
      </w:r>
    </w:p>
    <w:p>
      <w:pPr>
        <w:pStyle w:val="Indenta"/>
      </w:pPr>
      <w:r>
        <w:tab/>
        <w:t>(a)</w:t>
      </w:r>
      <w:r>
        <w:tab/>
        <w:t xml:space="preserve">a consultation party considers that discussions for the purpose of making an agreement under section 67B — </w:t>
      </w:r>
    </w:p>
    <w:p>
      <w:pPr>
        <w:pStyle w:val="Indenti"/>
      </w:pPr>
      <w:r>
        <w:tab/>
        <w:t>(i)</w:t>
      </w:r>
      <w:r>
        <w:tab/>
        <w:t>cannot commence or continue because there are no employees appointed under section 64 in respect of the mine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65 within the allowed period under that section.</w:t>
      </w:r>
    </w:p>
    <w:p>
      <w:pPr>
        <w:pStyle w:val="Subsection"/>
        <w:outlineLvl w:val="0"/>
      </w:pPr>
      <w:r>
        <w:tab/>
        <w:t>(2)</w:t>
      </w:r>
      <w:r>
        <w:tab/>
        <w:t xml:space="preserve">The employer or other consultation party may refer to the State mining engineer for determination — </w:t>
      </w:r>
    </w:p>
    <w:p>
      <w:pPr>
        <w:pStyle w:val="Indenta"/>
      </w:pPr>
      <w:r>
        <w:tab/>
        <w:t>(a)</w:t>
      </w:r>
      <w:r>
        <w:tab/>
        <w:t xml:space="preserve">the matters that are required to be settled by agreement under section 67B; or </w:t>
      </w:r>
    </w:p>
    <w:p>
      <w:pPr>
        <w:pStyle w:val="Indenta"/>
      </w:pPr>
      <w:r>
        <w:tab/>
        <w:t>(b)</w:t>
      </w:r>
      <w:r>
        <w:tab/>
        <w:t>any particular matter mentioned in paragraph (a) on which the parties cannot agree.</w:t>
      </w:r>
    </w:p>
    <w:p>
      <w:pPr>
        <w:pStyle w:val="Subsection"/>
        <w:outlineLvl w:val="0"/>
      </w:pPr>
      <w:r>
        <w:tab/>
        <w:t>(3)</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67C inserted by No. 68 of 2004 s. 64.]</w:t>
      </w:r>
    </w:p>
    <w:p>
      <w:pPr>
        <w:pStyle w:val="Heading5"/>
      </w:pPr>
      <w:bookmarkStart w:id="166" w:name="_Toc192041177"/>
      <w:r>
        <w:rPr>
          <w:rStyle w:val="CharSectno"/>
        </w:rPr>
        <w:t>67D</w:t>
      </w:r>
      <w:r>
        <w:t>.</w:t>
      </w:r>
      <w:r>
        <w:tab/>
        <w:t>Functions of committee may cover more than one mine</w:t>
      </w:r>
      <w:bookmarkEnd w:id="166"/>
    </w:p>
    <w:p>
      <w:pPr>
        <w:pStyle w:val="Subsection"/>
      </w:pPr>
      <w:r>
        <w:tab/>
        <w:t>(1)</w:t>
      </w:r>
      <w:r>
        <w:tab/>
        <w:t xml:space="preserve">If — </w:t>
      </w:r>
    </w:p>
    <w:p>
      <w:pPr>
        <w:pStyle w:val="Indenta"/>
      </w:pPr>
      <w:r>
        <w:tab/>
        <w:t>(a)</w:t>
      </w:r>
      <w:r>
        <w:tab/>
        <w:t xml:space="preserve">an employer — </w:t>
      </w:r>
    </w:p>
    <w:p>
      <w:pPr>
        <w:pStyle w:val="Indenti"/>
      </w:pPr>
      <w:r>
        <w:tab/>
        <w:t>(i)</w:t>
      </w:r>
      <w:r>
        <w:tab/>
        <w:t>is under an obligation by operation of section 65(1); or</w:t>
      </w:r>
    </w:p>
    <w:p>
      <w:pPr>
        <w:pStyle w:val="Indenti"/>
      </w:pPr>
      <w:r>
        <w:tab/>
        <w:t>(ii)</w:t>
      </w:r>
      <w:r>
        <w:tab/>
        <w:t>wishes to take action for the purposes of section 67A,</w:t>
      </w:r>
    </w:p>
    <w:p>
      <w:pPr>
        <w:pStyle w:val="Indenta"/>
      </w:pPr>
      <w:r>
        <w:tab/>
      </w:r>
      <w:r>
        <w:tab/>
        <w:t>in respect of more than one mine; and</w:t>
      </w:r>
    </w:p>
    <w:p>
      <w:pPr>
        <w:pStyle w:val="Indenta"/>
      </w:pPr>
      <w:r>
        <w:tab/>
        <w:t>(b)</w:t>
      </w:r>
      <w:r>
        <w:tab/>
        <w:t>a safety and health committee has not been established for one or more of those mines,</w:t>
      </w:r>
    </w:p>
    <w:p>
      <w:pPr>
        <w:pStyle w:val="Subsection"/>
      </w:pPr>
      <w:r>
        <w:tab/>
      </w:r>
      <w:r>
        <w:tab/>
        <w:t>the parties concerned may agree in writing that one safety and health committee is to be established to perform functions in relation to each of the mines to which paragraph (b) applies.</w:t>
      </w:r>
    </w:p>
    <w:p>
      <w:pPr>
        <w:pStyle w:val="Subsection"/>
      </w:pPr>
      <w:r>
        <w:tab/>
        <w:t>(2)</w:t>
      </w:r>
      <w:r>
        <w:tab/>
        <w:t xml:space="preserve">For the purposes of subsection (1) the parties concerned are — </w:t>
      </w:r>
    </w:p>
    <w:p>
      <w:pPr>
        <w:pStyle w:val="Indenta"/>
      </w:pPr>
      <w:r>
        <w:tab/>
        <w:t>(a)</w:t>
      </w:r>
      <w:r>
        <w:tab/>
        <w:t>the employer or employers at;</w:t>
      </w:r>
    </w:p>
    <w:p>
      <w:pPr>
        <w:pStyle w:val="Indenta"/>
      </w:pPr>
      <w:r>
        <w:tab/>
        <w:t>(b)</w:t>
      </w:r>
      <w:r>
        <w:tab/>
        <w:t>any safety and health representative for; and</w:t>
      </w:r>
    </w:p>
    <w:p>
      <w:pPr>
        <w:pStyle w:val="Indenta"/>
      </w:pPr>
      <w:r>
        <w:tab/>
        <w:t>(c)</w:t>
      </w:r>
      <w:r>
        <w:tab/>
        <w:t>the employees appointed under section 64 in respect of,</w:t>
      </w:r>
    </w:p>
    <w:p>
      <w:pPr>
        <w:pStyle w:val="Subsection"/>
      </w:pPr>
      <w:r>
        <w:tab/>
      </w:r>
      <w:r>
        <w:tab/>
        <w:t>any mine to which subsection (1)(b) applies.</w:t>
      </w:r>
    </w:p>
    <w:p>
      <w:pPr>
        <w:pStyle w:val="Subsection"/>
      </w:pPr>
      <w:r>
        <w:tab/>
        <w:t>(3)</w:t>
      </w:r>
      <w:r>
        <w:tab/>
        <w:t xml:space="preserve">An agreement under subsection (1) may provide — </w:t>
      </w:r>
    </w:p>
    <w:p>
      <w:pPr>
        <w:pStyle w:val="Indenta"/>
      </w:pPr>
      <w:r>
        <w:tab/>
        <w:t>(a)</w:t>
      </w:r>
      <w:r>
        <w:tab/>
        <w:t>for the establishment of a safety and health committee to perform functions in relation to more than one mine; and</w:t>
      </w:r>
    </w:p>
    <w:p>
      <w:pPr>
        <w:pStyle w:val="Indenta"/>
      </w:pPr>
      <w:r>
        <w:tab/>
        <w:t>(b)</w:t>
      </w:r>
      <w:r>
        <w:tab/>
        <w:t xml:space="preserve">for that committee to have subcommittees for each mine — </w:t>
      </w:r>
    </w:p>
    <w:p>
      <w:pPr>
        <w:pStyle w:val="Indenti"/>
      </w:pPr>
      <w:r>
        <w:tab/>
        <w:t>(i)</w:t>
      </w:r>
      <w:r>
        <w:tab/>
        <w:t xml:space="preserve">to advise the committee on the performance of its functions in relation to that mine; and </w:t>
      </w:r>
    </w:p>
    <w:p>
      <w:pPr>
        <w:pStyle w:val="Indenti"/>
      </w:pPr>
      <w:r>
        <w:tab/>
        <w:t>(ii)</w:t>
      </w:r>
      <w:r>
        <w:tab/>
        <w:t>to perform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67D inserted by No. 68 of 2004 s. 64.]</w:t>
      </w:r>
    </w:p>
    <w:p>
      <w:pPr>
        <w:pStyle w:val="Heading5"/>
      </w:pPr>
      <w:bookmarkStart w:id="167" w:name="_Toc192041178"/>
      <w:r>
        <w:rPr>
          <w:rStyle w:val="CharSectno"/>
        </w:rPr>
        <w:t>67E</w:t>
      </w:r>
      <w:r>
        <w:t>.</w:t>
      </w:r>
      <w:r>
        <w:tab/>
        <w:t>Amendment of agreement and abolition of committee</w:t>
      </w:r>
      <w:bookmarkEnd w:id="167"/>
    </w:p>
    <w:p>
      <w:pPr>
        <w:pStyle w:val="Subsection"/>
      </w:pPr>
      <w:r>
        <w:tab/>
        <w:t>(1)</w:t>
      </w:r>
      <w:r>
        <w:tab/>
        <w:t xml:space="preserve">In this section — </w:t>
      </w:r>
    </w:p>
    <w:p>
      <w:pPr>
        <w:pStyle w:val="Defstart"/>
      </w:pPr>
      <w:r>
        <w:rPr>
          <w:b/>
        </w:rPr>
        <w:tab/>
        <w:t>“</w:t>
      </w:r>
      <w:r>
        <w:rPr>
          <w:rStyle w:val="CharDefText"/>
        </w:rPr>
        <w:t>relevant parties</w:t>
      </w:r>
      <w:r>
        <w:rPr>
          <w:b/>
        </w:rPr>
        <w:t>”</w:t>
      </w:r>
      <w:r>
        <w:t xml:space="preserve">, in respect of a mine, means — </w:t>
      </w:r>
    </w:p>
    <w:p>
      <w:pPr>
        <w:pStyle w:val="Defpara"/>
      </w:pPr>
      <w:r>
        <w:tab/>
        <w:t>(a)</w:t>
      </w:r>
      <w:r>
        <w:tab/>
        <w:t>the employer or employers at the mine; and</w:t>
      </w:r>
    </w:p>
    <w:p>
      <w:pPr>
        <w:pStyle w:val="Defpara"/>
      </w:pPr>
      <w:r>
        <w:tab/>
        <w:t>(b)</w:t>
      </w:r>
      <w:r>
        <w:tab/>
        <w:t>each member for the time being of the safety and health committee for the mine.</w:t>
      </w:r>
    </w:p>
    <w:p>
      <w:pPr>
        <w:pStyle w:val="Subsection"/>
        <w:keepNext/>
        <w:keepLines/>
      </w:pPr>
      <w:r>
        <w:tab/>
        <w:t>(2)</w:t>
      </w:r>
      <w:r>
        <w:tab/>
        <w:t xml:space="preserve">Where — </w:t>
      </w:r>
    </w:p>
    <w:p>
      <w:pPr>
        <w:pStyle w:val="Indenta"/>
      </w:pPr>
      <w:r>
        <w:tab/>
        <w:t>(a)</w:t>
      </w:r>
      <w:r>
        <w:tab/>
        <w:t>an agreement has been made under section 67B(2); or</w:t>
      </w:r>
    </w:p>
    <w:p>
      <w:pPr>
        <w:pStyle w:val="Indenta"/>
      </w:pPr>
      <w:r>
        <w:tab/>
        <w:t>(b)</w:t>
      </w:r>
      <w:r>
        <w:tab/>
        <w:t xml:space="preserve">the matters referred to in section 67B(2) are governed by provisions consisting — </w:t>
      </w:r>
    </w:p>
    <w:p>
      <w:pPr>
        <w:pStyle w:val="Indenti"/>
      </w:pPr>
      <w:r>
        <w:tab/>
        <w:t>(i)</w:t>
      </w:r>
      <w:r>
        <w:tab/>
        <w:t>wholly of a determination made under section 67C, whether or not it has been varied or confirmed under section 67F; or</w:t>
      </w:r>
    </w:p>
    <w:p>
      <w:pPr>
        <w:pStyle w:val="Indenti"/>
      </w:pPr>
      <w:r>
        <w:tab/>
        <w:t>(ii)</w:t>
      </w:r>
      <w:r>
        <w:tab/>
        <w:t>partly of an agreement under section 67B(2) and partly of a determination made under section 67C, whether or not it has been varied or confirmed under section 67F,</w:t>
      </w:r>
    </w:p>
    <w:p>
      <w:pPr>
        <w:pStyle w:val="Subsection"/>
      </w:pPr>
      <w:r>
        <w:tab/>
      </w:r>
      <w:r>
        <w:tab/>
        <w:t xml:space="preserve">the relevant parties may by agreement in writing made between them — </w:t>
      </w:r>
    </w:p>
    <w:p>
      <w:pPr>
        <w:pStyle w:val="Indenta"/>
      </w:pPr>
      <w:r>
        <w:tab/>
        <w:t>(c)</w:t>
      </w:r>
      <w:r>
        <w:tab/>
        <w:t xml:space="preserve">vary —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mine,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State mining engineer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pPr>
      <w:r>
        <w:tab/>
      </w:r>
      <w:r>
        <w:tab/>
        <w:t>or as to transitional provisions that should be made in respect of such a matter.</w:t>
      </w:r>
    </w:p>
    <w:p>
      <w:pPr>
        <w:pStyle w:val="Subsection"/>
      </w:pPr>
      <w:r>
        <w:tab/>
        <w:t>(5)</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67E inserted by No. 68 of 2004 s. 64.]</w:t>
      </w:r>
    </w:p>
    <w:p>
      <w:pPr>
        <w:pStyle w:val="Heading5"/>
      </w:pPr>
      <w:bookmarkStart w:id="168" w:name="_Toc192041179"/>
      <w:r>
        <w:rPr>
          <w:rStyle w:val="CharSectno"/>
        </w:rPr>
        <w:t>67F</w:t>
      </w:r>
      <w:r>
        <w:t>.</w:t>
      </w:r>
      <w:r>
        <w:tab/>
        <w:t>Review of State mining engineer’s decision</w:t>
      </w:r>
      <w:bookmarkEnd w:id="168"/>
    </w:p>
    <w:p>
      <w:pPr>
        <w:pStyle w:val="Subsection"/>
      </w:pPr>
      <w:r>
        <w:tab/>
        <w:t>(1)</w:t>
      </w:r>
      <w:r>
        <w:tab/>
        <w:t xml:space="preserve">Where the State mining engineer has made a decision under section 67(3) in respect of a mine — </w:t>
      </w:r>
    </w:p>
    <w:p>
      <w:pPr>
        <w:pStyle w:val="Indenta"/>
      </w:pPr>
      <w:r>
        <w:tab/>
        <w:t>(a)</w:t>
      </w:r>
      <w:r>
        <w:tab/>
        <w:t xml:space="preserve">an employer at the mine; </w:t>
      </w:r>
    </w:p>
    <w:p>
      <w:pPr>
        <w:pStyle w:val="Indenta"/>
      </w:pPr>
      <w:r>
        <w:tab/>
        <w:t>(b)</w:t>
      </w:r>
      <w:r>
        <w:tab/>
        <w:t xml:space="preserve">a safety and health representative for the mine; or </w:t>
      </w:r>
    </w:p>
    <w:p>
      <w:pPr>
        <w:pStyle w:val="Indenta"/>
      </w:pPr>
      <w:r>
        <w:tab/>
        <w:t>(c)</w:t>
      </w:r>
      <w:r>
        <w:tab/>
        <w:t xml:space="preserve">an employee who works at the mine, </w:t>
      </w:r>
    </w:p>
    <w:p>
      <w:pPr>
        <w:pStyle w:val="Subsection"/>
      </w:pPr>
      <w:r>
        <w:tab/>
      </w:r>
      <w:r>
        <w:tab/>
        <w:t>may refer the decision to the Tribunal for review.</w:t>
      </w:r>
    </w:p>
    <w:p>
      <w:pPr>
        <w:pStyle w:val="Subsection"/>
      </w:pPr>
      <w:r>
        <w:tab/>
        <w:t>(2)</w:t>
      </w:r>
      <w:r>
        <w:tab/>
        <w:t xml:space="preserve">Where the State mining engineer has made a determination under section 67C(3) in respect of one or more mines — </w:t>
      </w:r>
    </w:p>
    <w:p>
      <w:pPr>
        <w:pStyle w:val="Indenta"/>
      </w:pPr>
      <w:r>
        <w:tab/>
        <w:t>(a)</w:t>
      </w:r>
      <w:r>
        <w:tab/>
        <w:t xml:space="preserve">an employer at; </w:t>
      </w:r>
    </w:p>
    <w:p>
      <w:pPr>
        <w:pStyle w:val="Indenta"/>
      </w:pPr>
      <w:r>
        <w:tab/>
        <w:t>(b)</w:t>
      </w:r>
      <w:r>
        <w:tab/>
        <w:t>a safety and health representative for; or</w:t>
      </w:r>
    </w:p>
    <w:p>
      <w:pPr>
        <w:pStyle w:val="Indenta"/>
      </w:pPr>
      <w:r>
        <w:tab/>
        <w:t>(c)</w:t>
      </w:r>
      <w:r>
        <w:tab/>
        <w:t>an employee appointed under section 64 in respect of,</w:t>
      </w:r>
    </w:p>
    <w:p>
      <w:pPr>
        <w:pStyle w:val="Subsection"/>
      </w:pPr>
      <w:r>
        <w:tab/>
      </w:r>
      <w:r>
        <w:tab/>
        <w:t xml:space="preserve">a mine concerned, may refer the determination to the Tribunal for review. </w:t>
      </w:r>
    </w:p>
    <w:p>
      <w:pPr>
        <w:pStyle w:val="Subsection"/>
      </w:pPr>
      <w:r>
        <w:tab/>
        <w:t>(3)</w:t>
      </w:r>
      <w:r>
        <w:tab/>
        <w:t xml:space="preserve">Where the State mining engineer has made a determination under section 67E(5) in respect of — </w:t>
      </w:r>
    </w:p>
    <w:p>
      <w:pPr>
        <w:pStyle w:val="Indenta"/>
      </w:pPr>
      <w:r>
        <w:tab/>
        <w:t>(a)</w:t>
      </w:r>
      <w:r>
        <w:tab/>
        <w:t xml:space="preserve">an agreement; or </w:t>
      </w:r>
    </w:p>
    <w:p>
      <w:pPr>
        <w:pStyle w:val="Indenta"/>
      </w:pPr>
      <w:r>
        <w:tab/>
        <w:t>(b)</w:t>
      </w:r>
      <w:r>
        <w:tab/>
        <w:t xml:space="preserve">a safety and health committee, </w:t>
      </w:r>
    </w:p>
    <w:p>
      <w:pPr>
        <w:pStyle w:val="Subsection"/>
      </w:pPr>
      <w:r>
        <w:tab/>
      </w:r>
      <w:r>
        <w:tab/>
        <w:t xml:space="preserve">a relevant party, within the meaning in that section, in relation to the mine concerned may refer the determination to the Tribunal for review. </w:t>
      </w:r>
    </w:p>
    <w:p>
      <w:pPr>
        <w:pStyle w:val="Subsection"/>
      </w:pPr>
      <w:r>
        <w:tab/>
        <w:t>(4)</w:t>
      </w:r>
      <w:r>
        <w:tab/>
        <w:t>The Tribunal may confirm, vary or revoke a decision or determination of the State mining engineer referred to it under this section.</w:t>
      </w:r>
    </w:p>
    <w:p>
      <w:pPr>
        <w:pStyle w:val="Footnotesection"/>
      </w:pPr>
      <w:r>
        <w:tab/>
        <w:t>[Section 67F inserted by No. 68 of 2004 s. 64.]</w:t>
      </w:r>
    </w:p>
    <w:p>
      <w:pPr>
        <w:pStyle w:val="Heading5"/>
      </w:pPr>
      <w:bookmarkStart w:id="169" w:name="_Toc192041180"/>
      <w:r>
        <w:rPr>
          <w:rStyle w:val="CharSectno"/>
        </w:rPr>
        <w:t>68</w:t>
      </w:r>
      <w:r>
        <w:t>.</w:t>
      </w:r>
      <w:r>
        <w:tab/>
        <w:t>Procedure of safety and health committees</w:t>
      </w:r>
      <w:bookmarkEnd w:id="169"/>
    </w:p>
    <w:p>
      <w:pPr>
        <w:pStyle w:val="Subsection"/>
      </w:pPr>
      <w:r>
        <w:tab/>
      </w:r>
      <w:r>
        <w:tab/>
        <w:t>Except as provided in the regulations, a safety and health committee may determine its own procedure.</w:t>
      </w:r>
    </w:p>
    <w:p>
      <w:pPr>
        <w:pStyle w:val="Footnotesection"/>
      </w:pPr>
      <w:r>
        <w:tab/>
        <w:t>[Section 68 inserted by No. 68 of 2004 s. 66.]</w:t>
      </w:r>
    </w:p>
    <w:p>
      <w:pPr>
        <w:pStyle w:val="Heading3"/>
        <w:rPr>
          <w:snapToGrid w:val="0"/>
        </w:rPr>
      </w:pPr>
      <w:bookmarkStart w:id="170" w:name="_Toc192041181"/>
      <w:r>
        <w:rPr>
          <w:rStyle w:val="CharDivNo"/>
        </w:rPr>
        <w:t>Division 3</w:t>
      </w:r>
      <w:r>
        <w:rPr>
          <w:snapToGrid w:val="0"/>
        </w:rPr>
        <w:t> — </w:t>
      </w:r>
      <w:r>
        <w:rPr>
          <w:rStyle w:val="CharDivText"/>
        </w:rPr>
        <w:t>Discrimination</w:t>
      </w:r>
      <w:bookmarkEnd w:id="170"/>
      <w:r>
        <w:rPr>
          <w:rStyle w:val="CharDivText"/>
        </w:rPr>
        <w:t xml:space="preserve"> </w:t>
      </w:r>
    </w:p>
    <w:p>
      <w:pPr>
        <w:pStyle w:val="Heading5"/>
      </w:pPr>
      <w:bookmarkStart w:id="171" w:name="_Toc192041182"/>
      <w:r>
        <w:rPr>
          <w:rStyle w:val="CharSectno"/>
        </w:rPr>
        <w:t>68A</w:t>
      </w:r>
      <w:r>
        <w:t>.</w:t>
      </w:r>
      <w:r>
        <w:tab/>
        <w:t>Discrimination against safety and health representative in relation to employment</w:t>
      </w:r>
      <w:bookmarkEnd w:id="171"/>
    </w:p>
    <w:p>
      <w:pPr>
        <w:pStyle w:val="Subsection"/>
      </w:pPr>
      <w:r>
        <w:tab/>
        <w:t>(1)</w:t>
      </w:r>
      <w:r>
        <w:tab/>
        <w:t xml:space="preserve">An employer or a prospective employer at a mine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who contravenes subsection (1) commits an offence.</w:t>
      </w:r>
    </w:p>
    <w:p>
      <w:pPr>
        <w:pStyle w:val="Footnotesection"/>
      </w:pPr>
      <w:r>
        <w:tab/>
        <w:t>[Section 68A inserted by No. 68 of 2004 s. 67.]</w:t>
      </w:r>
    </w:p>
    <w:p>
      <w:pPr>
        <w:pStyle w:val="Heading5"/>
      </w:pPr>
      <w:bookmarkStart w:id="172" w:name="_Toc192041183"/>
      <w:r>
        <w:rPr>
          <w:rStyle w:val="CharSectno"/>
        </w:rPr>
        <w:t>68B</w:t>
      </w:r>
      <w:r>
        <w:t>.</w:t>
      </w:r>
      <w:r>
        <w:tab/>
        <w:t>Discrimination against safety and health representative in relation to contract for services</w:t>
      </w:r>
      <w:bookmarkEnd w:id="172"/>
    </w:p>
    <w:p>
      <w:pPr>
        <w:pStyle w:val="Subsection"/>
        <w:outlineLvl w:val="0"/>
      </w:pPr>
      <w:r>
        <w:tab/>
        <w:t>(1)</w:t>
      </w:r>
      <w:r>
        <w:tab/>
        <w:t xml:space="preserve">In this section — </w:t>
      </w:r>
    </w:p>
    <w:p>
      <w:pPr>
        <w:pStyle w:val="Defstart"/>
      </w:pPr>
      <w:r>
        <w:rPr>
          <w:b/>
        </w:rPr>
        <w:tab/>
        <w:t>“</w:t>
      </w:r>
      <w:r>
        <w:rPr>
          <w:rStyle w:val="CharDefText"/>
        </w:rPr>
        <w:t>contractor</w:t>
      </w:r>
      <w:r>
        <w:rPr>
          <w:b/>
        </w:rPr>
        <w:t>”</w:t>
      </w:r>
      <w:r>
        <w:t xml:space="preserve"> and </w:t>
      </w:r>
      <w:r>
        <w:rPr>
          <w:b/>
        </w:rPr>
        <w:t>“</w:t>
      </w:r>
      <w:r>
        <w:rPr>
          <w:rStyle w:val="CharDefText"/>
        </w:rPr>
        <w:t>principal</w:t>
      </w:r>
      <w:r>
        <w:rPr>
          <w:b/>
        </w:rPr>
        <w:t>”</w:t>
      </w:r>
      <w:r>
        <w:t xml:space="preserve"> have the meanings given to those terms in section 15A(1).</w:t>
      </w:r>
    </w:p>
    <w:p>
      <w:pPr>
        <w:pStyle w:val="Subsection"/>
        <w:outlineLvl w:val="0"/>
      </w:pPr>
      <w:r>
        <w:tab/>
        <w:t>(2)</w:t>
      </w:r>
      <w:r>
        <w:tab/>
        <w:t xml:space="preserve">Where a scheme under section 55A makes provision of the kind described in section 55B(3),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pPr>
      <w:r>
        <w:tab/>
        <w:t>(d)</w:t>
      </w:r>
      <w:r>
        <w:tab/>
        <w:t>is performing or has performed any function as a safety and health representative.</w:t>
      </w:r>
    </w:p>
    <w:p>
      <w:pPr>
        <w:pStyle w:val="Subsection"/>
        <w:outlineLvl w:val="0"/>
      </w:pPr>
      <w:r>
        <w:tab/>
        <w:t>(3)</w:t>
      </w:r>
      <w:r>
        <w:tab/>
        <w:t>A principal who contravenes subsection (2) commits an offence.</w:t>
      </w:r>
    </w:p>
    <w:p>
      <w:pPr>
        <w:pStyle w:val="Footnotesection"/>
      </w:pPr>
      <w:r>
        <w:tab/>
        <w:t>[Section 68B inserted by No. 68 of 2004 s. 67.]</w:t>
      </w:r>
    </w:p>
    <w:p>
      <w:pPr>
        <w:pStyle w:val="Heading5"/>
      </w:pPr>
      <w:bookmarkStart w:id="173" w:name="_Toc192041184"/>
      <w:r>
        <w:rPr>
          <w:rStyle w:val="CharSectno"/>
        </w:rPr>
        <w:t>68C</w:t>
      </w:r>
      <w:r>
        <w:t>.</w:t>
      </w:r>
      <w:r>
        <w:tab/>
        <w:t>Claim may be referred to the Tribunal</w:t>
      </w:r>
      <w:bookmarkEnd w:id="173"/>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68A; or</w:t>
      </w:r>
    </w:p>
    <w:p>
      <w:pPr>
        <w:pStyle w:val="Indenti"/>
      </w:pPr>
      <w:r>
        <w:tab/>
        <w:t>(ii)</w:t>
      </w:r>
      <w:r>
        <w:tab/>
        <w:t>in the case of a contractor referred to in section 68B, a claim that the principal has contravened that section;</w:t>
      </w:r>
    </w:p>
    <w:p>
      <w:pPr>
        <w:pStyle w:val="Indenta"/>
      </w:pPr>
      <w:r>
        <w:tab/>
      </w:r>
      <w:r>
        <w:tab/>
        <w:t>and</w:t>
      </w:r>
    </w:p>
    <w:p>
      <w:pPr>
        <w:pStyle w:val="Indenta"/>
      </w:pPr>
      <w:r>
        <w:tab/>
        <w:t>(b)</w:t>
      </w:r>
      <w:r>
        <w:tab/>
        <w:t>request the Tribunal to make one or more of the orders provided for by section 68D.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68A(4); or </w:t>
      </w:r>
    </w:p>
    <w:p>
      <w:pPr>
        <w:pStyle w:val="Indenta"/>
      </w:pPr>
      <w:r>
        <w:tab/>
        <w:t>(b)</w:t>
      </w:r>
      <w:r>
        <w:tab/>
        <w:t>the principal has been convicted of an offence under section 68B(3).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Footnotesection"/>
      </w:pPr>
      <w:r>
        <w:tab/>
        <w:t>[Section 68C inserted by No. 68 of 2004 s. 67.]</w:t>
      </w:r>
    </w:p>
    <w:p>
      <w:pPr>
        <w:pStyle w:val="Heading5"/>
      </w:pPr>
      <w:bookmarkStart w:id="174" w:name="_Toc192041185"/>
      <w:r>
        <w:rPr>
          <w:rStyle w:val="CharSectno"/>
        </w:rPr>
        <w:t>68D</w:t>
      </w:r>
      <w:r>
        <w:t>.</w:t>
      </w:r>
      <w:r>
        <w:tab/>
        <w:t>Remedies that may be granted</w:t>
      </w:r>
      <w:bookmarkEnd w:id="174"/>
    </w:p>
    <w:p>
      <w:pPr>
        <w:pStyle w:val="Subsection"/>
      </w:pPr>
      <w:r>
        <w:tab/>
        <w:t>(1)</w:t>
      </w:r>
      <w:r>
        <w:tab/>
        <w:t xml:space="preserve">If, on the hearing of a claim under section 68C(1)(a)(i), the Tribunal is satisfied that an employer or a prospective employer has contravened section 68A,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pPr>
      <w:r>
        <w:tab/>
        <w:t>(2)</w:t>
      </w:r>
      <w:r>
        <w:tab/>
        <w:t>If, on the hearing of a claim under section 68C(1)(a)(ii), the Tribunal is satisfied that a principal has contravened section 68B, the Tribunal may order the principal to pay the claimant such sum of money as the Tribunal thinks fit.</w:t>
      </w:r>
    </w:p>
    <w:p>
      <w:pPr>
        <w:pStyle w:val="Subsection"/>
      </w:pPr>
      <w:r>
        <w:tab/>
        <w:t>(3)</w:t>
      </w:r>
      <w:r>
        <w:tab/>
        <w:t xml:space="preserve">In determining a claim under section 68C(1)(a)(i)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68D inserted by No. 68 of 2004 s. 67.]</w:t>
      </w:r>
    </w:p>
    <w:p>
      <w:pPr>
        <w:pStyle w:val="Heading5"/>
        <w:rPr>
          <w:snapToGrid w:val="0"/>
        </w:rPr>
      </w:pPr>
      <w:bookmarkStart w:id="175" w:name="_Toc192041186"/>
      <w:r>
        <w:rPr>
          <w:rStyle w:val="CharSectno"/>
        </w:rPr>
        <w:t>69</w:t>
      </w:r>
      <w:r>
        <w:rPr>
          <w:snapToGrid w:val="0"/>
        </w:rPr>
        <w:t>.</w:t>
      </w:r>
      <w:r>
        <w:rPr>
          <w:snapToGrid w:val="0"/>
        </w:rPr>
        <w:tab/>
        <w:t>Other discriminatory treatment of employees or prospective employees</w:t>
      </w:r>
      <w:bookmarkEnd w:id="175"/>
      <w:r>
        <w:rPr>
          <w:snapToGrid w:val="0"/>
        </w:rPr>
        <w:t xml:space="preserve"> </w:t>
      </w:r>
    </w:p>
    <w:p>
      <w:pPr>
        <w:pStyle w:val="Subsection"/>
        <w:rPr>
          <w:snapToGrid w:val="0"/>
        </w:rPr>
      </w:pPr>
      <w:r>
        <w:rPr>
          <w:snapToGrid w:val="0"/>
        </w:rPr>
        <w:tab/>
        <w:t>(1)</w:t>
      </w:r>
      <w:r>
        <w:rPr>
          <w:snapToGrid w:val="0"/>
        </w:rPr>
        <w:tab/>
        <w:t xml:space="preserve">An employer or prospective employer at a mine who in any way treats an employee or prospective employee less favourably than that employer or prospective employer otherwise would have done </w:t>
      </w:r>
      <w:r>
        <w:t>for the dominant or substantial reason that the</w:t>
      </w:r>
      <w:r>
        <w:rPr>
          <w:snapToGrid w:val="0"/>
        </w:rPr>
        <w:t xml:space="preserve"> employee or prospective employee —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rPr>
          <w:snapToGrid w:val="0"/>
        </w:rPr>
      </w:pPr>
      <w:r>
        <w:rPr>
          <w:snapToGrid w:val="0"/>
        </w:rPr>
        <w:tab/>
        <w:t>(d)</w:t>
      </w:r>
      <w:r>
        <w:rPr>
          <w:snapToGrid w:val="0"/>
        </w:rPr>
        <w:tab/>
        <w:t>makes or has made a complaint in relation to safety or health to a person who is or was his employer, fellow employee, an inspector, a safety and health representative, or a member of a safety and health committee,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trade union that in any way treats a person less favourably than it otherwise would have done </w:t>
      </w:r>
      <w:r>
        <w:t xml:space="preserve">for the dominant or substantial reason </w:t>
      </w:r>
      <w:r>
        <w:rPr>
          <w:snapToGrid w:val="0"/>
        </w:rPr>
        <w:t>of the manner in which that person performs or has performed any function as a safety and health representative or a member of a safety and health committee commits an offence.</w:t>
      </w:r>
    </w:p>
    <w:p>
      <w:pPr>
        <w:pStyle w:val="Footnotesection"/>
      </w:pPr>
      <w:r>
        <w:tab/>
        <w:t xml:space="preserve">[Section 69 amended by No. 30 of 1995 s. 76(3) and (4); No. 68 of 2004 s. 68.] </w:t>
      </w:r>
    </w:p>
    <w:p>
      <w:pPr>
        <w:pStyle w:val="Heading2"/>
      </w:pPr>
      <w:bookmarkStart w:id="176" w:name="_Toc192041187"/>
      <w:r>
        <w:rPr>
          <w:rStyle w:val="CharPartNo"/>
        </w:rPr>
        <w:t>Part 6</w:t>
      </w:r>
      <w:r>
        <w:rPr>
          <w:rStyle w:val="CharDivNo"/>
        </w:rPr>
        <w:t> </w:t>
      </w:r>
      <w:r>
        <w:t>—</w:t>
      </w:r>
      <w:r>
        <w:rPr>
          <w:rStyle w:val="CharDivText"/>
        </w:rPr>
        <w:t> </w:t>
      </w:r>
      <w:r>
        <w:rPr>
          <w:rStyle w:val="CharPartText"/>
        </w:rPr>
        <w:t>Resolution of safety and health issues</w:t>
      </w:r>
      <w:bookmarkEnd w:id="176"/>
      <w:r>
        <w:rPr>
          <w:rStyle w:val="CharPartText"/>
        </w:rPr>
        <w:t xml:space="preserve"> </w:t>
      </w:r>
    </w:p>
    <w:p>
      <w:pPr>
        <w:pStyle w:val="Footnoteheading"/>
        <w:rPr>
          <w:snapToGrid w:val="0"/>
        </w:rPr>
      </w:pPr>
      <w:r>
        <w:rPr>
          <w:snapToGrid w:val="0"/>
        </w:rPr>
        <w:tab/>
        <w:t>[Heading amended by No. 57 of 1997 s. 88(2).]</w:t>
      </w:r>
    </w:p>
    <w:p>
      <w:pPr>
        <w:pStyle w:val="Heading5"/>
        <w:rPr>
          <w:snapToGrid w:val="0"/>
        </w:rPr>
      </w:pPr>
      <w:bookmarkStart w:id="177" w:name="_Toc192041188"/>
      <w:r>
        <w:rPr>
          <w:rStyle w:val="CharSectno"/>
        </w:rPr>
        <w:t>70</w:t>
      </w:r>
      <w:r>
        <w:rPr>
          <w:snapToGrid w:val="0"/>
        </w:rPr>
        <w:t>.</w:t>
      </w:r>
      <w:r>
        <w:rPr>
          <w:snapToGrid w:val="0"/>
        </w:rPr>
        <w:tab/>
        <w:t>Resolution of issues at the mine</w:t>
      </w:r>
      <w:bookmarkEnd w:id="177"/>
      <w:r>
        <w:rPr>
          <w:snapToGrid w:val="0"/>
        </w:rPr>
        <w:t xml:space="preserve"> </w:t>
      </w:r>
    </w:p>
    <w:p>
      <w:pPr>
        <w:pStyle w:val="Subsection"/>
        <w:rPr>
          <w:snapToGrid w:val="0"/>
        </w:rPr>
      </w:pPr>
      <w:r>
        <w:rPr>
          <w:snapToGrid w:val="0"/>
        </w:rPr>
        <w:tab/>
        <w:t>(1)</w:t>
      </w:r>
      <w:r>
        <w:rPr>
          <w:snapToGrid w:val="0"/>
        </w:rPr>
        <w:tab/>
        <w:t>Where an issue relating to occupational safety or health arises in relation to a mine, the employer concerned, or where the employer is not at the mine, the manager of the mine must, in accordance with the relevant procedure, attempt to resolve the issue with — </w:t>
      </w:r>
    </w:p>
    <w:p>
      <w:pPr>
        <w:pStyle w:val="Indenta"/>
        <w:rPr>
          <w:snapToGrid w:val="0"/>
        </w:rPr>
      </w:pPr>
      <w:r>
        <w:rPr>
          <w:snapToGrid w:val="0"/>
        </w:rPr>
        <w:tab/>
        <w:t>(a)</w:t>
      </w:r>
      <w:r>
        <w:rPr>
          <w:snapToGrid w:val="0"/>
        </w:rPr>
        <w:tab/>
        <w:t>the safety and health representative; or</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 or</w:t>
      </w:r>
    </w:p>
    <w:p>
      <w:pPr>
        <w:pStyle w:val="Indenta"/>
        <w:rPr>
          <w:snapToGrid w:val="0"/>
        </w:rPr>
      </w:pPr>
      <w:r>
        <w:rPr>
          <w:snapToGrid w:val="0"/>
        </w:rPr>
        <w:tab/>
        <w:t>(d)</w:t>
      </w:r>
      <w:r>
        <w:rPr>
          <w:snapToGrid w:val="0"/>
        </w:rPr>
        <w:tab/>
        <w:t>where relevant, any employer,</w:t>
      </w:r>
    </w:p>
    <w:p>
      <w:pPr>
        <w:pStyle w:val="Subsection"/>
        <w:rPr>
          <w:snapToGrid w:val="0"/>
        </w:rPr>
      </w:pPr>
      <w:r>
        <w:rPr>
          <w:snapToGrid w:val="0"/>
        </w:rPr>
        <w:tab/>
      </w:r>
      <w:r>
        <w:rPr>
          <w:snapToGrid w:val="0"/>
        </w:rPr>
        <w:tab/>
        <w:t>whichever is specified in the relevant procedure.</w:t>
      </w:r>
    </w:p>
    <w:p>
      <w:pPr>
        <w:pStyle w:val="Subsection"/>
      </w:pPr>
      <w:r>
        <w:tab/>
        <w:t>(2)</w:t>
      </w:r>
      <w:r>
        <w:tab/>
        <w:t xml:space="preserve">In subsection (1) — </w:t>
      </w:r>
    </w:p>
    <w:p>
      <w:pPr>
        <w:pStyle w:val="Defstart"/>
      </w:pPr>
      <w:r>
        <w:rPr>
          <w:b/>
        </w:rPr>
        <w:tab/>
        <w:t>“</w:t>
      </w:r>
      <w:r>
        <w:rPr>
          <w:rStyle w:val="CharDefText"/>
        </w:rPr>
        <w:t>the relevant procedure</w:t>
      </w:r>
      <w:r>
        <w:rPr>
          <w:b/>
        </w:rPr>
        <w:t>”</w:t>
      </w:r>
      <w:r>
        <w:t xml:space="preserve"> means — </w:t>
      </w:r>
    </w:p>
    <w:p>
      <w:pPr>
        <w:pStyle w:val="Defpara"/>
      </w:pPr>
      <w:r>
        <w:tab/>
        <w:t>(a)</w:t>
      </w:r>
      <w:r>
        <w:tab/>
        <w:t>the procedure agreed between the manager of the mine and the employers and employees at the mine as applying in respect of the mine concerned; or</w:t>
      </w:r>
    </w:p>
    <w:p>
      <w:pPr>
        <w:pStyle w:val="Defpara"/>
      </w:pPr>
      <w:r>
        <w:tab/>
        <w:t>(b)</w:t>
      </w:r>
      <w:r>
        <w:tab/>
        <w:t>if no procedure is so agreed, the procedure prescribed for that purpose in the regulations;</w:t>
      </w:r>
    </w:p>
    <w:p>
      <w:pPr>
        <w:pStyle w:val="Defstart"/>
      </w:pPr>
      <w:r>
        <w:rPr>
          <w:b/>
        </w:rPr>
        <w:tab/>
        <w:t>“</w:t>
      </w:r>
      <w:r>
        <w:rPr>
          <w:rStyle w:val="CharDefText"/>
        </w:rPr>
        <w:t>the safety and health representative</w:t>
      </w:r>
      <w:r>
        <w:rPr>
          <w:b/>
        </w:rPr>
        <w:t>”</w:t>
      </w:r>
      <w:r>
        <w:t xml:space="preserve"> — </w:t>
      </w:r>
    </w:p>
    <w:p>
      <w:pPr>
        <w:pStyle w:val="Defpara"/>
      </w:pPr>
      <w:r>
        <w:tab/>
        <w:t>(a)</w:t>
      </w:r>
      <w:r>
        <w:tab/>
        <w:t>if there is more than one safety and health representative for a mine, means any such representative provided for in the relevant procedure; and</w:t>
      </w:r>
    </w:p>
    <w:p>
      <w:pPr>
        <w:pStyle w:val="Defpara"/>
      </w:pPr>
      <w:r>
        <w:tab/>
        <w:t>(b)</w:t>
      </w:r>
      <w:r>
        <w:tab/>
        <w:t>may, in respect of a mine, include a safety and health representative elected for a group of employees pursuant to a scheme under section 55A if any member of the group works at the mine.</w:t>
      </w:r>
    </w:p>
    <w:p>
      <w:pPr>
        <w:pStyle w:val="Subsection"/>
        <w:keepNext/>
        <w:keepLines/>
        <w:rPr>
          <w:snapToGrid w:val="0"/>
        </w:rPr>
      </w:pPr>
      <w:r>
        <w:tab/>
        <w:t>(3)</w:t>
      </w:r>
      <w:r>
        <w:tab/>
      </w:r>
      <w:r>
        <w:rPr>
          <w:snapToGrid w:val="0"/>
        </w:rPr>
        <w:t xml:space="preserve">Where attempts to resolve an issue as mentioned in subsection (1) do not succeed and — </w:t>
      </w:r>
    </w:p>
    <w:p>
      <w:pPr>
        <w:pStyle w:val="Indenta"/>
        <w:rPr>
          <w:snapToGrid w:val="0"/>
        </w:rPr>
      </w:pPr>
      <w:r>
        <w:rPr>
          <w:snapToGrid w:val="0"/>
        </w:rPr>
        <w:tab/>
        <w:t>(a)</w:t>
      </w:r>
      <w:r>
        <w:rPr>
          <w:snapToGrid w:val="0"/>
        </w:rPr>
        <w:tab/>
        <w:t xml:space="preserve">one or more safety and health representatives are provided for in the relevant procedure under subsection (1); and </w:t>
      </w:r>
    </w:p>
    <w:p>
      <w:pPr>
        <w:pStyle w:val="Indenta"/>
        <w:rPr>
          <w:snapToGrid w:val="0"/>
        </w:rPr>
      </w:pPr>
      <w:r>
        <w:rPr>
          <w:snapToGrid w:val="0"/>
        </w:rPr>
        <w:tab/>
        <w:t>(b)</w:t>
      </w:r>
      <w:r>
        <w:rPr>
          <w:snapToGrid w:val="0"/>
        </w:rPr>
        <w:tab/>
        <w:t>there is a safety and health committee,</w:t>
      </w:r>
    </w:p>
    <w:p>
      <w:pPr>
        <w:pStyle w:val="Subsection"/>
        <w:rPr>
          <w:snapToGrid w:val="0"/>
        </w:rPr>
      </w:pPr>
      <w:r>
        <w:rPr>
          <w:snapToGrid w:val="0"/>
        </w:rPr>
        <w:tab/>
      </w:r>
      <w:r>
        <w:rPr>
          <w:snapToGrid w:val="0"/>
        </w:rPr>
        <w:tab/>
        <w:t>in respect of the mine concerned, the safety and health representative or representatives must refer the issue to the safety and health committee for it to attempt to resolve the issue.</w:t>
      </w:r>
    </w:p>
    <w:p>
      <w:pPr>
        <w:pStyle w:val="Subsection"/>
        <w:rPr>
          <w:snapToGrid w:val="0"/>
        </w:rPr>
      </w:pPr>
      <w:r>
        <w:rPr>
          <w:snapToGrid w:val="0"/>
        </w:rPr>
        <w:tab/>
        <w:t>(4)</w:t>
      </w:r>
      <w:r>
        <w:rPr>
          <w:snapToGrid w:val="0"/>
        </w:rPr>
        <w:tab/>
        <w:t>A person who contravenes subsection (1) or (3) commits an offence.</w:t>
      </w:r>
    </w:p>
    <w:p>
      <w:pPr>
        <w:pStyle w:val="Footnotesection"/>
      </w:pPr>
      <w:r>
        <w:tab/>
        <w:t xml:space="preserve">[Section 70 amended by No. 30 of 1995 s. 76(3) and (4); No. 68 of 2004 s. 69.] </w:t>
      </w:r>
    </w:p>
    <w:p>
      <w:pPr>
        <w:pStyle w:val="Heading5"/>
        <w:rPr>
          <w:snapToGrid w:val="0"/>
        </w:rPr>
      </w:pPr>
      <w:bookmarkStart w:id="178" w:name="_Toc192041189"/>
      <w:r>
        <w:rPr>
          <w:rStyle w:val="CharSectno"/>
        </w:rPr>
        <w:t>71</w:t>
      </w:r>
      <w:r>
        <w:rPr>
          <w:snapToGrid w:val="0"/>
        </w:rPr>
        <w:t>.</w:t>
      </w:r>
      <w:r>
        <w:rPr>
          <w:snapToGrid w:val="0"/>
        </w:rPr>
        <w:tab/>
        <w:t>Inspector may be notified where issue unresolved</w:t>
      </w:r>
      <w:bookmarkEnd w:id="178"/>
      <w:r>
        <w:rPr>
          <w:snapToGrid w:val="0"/>
        </w:rPr>
        <w:t xml:space="preserve"> </w:t>
      </w:r>
    </w:p>
    <w:p>
      <w:pPr>
        <w:pStyle w:val="Subsection"/>
        <w:rPr>
          <w:snapToGrid w:val="0"/>
        </w:rPr>
      </w:pPr>
      <w:r>
        <w:rPr>
          <w:snapToGrid w:val="0"/>
        </w:rPr>
        <w:tab/>
        <w:t>(1)</w:t>
      </w:r>
      <w:r>
        <w:rPr>
          <w:snapToGrid w:val="0"/>
        </w:rPr>
        <w:tab/>
        <w: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t>
      </w:r>
    </w:p>
    <w:p>
      <w:pPr>
        <w:pStyle w:val="Subsection"/>
        <w:rPr>
          <w:snapToGrid w:val="0"/>
        </w:rPr>
      </w:pPr>
      <w:r>
        <w:rPr>
          <w:snapToGrid w:val="0"/>
        </w:rPr>
        <w:tab/>
        <w:t>(2)</w:t>
      </w:r>
      <w:r>
        <w:rPr>
          <w:snapToGrid w:val="0"/>
        </w:rPr>
        <w:tab/>
        <w:t>A district inspector, upon being notified of an unresolved issue under subsection (1), must attend without delay at the mine and either — </w:t>
      </w:r>
    </w:p>
    <w:p>
      <w:pPr>
        <w:pStyle w:val="Indenta"/>
        <w:rPr>
          <w:snapToGrid w:val="0"/>
        </w:rPr>
      </w:pPr>
      <w:r>
        <w:rPr>
          <w:snapToGrid w:val="0"/>
        </w:rPr>
        <w:tab/>
        <w:t>(a)</w:t>
      </w:r>
      <w:r>
        <w:rPr>
          <w:snapToGrid w:val="0"/>
        </w:rPr>
        <w:tab/>
        <w:t>take such action under this Act, including action under</w:t>
      </w:r>
      <w:r>
        <w:t xml:space="preserve"> Part 3 Division 3</w:t>
      </w:r>
      <w:r>
        <w:rPr>
          <w:snapToGrid w:val="0"/>
        </w:rPr>
        <w:t>, as the inspector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71 amended by No. 30 of 1995 s. 76(4); No. 68 of 2004 s. 78.] </w:t>
      </w:r>
    </w:p>
    <w:p>
      <w:pPr>
        <w:pStyle w:val="Heading5"/>
        <w:rPr>
          <w:snapToGrid w:val="0"/>
        </w:rPr>
      </w:pPr>
      <w:bookmarkStart w:id="179" w:name="_Toc192041190"/>
      <w:r>
        <w:rPr>
          <w:rStyle w:val="CharSectno"/>
        </w:rPr>
        <w:t>72</w:t>
      </w:r>
      <w:r>
        <w:rPr>
          <w:snapToGrid w:val="0"/>
        </w:rPr>
        <w:t>.</w:t>
      </w:r>
      <w:r>
        <w:rPr>
          <w:snapToGrid w:val="0"/>
        </w:rPr>
        <w:tab/>
        <w:t>Refusal by employee to work in certain cases</w:t>
      </w:r>
      <w:bookmarkEnd w:id="179"/>
      <w:r>
        <w:rPr>
          <w:snapToGrid w:val="0"/>
        </w:rPr>
        <w:t xml:space="preserve"> </w:t>
      </w:r>
    </w:p>
    <w:p>
      <w:pPr>
        <w:pStyle w:val="Subsection"/>
        <w:rPr>
          <w:snapToGrid w:val="0"/>
        </w:rPr>
      </w:pPr>
      <w:r>
        <w:rPr>
          <w:snapToGrid w:val="0"/>
        </w:rPr>
        <w:tab/>
        <w:t>(1)</w:t>
      </w:r>
      <w:r>
        <w:rPr>
          <w:snapToGrid w:val="0"/>
        </w:rPr>
        <w:tab/>
        <w: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t>
      </w:r>
    </w:p>
    <w:p>
      <w:pPr>
        <w:pStyle w:val="Subsection"/>
        <w:rPr>
          <w:snapToGrid w:val="0"/>
        </w:rPr>
      </w:pPr>
      <w:r>
        <w:rPr>
          <w:snapToGrid w:val="0"/>
        </w:rPr>
        <w:tab/>
        <w:t>(1a)</w:t>
      </w:r>
      <w:r>
        <w:rPr>
          <w:snapToGrid w:val="0"/>
        </w:rPr>
        <w:tab/>
        <w:t>In determining whether an employee has reasonable grounds for the belief referred to in subsection (1) it is relevant to consider whether a district inspector has attended the workplace upon being notified under section 71(1) of the risk and whether — </w:t>
      </w:r>
    </w:p>
    <w:p>
      <w:pPr>
        <w:pStyle w:val="Indenta"/>
        <w:rPr>
          <w:snapToGrid w:val="0"/>
        </w:rPr>
      </w:pPr>
      <w:r>
        <w:rPr>
          <w:snapToGrid w:val="0"/>
        </w:rPr>
        <w:tab/>
        <w:t>(a)</w:t>
      </w:r>
      <w:r>
        <w:rPr>
          <w:snapToGrid w:val="0"/>
        </w:rPr>
        <w:tab/>
        <w:t>the measures, if any, required by the district inspector to be taken to remedy the matters giving rise to the risk have been taken;</w:t>
      </w:r>
    </w:p>
    <w:p>
      <w:pPr>
        <w:pStyle w:val="Indenta"/>
        <w:rPr>
          <w:snapToGrid w:val="0"/>
        </w:rPr>
      </w:pPr>
      <w:r>
        <w:rPr>
          <w:snapToGrid w:val="0"/>
        </w:rPr>
        <w:tab/>
        <w:t>(b)</w:t>
      </w:r>
      <w:r>
        <w:rPr>
          <w:snapToGrid w:val="0"/>
        </w:rPr>
        <w:tab/>
        <w:t>the requirements, if any, of the district inspector to remedy the matters giving rise to the risk have ceased to have effect; or</w:t>
      </w:r>
    </w:p>
    <w:p>
      <w:pPr>
        <w:pStyle w:val="Indenta"/>
        <w:rPr>
          <w:snapToGrid w:val="0"/>
        </w:rPr>
      </w:pPr>
      <w:r>
        <w:rPr>
          <w:snapToGrid w:val="0"/>
        </w:rPr>
        <w:tab/>
        <w:t>(c)</w:t>
      </w:r>
      <w:r>
        <w:rPr>
          <w:snapToGrid w:val="0"/>
        </w:rPr>
        <w:tab/>
        <w:t>the district inspector has determined that no action is required to be taken under this Act.</w:t>
      </w:r>
    </w:p>
    <w:p>
      <w:pPr>
        <w:pStyle w:val="Subsection"/>
        <w:rPr>
          <w:snapToGrid w:val="0"/>
        </w:rPr>
      </w:pPr>
      <w:r>
        <w:rPr>
          <w:snapToGrid w:val="0"/>
        </w:rPr>
        <w:tab/>
        <w:t>(2)</w:t>
      </w:r>
      <w:r>
        <w:rPr>
          <w:snapToGrid w:val="0"/>
        </w:rPr>
        <w:tab/>
        <w:t>An employee who refuses to work as mentioned in subsection (1) must immediately notify — </w:t>
      </w:r>
    </w:p>
    <w:p>
      <w:pPr>
        <w:pStyle w:val="Indenta"/>
        <w:rPr>
          <w:snapToGrid w:val="0"/>
        </w:rPr>
      </w:pPr>
      <w:r>
        <w:rPr>
          <w:snapToGrid w:val="0"/>
        </w:rPr>
        <w:tab/>
        <w:t>(a)</w:t>
      </w:r>
      <w:r>
        <w:rPr>
          <w:snapToGrid w:val="0"/>
        </w:rPr>
        <w:tab/>
        <w:t>that person’s employer; and</w:t>
      </w:r>
    </w:p>
    <w:p>
      <w:pPr>
        <w:pStyle w:val="Indenta"/>
        <w:rPr>
          <w:snapToGrid w:val="0"/>
        </w:rPr>
      </w:pPr>
      <w:r>
        <w:rPr>
          <w:snapToGrid w:val="0"/>
        </w:rPr>
        <w:tab/>
        <w:t>(b)</w:t>
      </w:r>
      <w:r>
        <w:rPr>
          <w:snapToGrid w:val="0"/>
        </w:rPr>
        <w:tab/>
        <w:t>if that person’s employer is not at the mine, the manager of the mine; and</w:t>
      </w:r>
    </w:p>
    <w:p>
      <w:pPr>
        <w:pStyle w:val="Indenta"/>
        <w:rPr>
          <w:snapToGrid w:val="0"/>
        </w:rPr>
      </w:pPr>
      <w:r>
        <w:rPr>
          <w:snapToGrid w:val="0"/>
        </w:rPr>
        <w:tab/>
        <w:t>(c)</w:t>
      </w:r>
      <w:r>
        <w:rPr>
          <w:snapToGrid w:val="0"/>
        </w:rPr>
        <w:tab/>
        <w:t>if there is a safety and health representative for the mine, such safety and health representative,</w:t>
      </w:r>
    </w:p>
    <w:p>
      <w:pPr>
        <w:pStyle w:val="Subsection"/>
        <w:rPr>
          <w:snapToGrid w:val="0"/>
        </w:rPr>
      </w:pPr>
      <w:r>
        <w:rPr>
          <w:snapToGrid w:val="0"/>
        </w:rPr>
        <w:tab/>
      </w:r>
      <w:r>
        <w:rPr>
          <w:snapToGrid w:val="0"/>
        </w:rPr>
        <w:tab/>
        <w:t>and the matter shall be regarded as an issue to which section 70(1) applies.</w:t>
      </w:r>
    </w:p>
    <w:p>
      <w:pPr>
        <w:pStyle w:val="Subsection"/>
      </w:pPr>
      <w:r>
        <w:tab/>
        <w:t>(2aa)</w:t>
      </w:r>
      <w:r>
        <w:tab/>
        <w:t xml:space="preserve">In subsection (2) — </w:t>
      </w:r>
    </w:p>
    <w:p>
      <w:pPr>
        <w:pStyle w:val="Defstart"/>
      </w:pPr>
      <w:r>
        <w:rPr>
          <w:b/>
        </w:rPr>
        <w:tab/>
        <w:t>“</w:t>
      </w:r>
      <w:r>
        <w:rPr>
          <w:rStyle w:val="CharDefText"/>
        </w:rPr>
        <w:t>safety and health representative</w:t>
      </w:r>
      <w:r>
        <w:rPr>
          <w:b/>
        </w:rPr>
        <w:t>”</w:t>
      </w:r>
      <w:r>
        <w:t xml:space="preserve"> — </w:t>
      </w:r>
    </w:p>
    <w:p>
      <w:pPr>
        <w:pStyle w:val="Defpara"/>
      </w:pPr>
      <w:r>
        <w:tab/>
        <w:t>(a)</w:t>
      </w:r>
      <w:r>
        <w:tab/>
        <w:t>if there is more than one safety and health representative for the mine, means any such representative whose functions are relevant to the issues involved; and</w:t>
      </w:r>
    </w:p>
    <w:p>
      <w:pPr>
        <w:pStyle w:val="Defpara"/>
      </w:pPr>
      <w:r>
        <w:tab/>
        <w:t>(b)</w:t>
      </w:r>
      <w:r>
        <w:tab/>
        <w:t>includes a safety and health representative elected for a group of employees pursuant to a scheme under section 55A if the employee is a member of the group.</w:t>
      </w:r>
    </w:p>
    <w:p>
      <w:pPr>
        <w:pStyle w:val="Subsection"/>
        <w:rPr>
          <w:snapToGrid w:val="0"/>
        </w:rPr>
      </w:pPr>
      <w:r>
        <w:rPr>
          <w:snapToGrid w:val="0"/>
        </w:rPr>
        <w:tab/>
        <w:t>(2a)</w:t>
      </w:r>
      <w:r>
        <w:rPr>
          <w:snapToGrid w:val="0"/>
        </w:rPr>
        <w:tab/>
        <w:t>An employee who refuses to work as mentioned in subsection (1) must not leave the mine concerned until the employee has notified the employer under subsection (2) and that employer has authorised the employee to leave that mine.</w:t>
      </w:r>
    </w:p>
    <w:p>
      <w:pPr>
        <w:pStyle w:val="Subsection"/>
        <w:rPr>
          <w:snapToGrid w:val="0"/>
        </w:rPr>
      </w:pPr>
      <w:r>
        <w:rPr>
          <w:snapToGrid w:val="0"/>
        </w:rPr>
        <w:tab/>
        <w:t>(2b)</w:t>
      </w:r>
      <w:r>
        <w:rPr>
          <w:snapToGrid w:val="0"/>
        </w:rPr>
        <w:tab/>
        <w:t>Subsection (2a) does not apply if the employee has reasonable grounds to believe that to remain at the mine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An employee who contravenes subsection (2) or (2a) commits an offence.</w:t>
      </w:r>
    </w:p>
    <w:p>
      <w:pPr>
        <w:pStyle w:val="Footnotesection"/>
      </w:pPr>
      <w:r>
        <w:tab/>
        <w:t xml:space="preserve">[Section 72 amended by No. 30 of 1995 s. 69 and 76(4); No. 68 of 2004 s. 70.] </w:t>
      </w:r>
    </w:p>
    <w:p>
      <w:pPr>
        <w:pStyle w:val="Heading5"/>
        <w:rPr>
          <w:snapToGrid w:val="0"/>
        </w:rPr>
      </w:pPr>
      <w:bookmarkStart w:id="180" w:name="_Toc192041191"/>
      <w:r>
        <w:rPr>
          <w:rStyle w:val="CharSectno"/>
        </w:rPr>
        <w:t>73</w:t>
      </w:r>
      <w:r>
        <w:rPr>
          <w:snapToGrid w:val="0"/>
        </w:rPr>
        <w:t>.</w:t>
      </w:r>
      <w:r>
        <w:rPr>
          <w:snapToGrid w:val="0"/>
        </w:rPr>
        <w:tab/>
        <w:t>Assignment of other work</w:t>
      </w:r>
      <w:bookmarkEnd w:id="180"/>
      <w:r>
        <w:rPr>
          <w:snapToGrid w:val="0"/>
        </w:rPr>
        <w:t xml:space="preserve"> </w:t>
      </w:r>
    </w:p>
    <w:p>
      <w:pPr>
        <w:pStyle w:val="Subsection"/>
        <w:rPr>
          <w:snapToGrid w:val="0"/>
        </w:rPr>
      </w:pPr>
      <w:r>
        <w:rPr>
          <w:snapToGrid w:val="0"/>
        </w:rPr>
        <w:tab/>
      </w:r>
      <w:r>
        <w:rPr>
          <w:snapToGrid w:val="0"/>
        </w:rPr>
        <w:tab/>
        <w:t>An employee who refuses to work as mentioned in section 72(1) may be given reasonable alternative work to do until that employee resumes his or her usual work.</w:t>
      </w:r>
    </w:p>
    <w:p>
      <w:pPr>
        <w:pStyle w:val="Heading5"/>
        <w:rPr>
          <w:snapToGrid w:val="0"/>
        </w:rPr>
      </w:pPr>
      <w:bookmarkStart w:id="181" w:name="_Toc192041192"/>
      <w:r>
        <w:rPr>
          <w:rStyle w:val="CharSectno"/>
        </w:rPr>
        <w:t>74</w:t>
      </w:r>
      <w:r>
        <w:rPr>
          <w:snapToGrid w:val="0"/>
        </w:rPr>
        <w:t>.</w:t>
      </w:r>
      <w:r>
        <w:rPr>
          <w:snapToGrid w:val="0"/>
        </w:rPr>
        <w:tab/>
        <w:t>Entitlements to continue</w:t>
      </w:r>
      <w:bookmarkEnd w:id="181"/>
      <w:r>
        <w:rPr>
          <w:snapToGrid w:val="0"/>
        </w:rPr>
        <w:t xml:space="preserve"> </w:t>
      </w:r>
    </w:p>
    <w:p>
      <w:pPr>
        <w:pStyle w:val="Subsection"/>
        <w:rPr>
          <w:snapToGrid w:val="0"/>
        </w:rPr>
      </w:pPr>
      <w:r>
        <w:rPr>
          <w:snapToGrid w:val="0"/>
        </w:rPr>
        <w:tab/>
        <w:t>(1)</w:t>
      </w:r>
      <w:r>
        <w:rPr>
          <w:snapToGrid w:val="0"/>
        </w:rPr>
        <w:tab/>
        <w:t>An employee who refuses to work as mentioned in section 72(1) is entitled to receive the same pay and other benefits, if any, which that employee would have been entitled to receive if the employee had continued to do his or her usual work.</w:t>
      </w:r>
    </w:p>
    <w:p>
      <w:pPr>
        <w:pStyle w:val="Subsection"/>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mine without the authorisation of the employer as required under section 72(2a); or</w:t>
      </w:r>
    </w:p>
    <w:p>
      <w:pPr>
        <w:pStyle w:val="Indenta"/>
        <w:rPr>
          <w:snapToGrid w:val="0"/>
        </w:rPr>
      </w:pPr>
      <w:r>
        <w:rPr>
          <w:snapToGrid w:val="0"/>
        </w:rPr>
        <w:tab/>
        <w:t>(b)</w:t>
      </w:r>
      <w:r>
        <w:rPr>
          <w:snapToGrid w:val="0"/>
        </w:rPr>
        <w:tab/>
        <w:t>the employee refuses to do reasonable alternative work that the employee is given under section 73.</w:t>
      </w:r>
    </w:p>
    <w:p>
      <w:pPr>
        <w:pStyle w:val="Subsection"/>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pay and other benefits; or</w:t>
      </w:r>
    </w:p>
    <w:p>
      <w:pPr>
        <w:pStyle w:val="Indenta"/>
        <w:rPr>
          <w:snapToGrid w:val="0"/>
        </w:rPr>
      </w:pPr>
      <w:r>
        <w:rPr>
          <w:snapToGrid w:val="0"/>
        </w:rPr>
        <w:tab/>
        <w:t>(b)</w:t>
      </w:r>
      <w:r>
        <w:rPr>
          <w:snapToGrid w:val="0"/>
        </w:rPr>
        <w:tab/>
        <w:t>what pay or benefits a person is entitled to receive,</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74 amended by No. 30 of 1995 s. 70; No. 68 of 2004 s. 84(1).] </w:t>
      </w:r>
    </w:p>
    <w:p>
      <w:pPr>
        <w:pStyle w:val="Heading5"/>
        <w:rPr>
          <w:snapToGrid w:val="0"/>
        </w:rPr>
      </w:pPr>
      <w:bookmarkStart w:id="182" w:name="_Toc192041193"/>
      <w:r>
        <w:rPr>
          <w:rStyle w:val="CharSectno"/>
        </w:rPr>
        <w:t>74A</w:t>
      </w:r>
      <w:r>
        <w:rPr>
          <w:snapToGrid w:val="0"/>
        </w:rPr>
        <w:t>.</w:t>
      </w:r>
      <w:r>
        <w:rPr>
          <w:snapToGrid w:val="0"/>
        </w:rPr>
        <w:tab/>
        <w:t>Offences — refusal to work</w:t>
      </w:r>
      <w:bookmarkEnd w:id="182"/>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disentitled employee</w:t>
      </w:r>
      <w:r>
        <w:rPr>
          <w:b/>
          <w:snapToGrid w:val="0"/>
        </w:rPr>
        <w:t>”</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72(1) and who is entitled to pay and other benefits under section 74(1).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the employee had continued to work commits an offence.</w:t>
      </w:r>
    </w:p>
    <w:p>
      <w:pPr>
        <w:pStyle w:val="Subsection"/>
        <w:rPr>
          <w:snapToGrid w:val="0"/>
        </w:rPr>
      </w:pPr>
      <w:r>
        <w:rPr>
          <w:snapToGrid w:val="0"/>
        </w:rPr>
        <w:tab/>
        <w:t>(3)</w:t>
      </w:r>
      <w:r>
        <w:rPr>
          <w:snapToGrid w:val="0"/>
        </w:rPr>
        <w:tab/>
        <w:t>An employer who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xml:space="preserve"> and any order, award or agreement made or registered under that Act.</w:t>
      </w:r>
    </w:p>
    <w:p>
      <w:pPr>
        <w:pStyle w:val="Footnotesection"/>
      </w:pPr>
      <w:r>
        <w:tab/>
        <w:t xml:space="preserve">[Section 74A inserted by No. 30 of 1995 s. 71.] </w:t>
      </w:r>
    </w:p>
    <w:p>
      <w:pPr>
        <w:pStyle w:val="Heading2"/>
      </w:pPr>
      <w:bookmarkStart w:id="183" w:name="_Toc192041194"/>
      <w:r>
        <w:rPr>
          <w:rStyle w:val="CharPartNo"/>
        </w:rPr>
        <w:t>Part 7</w:t>
      </w:r>
      <w:r>
        <w:t> — </w:t>
      </w:r>
      <w:r>
        <w:rPr>
          <w:rStyle w:val="CharPartText"/>
        </w:rPr>
        <w:t>Specific duties relating to occupational safety and health</w:t>
      </w:r>
      <w:bookmarkEnd w:id="183"/>
      <w:r>
        <w:rPr>
          <w:rStyle w:val="CharPartText"/>
        </w:rPr>
        <w:t xml:space="preserve"> </w:t>
      </w:r>
    </w:p>
    <w:p>
      <w:pPr>
        <w:pStyle w:val="Footnoteheading"/>
      </w:pPr>
      <w:r>
        <w:tab/>
        <w:t xml:space="preserve">[Heading amended by No. 30 of 1995 s. 76(1).] </w:t>
      </w:r>
    </w:p>
    <w:p>
      <w:pPr>
        <w:pStyle w:val="Heading3"/>
        <w:rPr>
          <w:snapToGrid w:val="0"/>
        </w:rPr>
      </w:pPr>
      <w:bookmarkStart w:id="184" w:name="_Toc192041195"/>
      <w:r>
        <w:rPr>
          <w:rStyle w:val="CharDivNo"/>
        </w:rPr>
        <w:t>Division 1</w:t>
      </w:r>
      <w:r>
        <w:rPr>
          <w:snapToGrid w:val="0"/>
        </w:rPr>
        <w:t> — </w:t>
      </w:r>
      <w:r>
        <w:rPr>
          <w:rStyle w:val="CharDivText"/>
        </w:rPr>
        <w:t>Health surveillance</w:t>
      </w:r>
      <w:bookmarkEnd w:id="184"/>
      <w:r>
        <w:rPr>
          <w:rStyle w:val="CharDivText"/>
        </w:rPr>
        <w:t xml:space="preserve"> </w:t>
      </w:r>
    </w:p>
    <w:p>
      <w:pPr>
        <w:pStyle w:val="Heading5"/>
        <w:rPr>
          <w:snapToGrid w:val="0"/>
        </w:rPr>
      </w:pPr>
      <w:bookmarkStart w:id="185" w:name="_Toc192041196"/>
      <w:r>
        <w:rPr>
          <w:rStyle w:val="CharSectno"/>
        </w:rPr>
        <w:t>75</w:t>
      </w:r>
      <w:r>
        <w:rPr>
          <w:snapToGrid w:val="0"/>
        </w:rPr>
        <w:t>.</w:t>
      </w:r>
      <w:r>
        <w:rPr>
          <w:snapToGrid w:val="0"/>
        </w:rPr>
        <w:tab/>
        <w:t>Health surveillance of mine employees</w:t>
      </w:r>
      <w:bookmarkEnd w:id="185"/>
      <w:r>
        <w:rPr>
          <w:snapToGrid w:val="0"/>
        </w:rPr>
        <w:t xml:space="preserve"> </w:t>
      </w:r>
    </w:p>
    <w:p>
      <w:pPr>
        <w:pStyle w:val="Subsection"/>
        <w:rPr>
          <w:snapToGrid w:val="0"/>
        </w:rPr>
      </w:pPr>
      <w:r>
        <w:rPr>
          <w:snapToGrid w:val="0"/>
        </w:rPr>
        <w:tab/>
        <w:t>(1)</w:t>
      </w:r>
      <w:r>
        <w:rPr>
          <w:snapToGrid w:val="0"/>
        </w:rPr>
        <w:tab/>
        <w:t>The principal employer and every employer at a mine must establish and maintain a system for the surveillance of the health of their employees in accordance with the regulations.</w:t>
      </w:r>
    </w:p>
    <w:p>
      <w:pPr>
        <w:pStyle w:val="Subsection"/>
        <w:rPr>
          <w:snapToGrid w:val="0"/>
        </w:rPr>
      </w:pPr>
      <w:r>
        <w:rPr>
          <w:snapToGrid w:val="0"/>
        </w:rPr>
        <w:tab/>
        <w:t>(2)</w:t>
      </w:r>
      <w:r>
        <w:rPr>
          <w:snapToGrid w:val="0"/>
        </w:rPr>
        <w:tab/>
        <w:t>The principal employer and every employer at a mine must provide information to the State mining engineer on the surveillance of the health of their employees in accordance with the regulations.</w:t>
      </w:r>
    </w:p>
    <w:p>
      <w:pPr>
        <w:pStyle w:val="Subsection"/>
        <w:rPr>
          <w:snapToGrid w:val="0"/>
        </w:rPr>
      </w:pPr>
      <w:r>
        <w:rPr>
          <w:snapToGrid w:val="0"/>
        </w:rPr>
        <w:tab/>
        <w:t>(3)</w:t>
      </w:r>
      <w:r>
        <w:rPr>
          <w:snapToGrid w:val="0"/>
        </w:rPr>
        <w:tab/>
        <w:t>A principal employer or employer who contravenes subsection (1) or (2) commits an offence.</w:t>
      </w:r>
    </w:p>
    <w:p>
      <w:pPr>
        <w:pStyle w:val="Subsection"/>
        <w:rPr>
          <w:snapToGrid w:val="0"/>
        </w:rPr>
      </w:pPr>
      <w:r>
        <w:rPr>
          <w:snapToGrid w:val="0"/>
        </w:rPr>
        <w:tab/>
        <w:t>(4)</w:t>
      </w:r>
      <w:r>
        <w:rPr>
          <w:snapToGrid w:val="0"/>
        </w:rPr>
        <w:tab/>
        <w:t>The regulations may provide that this section does not apply to any category of employees specified in the regulations.</w:t>
      </w:r>
    </w:p>
    <w:p>
      <w:pPr>
        <w:pStyle w:val="Heading3"/>
        <w:rPr>
          <w:snapToGrid w:val="0"/>
        </w:rPr>
      </w:pPr>
      <w:bookmarkStart w:id="186" w:name="_Toc192041197"/>
      <w:r>
        <w:rPr>
          <w:rStyle w:val="CharDivNo"/>
        </w:rPr>
        <w:t>Division 2</w:t>
      </w:r>
      <w:r>
        <w:rPr>
          <w:snapToGrid w:val="0"/>
        </w:rPr>
        <w:t> — </w:t>
      </w:r>
      <w:r>
        <w:rPr>
          <w:rStyle w:val="CharDivText"/>
        </w:rPr>
        <w:t>Accidents and occurrences</w:t>
      </w:r>
      <w:bookmarkEnd w:id="186"/>
      <w:r>
        <w:rPr>
          <w:rStyle w:val="CharDivText"/>
        </w:rPr>
        <w:t xml:space="preserve"> </w:t>
      </w:r>
    </w:p>
    <w:p>
      <w:pPr>
        <w:pStyle w:val="Heading5"/>
        <w:rPr>
          <w:snapToGrid w:val="0"/>
        </w:rPr>
      </w:pPr>
      <w:bookmarkStart w:id="187" w:name="_Toc192041198"/>
      <w:r>
        <w:rPr>
          <w:rStyle w:val="CharSectno"/>
        </w:rPr>
        <w:t>76</w:t>
      </w:r>
      <w:r>
        <w:rPr>
          <w:snapToGrid w:val="0"/>
        </w:rPr>
        <w:t>.</w:t>
      </w:r>
      <w:r>
        <w:rPr>
          <w:snapToGrid w:val="0"/>
        </w:rPr>
        <w:tab/>
        <w:t>Notice of accident to be given</w:t>
      </w:r>
      <w:bookmarkEnd w:id="187"/>
      <w:r>
        <w:rPr>
          <w:snapToGrid w:val="0"/>
        </w:rPr>
        <w:t xml:space="preserve"> </w:t>
      </w:r>
    </w:p>
    <w:p>
      <w:pPr>
        <w:pStyle w:val="Subsection"/>
        <w:rPr>
          <w:snapToGrid w:val="0"/>
        </w:rPr>
      </w:pPr>
      <w:r>
        <w:rPr>
          <w:snapToGrid w:val="0"/>
        </w:rPr>
        <w:tab/>
        <w:t>(1)</w:t>
      </w:r>
      <w:r>
        <w:rPr>
          <w:snapToGrid w:val="0"/>
        </w:rPr>
        <w:tab/>
      </w:r>
      <w:r>
        <w:t>Where a person suffers injury in an accident at a mine and is disabled by that accident from performing his or her duties of employment as they were being performed at the time the accident occurred, the manager must cause notice of the accident to be given —</w:t>
      </w:r>
    </w:p>
    <w:p>
      <w:pPr>
        <w:pStyle w:val="Indenta"/>
        <w:rPr>
          <w:snapToGrid w:val="0"/>
        </w:rPr>
      </w:pPr>
      <w:r>
        <w:rPr>
          <w:snapToGrid w:val="0"/>
        </w:rPr>
        <w:tab/>
        <w:t>(a)</w:t>
      </w:r>
      <w:r>
        <w:rPr>
          <w:snapToGrid w:val="0"/>
        </w:rPr>
        <w:tab/>
        <w:t>in accordance with the regulations, to the district inspector for the region in which the mine is situated; and</w:t>
      </w:r>
    </w:p>
    <w:p>
      <w:pPr>
        <w:pStyle w:val="Indenta"/>
        <w:rPr>
          <w:snapToGrid w:val="0"/>
        </w:rPr>
      </w:pPr>
      <w:r>
        <w:rPr>
          <w:snapToGrid w:val="0"/>
        </w:rPr>
        <w:tab/>
        <w:t>(b)</w:t>
      </w:r>
      <w:r>
        <w:rPr>
          <w:snapToGrid w:val="0"/>
        </w:rPr>
        <w:tab/>
        <w:t>if the injured person so requests, to the secretary or local representative of a trade union of which that person is a member.</w:t>
      </w:r>
    </w:p>
    <w:p>
      <w:pPr>
        <w:pStyle w:val="Subsection"/>
        <w:spacing w:before="140"/>
        <w:rPr>
          <w:snapToGrid w:val="0"/>
        </w:rPr>
      </w:pPr>
      <w:r>
        <w:rPr>
          <w:snapToGrid w:val="0"/>
        </w:rPr>
        <w:tab/>
        <w:t>(2)</w:t>
      </w:r>
      <w:r>
        <w:rPr>
          <w:snapToGrid w:val="0"/>
        </w:rPr>
        <w:tab/>
        <w:t>The notice required to be given under subsection (1) must — </w:t>
      </w:r>
    </w:p>
    <w:p>
      <w:pPr>
        <w:pStyle w:val="Indenta"/>
        <w:rPr>
          <w:snapToGrid w:val="0"/>
        </w:rPr>
      </w:pPr>
      <w:r>
        <w:rPr>
          <w:snapToGrid w:val="0"/>
        </w:rPr>
        <w:tab/>
        <w:t>(a)</w:t>
      </w:r>
      <w:r>
        <w:rPr>
          <w:snapToGrid w:val="0"/>
        </w:rPr>
        <w:tab/>
        <w:t>if the injury appears to be serious, be given by the fastest practicable method of communication as soon as it is reasonably practicable to do so, and must subsequently be confirmed in writing; and</w:t>
      </w:r>
    </w:p>
    <w:p>
      <w:pPr>
        <w:pStyle w:val="Indenta"/>
        <w:rPr>
          <w:snapToGrid w:val="0"/>
        </w:rPr>
      </w:pPr>
      <w:r>
        <w:rPr>
          <w:snapToGrid w:val="0"/>
        </w:rPr>
        <w:tab/>
        <w:t>(b)</w:t>
      </w:r>
      <w:r>
        <w:rPr>
          <w:snapToGrid w:val="0"/>
        </w:rPr>
        <w:tab/>
        <w:t>if the injury appears not to be serious, be given in writing at the end of the month.</w:t>
      </w:r>
    </w:p>
    <w:p>
      <w:pPr>
        <w:pStyle w:val="Subsection"/>
        <w:spacing w:before="140"/>
        <w:rPr>
          <w:snapToGrid w:val="0"/>
        </w:rPr>
      </w:pPr>
      <w:r>
        <w:rPr>
          <w:snapToGrid w:val="0"/>
        </w:rPr>
        <w:tab/>
        <w:t>(3)</w:t>
      </w:r>
      <w:r>
        <w:rPr>
          <w:snapToGrid w:val="0"/>
        </w:rPr>
        <w:tab/>
        <w:t>A manager who — </w:t>
      </w:r>
    </w:p>
    <w:p>
      <w:pPr>
        <w:pStyle w:val="Indenta"/>
        <w:rPr>
          <w:snapToGrid w:val="0"/>
        </w:rPr>
      </w:pPr>
      <w:r>
        <w:rPr>
          <w:snapToGrid w:val="0"/>
        </w:rPr>
        <w:tab/>
        <w:t>(a)</w:t>
      </w:r>
      <w:r>
        <w:rPr>
          <w:snapToGrid w:val="0"/>
        </w:rPr>
        <w:tab/>
        <w:t>omits to give a notice required to be given by subsection (1); or</w:t>
      </w:r>
    </w:p>
    <w:p>
      <w:pPr>
        <w:pStyle w:val="Indenta"/>
        <w:rPr>
          <w:snapToGrid w:val="0"/>
        </w:rPr>
      </w:pPr>
      <w:r>
        <w:rPr>
          <w:snapToGrid w:val="0"/>
        </w:rPr>
        <w:tab/>
        <w:t>(b)</w:t>
      </w:r>
      <w:r>
        <w:rPr>
          <w:snapToGrid w:val="0"/>
        </w:rPr>
        <w:tab/>
        <w:t>fails without reasonable excuse to give a notice required to be given by subsection (1) in accordance with subsection (2),</w:t>
      </w:r>
    </w:p>
    <w:p>
      <w:pPr>
        <w:pStyle w:val="Subsection"/>
        <w:spacing w:before="140"/>
        <w:rPr>
          <w:snapToGrid w:val="0"/>
        </w:rPr>
      </w:pPr>
      <w:r>
        <w:rPr>
          <w:snapToGrid w:val="0"/>
        </w:rPr>
        <w:tab/>
      </w:r>
      <w:r>
        <w:rPr>
          <w:snapToGrid w:val="0"/>
        </w:rPr>
        <w:tab/>
        <w:t>commits an offence, unless the required notice was given by the principal employer at the mine.</w:t>
      </w:r>
    </w:p>
    <w:p>
      <w:pPr>
        <w:pStyle w:val="Subsection"/>
        <w:spacing w:before="140"/>
        <w:rPr>
          <w:snapToGrid w:val="0"/>
        </w:rPr>
      </w:pPr>
      <w:r>
        <w:rPr>
          <w:snapToGrid w:val="0"/>
        </w:rPr>
        <w:tab/>
        <w:t>(4)</w:t>
      </w:r>
      <w:r>
        <w:rPr>
          <w:snapToGrid w:val="0"/>
        </w:rPr>
        <w:tab/>
        <w:t>An injury is a serious injury for the purposes of this section if the injury — </w:t>
      </w:r>
    </w:p>
    <w:p>
      <w:pPr>
        <w:pStyle w:val="Indenta"/>
        <w:rPr>
          <w:snapToGrid w:val="0"/>
        </w:rPr>
      </w:pPr>
      <w:r>
        <w:rPr>
          <w:snapToGrid w:val="0"/>
        </w:rPr>
        <w:tab/>
        <w:t>(a)</w:t>
      </w:r>
      <w:r>
        <w:rPr>
          <w:snapToGrid w:val="0"/>
        </w:rPr>
        <w:tab/>
        <w:t>results in the injured person being disabled from following his or her ordinary occupation for a period of 2 weeks or more; or</w:t>
      </w:r>
    </w:p>
    <w:p>
      <w:pPr>
        <w:pStyle w:val="Indenta"/>
        <w:rPr>
          <w:snapToGrid w:val="0"/>
        </w:rPr>
      </w:pPr>
      <w:r>
        <w:rPr>
          <w:snapToGrid w:val="0"/>
        </w:rPr>
        <w:tab/>
        <w:t>(b)</w:t>
      </w:r>
      <w:r>
        <w:rPr>
          <w:snapToGrid w:val="0"/>
        </w:rPr>
        <w:tab/>
        <w:t>involves unconsciousness arising from inhalation of fumes or poisonous gases or asphyxiation due to lack of oxygen or displacement of oxygen by an inert gas; or</w:t>
      </w:r>
    </w:p>
    <w:p>
      <w:pPr>
        <w:pStyle w:val="Indenta"/>
        <w:rPr>
          <w:snapToGrid w:val="0"/>
        </w:rPr>
      </w:pPr>
      <w:r>
        <w:rPr>
          <w:snapToGrid w:val="0"/>
        </w:rPr>
        <w:tab/>
        <w:t>(c)</w:t>
      </w:r>
      <w:r>
        <w:rPr>
          <w:snapToGrid w:val="0"/>
        </w:rPr>
        <w:tab/>
        <w:t>results from an accident, including fuming, arising out of the use of explosives.</w:t>
      </w:r>
    </w:p>
    <w:p>
      <w:pPr>
        <w:pStyle w:val="Footnotesection"/>
      </w:pPr>
      <w:r>
        <w:tab/>
        <w:t>[Section 76 amended by No. 7 of 2004 s. 70; No. 68 of 2004 s. 85A.]</w:t>
      </w:r>
    </w:p>
    <w:p>
      <w:pPr>
        <w:pStyle w:val="Heading5"/>
        <w:rPr>
          <w:snapToGrid w:val="0"/>
        </w:rPr>
      </w:pPr>
      <w:bookmarkStart w:id="188" w:name="_Toc192041199"/>
      <w:r>
        <w:rPr>
          <w:rStyle w:val="CharSectno"/>
        </w:rPr>
        <w:t>77</w:t>
      </w:r>
      <w:r>
        <w:rPr>
          <w:snapToGrid w:val="0"/>
        </w:rPr>
        <w:t>.</w:t>
      </w:r>
      <w:r>
        <w:rPr>
          <w:snapToGrid w:val="0"/>
        </w:rPr>
        <w:tab/>
        <w:t>Recording of accidents in accident log book</w:t>
      </w:r>
      <w:bookmarkEnd w:id="188"/>
      <w:r>
        <w:rPr>
          <w:snapToGrid w:val="0"/>
        </w:rPr>
        <w:t xml:space="preserve"> </w:t>
      </w:r>
    </w:p>
    <w:p>
      <w:pPr>
        <w:pStyle w:val="Subsection"/>
        <w:spacing w:before="140"/>
        <w:rPr>
          <w:snapToGrid w:val="0"/>
        </w:rPr>
      </w:pPr>
      <w:r>
        <w:rPr>
          <w:snapToGrid w:val="0"/>
        </w:rPr>
        <w:tab/>
        <w:t>(1)</w:t>
      </w:r>
      <w:r>
        <w:rPr>
          <w:snapToGrid w:val="0"/>
        </w:rPr>
        <w:tab/>
        <w:t>The manager must cause to be kept at the mine a book of a type approved by the State mining engineer and called the accident log book, and must after the occurrence of any accident cause a record of the accident to be entered without delay in the book.</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manager must ensure that the accident log book is kept open at all reasonable times to the examination of an inspector, an assistant inspector, a safety and health representative for the mine, a representative of a trade union any member of which is employed at the mine, and of any other person authorised by the State mining engineer.</w:t>
      </w:r>
    </w:p>
    <w:p>
      <w:pPr>
        <w:pStyle w:val="Penstart"/>
        <w:rPr>
          <w:snapToGrid w:val="0"/>
        </w:rPr>
      </w:pPr>
      <w:r>
        <w:rPr>
          <w:snapToGrid w:val="0"/>
        </w:rPr>
        <w:tab/>
        <w:t>Penalty: $5 000.</w:t>
      </w:r>
    </w:p>
    <w:p>
      <w:pPr>
        <w:pStyle w:val="Subsection"/>
      </w:pPr>
      <w:r>
        <w:tab/>
        <w:t>(3)</w:t>
      </w:r>
      <w:r>
        <w:tab/>
        <w:t xml:space="preserve">In subsection (2) — </w:t>
      </w:r>
    </w:p>
    <w:p>
      <w:pPr>
        <w:pStyle w:val="Defstart"/>
      </w:pPr>
      <w:r>
        <w:rPr>
          <w:b/>
        </w:rPr>
        <w:tab/>
        <w:t>“</w:t>
      </w:r>
      <w:r>
        <w:rPr>
          <w:rStyle w:val="CharDefText"/>
        </w:rPr>
        <w:t>safety and health representative for the mine</w:t>
      </w:r>
      <w:r>
        <w:rPr>
          <w:b/>
        </w:rPr>
        <w:t xml:space="preserve">” </w:t>
      </w:r>
      <w:r>
        <w:t>includes a safety and health representative elected for a group of employees pursuant to a scheme under section 55A if any member of the group works at the mine.</w:t>
      </w:r>
    </w:p>
    <w:p>
      <w:pPr>
        <w:pStyle w:val="Footnotesection"/>
      </w:pPr>
      <w:r>
        <w:tab/>
        <w:t xml:space="preserve">[Section 77 amended by No. 57 of 1997 s. 88(3); No. 68 of 2004 s. 71.] </w:t>
      </w:r>
    </w:p>
    <w:p>
      <w:pPr>
        <w:pStyle w:val="Heading5"/>
        <w:rPr>
          <w:snapToGrid w:val="0"/>
        </w:rPr>
      </w:pPr>
      <w:bookmarkStart w:id="189" w:name="_Toc192041200"/>
      <w:r>
        <w:rPr>
          <w:rStyle w:val="CharSectno"/>
        </w:rPr>
        <w:t>78</w:t>
      </w:r>
      <w:r>
        <w:rPr>
          <w:snapToGrid w:val="0"/>
        </w:rPr>
        <w:t>.</w:t>
      </w:r>
      <w:r>
        <w:rPr>
          <w:snapToGrid w:val="0"/>
        </w:rPr>
        <w:tab/>
        <w:t>Recording of occurrences in the record book</w:t>
      </w:r>
      <w:bookmarkEnd w:id="189"/>
      <w:r>
        <w:rPr>
          <w:snapToGrid w:val="0"/>
        </w:rPr>
        <w:t xml:space="preserve"> </w:t>
      </w:r>
    </w:p>
    <w:p>
      <w:pPr>
        <w:pStyle w:val="Subsection"/>
        <w:rPr>
          <w:snapToGrid w:val="0"/>
        </w:rPr>
      </w:pPr>
      <w:r>
        <w:rPr>
          <w:snapToGrid w:val="0"/>
        </w:rPr>
        <w:tab/>
        <w:t>(1)</w:t>
      </w:r>
      <w:r>
        <w:rPr>
          <w:snapToGrid w:val="0"/>
        </w:rPr>
        <w:tab/>
        <w: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manager must without delay record particulars of an occurrence to which this section applies in the record book.</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section applies to an occurrence of — </w:t>
      </w:r>
    </w:p>
    <w:p>
      <w:pPr>
        <w:pStyle w:val="Indenta"/>
        <w:rPr>
          <w:snapToGrid w:val="0"/>
        </w:rPr>
      </w:pPr>
      <w:r>
        <w:rPr>
          <w:snapToGrid w:val="0"/>
        </w:rPr>
        <w:tab/>
        <w:t>(a)</w:t>
      </w:r>
      <w:r>
        <w:rPr>
          <w:snapToGrid w:val="0"/>
        </w:rPr>
        <w:tab/>
        <w:t>any extensive subsidence, settlement or fall of ground or any major collapse of any part of the operations of a mine, or any earth movement caused by a seismic event; or</w:t>
      </w:r>
    </w:p>
    <w:p>
      <w:pPr>
        <w:pStyle w:val="Indenta"/>
        <w:rPr>
          <w:snapToGrid w:val="0"/>
        </w:rPr>
      </w:pPr>
      <w:r>
        <w:rPr>
          <w:snapToGrid w:val="0"/>
        </w:rPr>
        <w:tab/>
        <w:t>(b)</w:t>
      </w:r>
      <w:r>
        <w:rPr>
          <w:snapToGrid w:val="0"/>
        </w:rPr>
        <w:tab/>
        <w:t>any outbreak of fire above or below ground in any mine; or</w:t>
      </w:r>
    </w:p>
    <w:p>
      <w:pPr>
        <w:pStyle w:val="Indenta"/>
        <w:rPr>
          <w:snapToGrid w:val="0"/>
        </w:rPr>
      </w:pPr>
      <w:r>
        <w:rPr>
          <w:snapToGrid w:val="0"/>
        </w:rPr>
        <w:tab/>
        <w:t>(c)</w:t>
      </w:r>
      <w:r>
        <w:rPr>
          <w:snapToGrid w:val="0"/>
        </w:rPr>
        <w:tab/>
        <w:t>any breakage of a rope, cable, chain or other gear by which persons are raised or lowered; or</w:t>
      </w:r>
    </w:p>
    <w:p>
      <w:pPr>
        <w:pStyle w:val="Indenta"/>
        <w:rPr>
          <w:snapToGrid w:val="0"/>
        </w:rPr>
      </w:pPr>
      <w:r>
        <w:rPr>
          <w:snapToGrid w:val="0"/>
        </w:rPr>
        <w:tab/>
        <w:t>(d)</w:t>
      </w:r>
      <w:r>
        <w:rPr>
          <w:snapToGrid w:val="0"/>
        </w:rPr>
        <w:tab/>
        <w:t>any inrush of water from old underground operations or other source; or</w:t>
      </w:r>
    </w:p>
    <w:p>
      <w:pPr>
        <w:pStyle w:val="Indenta"/>
        <w:rPr>
          <w:snapToGrid w:val="0"/>
        </w:rPr>
      </w:pPr>
      <w:r>
        <w:rPr>
          <w:snapToGrid w:val="0"/>
        </w:rPr>
        <w:tab/>
        <w:t>(e)</w:t>
      </w:r>
      <w:r>
        <w:rPr>
          <w:snapToGrid w:val="0"/>
        </w:rPr>
        <w:tab/>
        <w:t>any accidental ignition of dust below ground or the discovery of the presence of potentially harmful or asphyxiant gas or an outburst of such gas in any part of a mine; or</w:t>
      </w:r>
    </w:p>
    <w:p>
      <w:pPr>
        <w:pStyle w:val="Indenta"/>
        <w:rPr>
          <w:snapToGrid w:val="0"/>
        </w:rPr>
      </w:pPr>
      <w:r>
        <w:rPr>
          <w:snapToGrid w:val="0"/>
        </w:rPr>
        <w:tab/>
        <w:t>(f)</w:t>
      </w:r>
      <w:r>
        <w:rPr>
          <w:snapToGrid w:val="0"/>
        </w:rPr>
        <w:tab/>
        <w:t>any accidental ignition or detonation of explosives, or any delayed or fast ignition of explosives; or</w:t>
      </w:r>
    </w:p>
    <w:p>
      <w:pPr>
        <w:pStyle w:val="Indenta"/>
        <w:rPr>
          <w:snapToGrid w:val="0"/>
        </w:rPr>
      </w:pPr>
      <w:r>
        <w:rPr>
          <w:snapToGrid w:val="0"/>
        </w:rPr>
        <w:tab/>
        <w:t>(g)</w:t>
      </w:r>
      <w:r>
        <w:rPr>
          <w:snapToGrid w:val="0"/>
        </w:rPr>
        <w:tab/>
        <w:t>any explosion or bursting of compressed air receivers, boilers, or pressure vessels; or</w:t>
      </w:r>
    </w:p>
    <w:p>
      <w:pPr>
        <w:pStyle w:val="Indenta"/>
        <w:rPr>
          <w:snapToGrid w:val="0"/>
        </w:rPr>
      </w:pPr>
      <w:r>
        <w:rPr>
          <w:snapToGrid w:val="0"/>
        </w:rPr>
        <w:tab/>
        <w:t>(h)</w:t>
      </w:r>
      <w:r>
        <w:rPr>
          <w:snapToGrid w:val="0"/>
        </w:rPr>
        <w:tab/>
        <w:t>every electric shock or burn to a person and every dangerous occurrence involving electricity; or</w:t>
      </w:r>
    </w:p>
    <w:p>
      <w:pPr>
        <w:pStyle w:val="Indenta"/>
        <w:rPr>
          <w:snapToGrid w:val="0"/>
        </w:rPr>
      </w:pPr>
      <w:r>
        <w:rPr>
          <w:snapToGrid w:val="0"/>
        </w:rPr>
        <w:tab/>
        <w:t>(i)</w:t>
      </w:r>
      <w:r>
        <w:rPr>
          <w:snapToGrid w:val="0"/>
        </w:rPr>
        <w:tab/>
        <w:t>any incidence of a person being affected by poisoning or exposure to toxic gas or fumes; or</w:t>
      </w:r>
    </w:p>
    <w:p>
      <w:pPr>
        <w:pStyle w:val="Indenta"/>
        <w:rPr>
          <w:snapToGrid w:val="0"/>
        </w:rPr>
      </w:pPr>
      <w:r>
        <w:rPr>
          <w:snapToGrid w:val="0"/>
        </w:rPr>
        <w:tab/>
        <w:t>(j)</w:t>
      </w:r>
      <w:r>
        <w:rPr>
          <w:snapToGrid w:val="0"/>
        </w:rPr>
        <w:tab/>
        <w:t>any loss of control of heavy earth moving equipment, including failure of braking or steering.</w:t>
      </w:r>
    </w:p>
    <w:p>
      <w:pPr>
        <w:pStyle w:val="Heading5"/>
        <w:rPr>
          <w:snapToGrid w:val="0"/>
        </w:rPr>
      </w:pPr>
      <w:bookmarkStart w:id="190" w:name="_Toc192041201"/>
      <w:r>
        <w:rPr>
          <w:rStyle w:val="CharSectno"/>
        </w:rPr>
        <w:t>79</w:t>
      </w:r>
      <w:r>
        <w:rPr>
          <w:snapToGrid w:val="0"/>
        </w:rPr>
        <w:t>.</w:t>
      </w:r>
      <w:r>
        <w:rPr>
          <w:snapToGrid w:val="0"/>
        </w:rPr>
        <w:tab/>
        <w:t>Manager to report potentially serious occurrences</w:t>
      </w:r>
      <w:bookmarkEnd w:id="190"/>
      <w:r>
        <w:rPr>
          <w:snapToGrid w:val="0"/>
        </w:rPr>
        <w:t xml:space="preserve"> </w:t>
      </w:r>
    </w:p>
    <w:p>
      <w:pPr>
        <w:pStyle w:val="Subsection"/>
        <w:rPr>
          <w:snapToGrid w:val="0"/>
        </w:rPr>
      </w:pPr>
      <w:r>
        <w:rPr>
          <w:snapToGrid w:val="0"/>
        </w:rPr>
        <w:tab/>
        <w:t>(1)</w:t>
      </w:r>
      <w:r>
        <w:rPr>
          <w:snapToGrid w:val="0"/>
        </w:rPr>
        <w:tab/>
        <w: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t>
      </w:r>
    </w:p>
    <w:p>
      <w:pPr>
        <w:pStyle w:val="Subsection"/>
        <w:rPr>
          <w:snapToGrid w:val="0"/>
        </w:rPr>
      </w:pPr>
      <w:r>
        <w:rPr>
          <w:snapToGrid w:val="0"/>
        </w:rPr>
        <w:tab/>
        <w:t>(2)</w:t>
      </w:r>
      <w:r>
        <w:rPr>
          <w:snapToGrid w:val="0"/>
        </w:rPr>
        <w:tab/>
        <w:t xml:space="preserve">The manager must inform the district inspector as required by subsection (1) as soon as practicable after the manager has ascertained the facts and circumstances of the occurrence and, if required by the district inspector, must provide a written report on that occurrence. </w:t>
      </w:r>
    </w:p>
    <w:p>
      <w:pPr>
        <w:pStyle w:val="Heading5"/>
        <w:rPr>
          <w:snapToGrid w:val="0"/>
        </w:rPr>
      </w:pPr>
      <w:bookmarkStart w:id="191" w:name="_Toc192041202"/>
      <w:r>
        <w:rPr>
          <w:rStyle w:val="CharSectno"/>
        </w:rPr>
        <w:t>80</w:t>
      </w:r>
      <w:r>
        <w:rPr>
          <w:snapToGrid w:val="0"/>
        </w:rPr>
        <w:t>.</w:t>
      </w:r>
      <w:r>
        <w:rPr>
          <w:snapToGrid w:val="0"/>
        </w:rPr>
        <w:tab/>
        <w:t>Examination of accident location by trade union representatives</w:t>
      </w:r>
      <w:bookmarkEnd w:id="191"/>
      <w:r>
        <w:rPr>
          <w:snapToGrid w:val="0"/>
        </w:rPr>
        <w:t xml:space="preserve"> </w:t>
      </w:r>
    </w:p>
    <w:p>
      <w:pPr>
        <w:pStyle w:val="Subsection"/>
        <w:rPr>
          <w:snapToGrid w:val="0"/>
        </w:rPr>
      </w:pPr>
      <w:r>
        <w:rPr>
          <w:snapToGrid w:val="0"/>
        </w:rPr>
        <w:tab/>
      </w:r>
      <w:r>
        <w:rPr>
          <w:snapToGrid w:val="0"/>
        </w:rPr>
        <w:tab/>
        <w:t>Where an accident has occurred at a mine and any employee involved in that accident is a member of a trade union, a representative of that trade union is entitled to examine the place where the accident occurred.</w:t>
      </w:r>
    </w:p>
    <w:p>
      <w:pPr>
        <w:pStyle w:val="Heading5"/>
        <w:rPr>
          <w:snapToGrid w:val="0"/>
        </w:rPr>
      </w:pPr>
      <w:bookmarkStart w:id="192" w:name="_Toc192041203"/>
      <w:r>
        <w:rPr>
          <w:rStyle w:val="CharSectno"/>
        </w:rPr>
        <w:t>81</w:t>
      </w:r>
      <w:r>
        <w:rPr>
          <w:snapToGrid w:val="0"/>
        </w:rPr>
        <w:t>.</w:t>
      </w:r>
      <w:r>
        <w:rPr>
          <w:snapToGrid w:val="0"/>
        </w:rPr>
        <w:tab/>
        <w:t>Place of accident not to be disturbed</w:t>
      </w:r>
      <w:bookmarkEnd w:id="192"/>
      <w:r>
        <w:rPr>
          <w:snapToGrid w:val="0"/>
        </w:rPr>
        <w:t xml:space="preserve"> </w:t>
      </w:r>
    </w:p>
    <w:p>
      <w:pPr>
        <w:pStyle w:val="Subsection"/>
        <w:rPr>
          <w:snapToGrid w:val="0"/>
        </w:rPr>
      </w:pPr>
      <w:r>
        <w:rPr>
          <w:snapToGrid w:val="0"/>
        </w:rPr>
        <w:tab/>
      </w:r>
      <w:r>
        <w:rPr>
          <w:snapToGrid w:val="0"/>
        </w:rPr>
        <w:tab/>
        <w:t>A person must not disturb a place at a mine where an accident causing death or serious injury has occurred except with — </w:t>
      </w:r>
    </w:p>
    <w:p>
      <w:pPr>
        <w:pStyle w:val="Indenta"/>
        <w:rPr>
          <w:snapToGrid w:val="0"/>
        </w:rPr>
      </w:pPr>
      <w:r>
        <w:rPr>
          <w:snapToGrid w:val="0"/>
        </w:rPr>
        <w:tab/>
        <w:t>(a)</w:t>
      </w:r>
      <w:r>
        <w:rPr>
          <w:snapToGrid w:val="0"/>
        </w:rPr>
        <w:tab/>
        <w:t>a view to saving life or preventing injury to any person; or</w:t>
      </w:r>
    </w:p>
    <w:p>
      <w:pPr>
        <w:pStyle w:val="Indenta"/>
        <w:rPr>
          <w:snapToGrid w:val="0"/>
        </w:rPr>
      </w:pPr>
      <w:r>
        <w:rPr>
          <w:snapToGrid w:val="0"/>
        </w:rPr>
        <w:tab/>
        <w:t>(b)</w:t>
      </w:r>
      <w:r>
        <w:rPr>
          <w:snapToGrid w:val="0"/>
        </w:rPr>
        <w:tab/>
        <w:t>the permission of an inspector or, in the case of a fatal accident, the permission of a coroner.</w:t>
      </w:r>
    </w:p>
    <w:p>
      <w:pPr>
        <w:pStyle w:val="Penstart"/>
        <w:rPr>
          <w:snapToGrid w:val="0"/>
        </w:rPr>
      </w:pPr>
      <w:r>
        <w:rPr>
          <w:snapToGrid w:val="0"/>
        </w:rPr>
        <w:tab/>
        <w:t>Penalty: $25 000 in the case of a corporation and $5 000 in the case of an individual.</w:t>
      </w:r>
    </w:p>
    <w:p>
      <w:pPr>
        <w:pStyle w:val="Footnotesection"/>
      </w:pPr>
      <w:r>
        <w:tab/>
        <w:t>[Section 81 amended by No. 10 of 1998 s. 51.]</w:t>
      </w:r>
    </w:p>
    <w:p>
      <w:pPr>
        <w:pStyle w:val="Heading3"/>
        <w:rPr>
          <w:snapToGrid w:val="0"/>
        </w:rPr>
      </w:pPr>
      <w:bookmarkStart w:id="193" w:name="_Toc192041204"/>
      <w:r>
        <w:rPr>
          <w:rStyle w:val="CharDivNo"/>
        </w:rPr>
        <w:t>Division 3</w:t>
      </w:r>
      <w:r>
        <w:rPr>
          <w:snapToGrid w:val="0"/>
        </w:rPr>
        <w:t> — </w:t>
      </w:r>
      <w:r>
        <w:rPr>
          <w:rStyle w:val="CharDivText"/>
        </w:rPr>
        <w:t>Plans and records</w:t>
      </w:r>
      <w:bookmarkEnd w:id="193"/>
      <w:r>
        <w:rPr>
          <w:rStyle w:val="CharDivText"/>
        </w:rPr>
        <w:t xml:space="preserve"> </w:t>
      </w:r>
    </w:p>
    <w:p>
      <w:pPr>
        <w:pStyle w:val="Heading5"/>
        <w:rPr>
          <w:snapToGrid w:val="0"/>
        </w:rPr>
      </w:pPr>
      <w:bookmarkStart w:id="194" w:name="_Toc192041205"/>
      <w:r>
        <w:rPr>
          <w:rStyle w:val="CharSectno"/>
        </w:rPr>
        <w:t>82</w:t>
      </w:r>
      <w:r>
        <w:rPr>
          <w:snapToGrid w:val="0"/>
        </w:rPr>
        <w:t>.</w:t>
      </w:r>
      <w:r>
        <w:rPr>
          <w:snapToGrid w:val="0"/>
        </w:rPr>
        <w:tab/>
        <w:t>Mines Survey Board</w:t>
      </w:r>
      <w:bookmarkEnd w:id="194"/>
      <w:r>
        <w:rPr>
          <w:snapToGrid w:val="0"/>
        </w:rPr>
        <w:t xml:space="preserve"> </w:t>
      </w:r>
    </w:p>
    <w:p>
      <w:pPr>
        <w:pStyle w:val="Subsection"/>
        <w:rPr>
          <w:snapToGrid w:val="0"/>
        </w:rPr>
      </w:pPr>
      <w:r>
        <w:rPr>
          <w:snapToGrid w:val="0"/>
        </w:rPr>
        <w:tab/>
        <w:t>(1)</w:t>
      </w:r>
      <w:r>
        <w:rPr>
          <w:snapToGrid w:val="0"/>
        </w:rPr>
        <w:tab/>
        <w:t xml:space="preserve">The Mines Survey Board established and constituted under the </w:t>
      </w:r>
      <w:r>
        <w:rPr>
          <w:i/>
          <w:snapToGrid w:val="0"/>
        </w:rPr>
        <w:t>Mines Regulation Act 1946</w:t>
      </w:r>
      <w:r>
        <w:rPr>
          <w:iCs/>
          <w:snapToGrid w:val="0"/>
        </w:rPr>
        <w:t xml:space="preserve"> (</w:t>
      </w:r>
      <w:r>
        <w:rPr>
          <w:snapToGrid w:val="0"/>
        </w:rPr>
        <w:t>repealed by this Act) is preserved and continues in existence for the purposes of this Act.</w:t>
      </w:r>
    </w:p>
    <w:p>
      <w:pPr>
        <w:pStyle w:val="Subsection"/>
        <w:rPr>
          <w:snapToGrid w:val="0"/>
        </w:rPr>
      </w:pPr>
      <w:r>
        <w:rPr>
          <w:snapToGrid w:val="0"/>
        </w:rPr>
        <w:tab/>
        <w:t>(2)</w:t>
      </w:r>
      <w:r>
        <w:rPr>
          <w:snapToGrid w:val="0"/>
        </w:rPr>
        <w:tab/>
        <w:t>The Mines Survey Board is to be constituted in the manner provided in the regulations.</w:t>
      </w:r>
    </w:p>
    <w:p>
      <w:pPr>
        <w:pStyle w:val="Subsection"/>
        <w:rPr>
          <w:snapToGrid w:val="0"/>
        </w:rPr>
      </w:pPr>
      <w:r>
        <w:rPr>
          <w:snapToGrid w:val="0"/>
        </w:rPr>
        <w:tab/>
        <w:t>(3)</w:t>
      </w:r>
      <w:r>
        <w:rPr>
          <w:snapToGrid w:val="0"/>
        </w:rPr>
        <w:tab/>
        <w:t>The functions of the Mines Survey Board are — </w:t>
      </w:r>
    </w:p>
    <w:p>
      <w:pPr>
        <w:pStyle w:val="Indenta"/>
        <w:rPr>
          <w:snapToGrid w:val="0"/>
        </w:rPr>
      </w:pPr>
      <w:r>
        <w:rPr>
          <w:snapToGrid w:val="0"/>
        </w:rPr>
        <w:tab/>
        <w:t>(a)</w:t>
      </w:r>
      <w:r>
        <w:rPr>
          <w:snapToGrid w:val="0"/>
        </w:rPr>
        <w:tab/>
        <w:t>to advise the Minister on survey matters relating to mines and mining operations, including quarries and quarry operations; and</w:t>
      </w:r>
    </w:p>
    <w:p>
      <w:pPr>
        <w:pStyle w:val="Indenta"/>
        <w:rPr>
          <w:snapToGrid w:val="0"/>
        </w:rPr>
      </w:pPr>
      <w:r>
        <w:rPr>
          <w:snapToGrid w:val="0"/>
        </w:rPr>
        <w:tab/>
        <w:t>(b)</w:t>
      </w:r>
      <w:r>
        <w:rPr>
          <w:snapToGrid w:val="0"/>
        </w:rPr>
        <w:tab/>
        <w:t>to examine the qualifications, experience and character of persons applying for authorised mine surveyor’s certificates and issue such certificates where appropriate; and</w:t>
      </w:r>
    </w:p>
    <w:p>
      <w:pPr>
        <w:pStyle w:val="Indenta"/>
        <w:rPr>
          <w:snapToGrid w:val="0"/>
        </w:rPr>
      </w:pPr>
      <w:r>
        <w:rPr>
          <w:snapToGrid w:val="0"/>
        </w:rPr>
        <w:tab/>
        <w:t>(c)</w:t>
      </w:r>
      <w:r>
        <w:rPr>
          <w:snapToGrid w:val="0"/>
        </w:rPr>
        <w:tab/>
        <w:t>to deal with complaints concerning the holders of authorised mine surveyor’s certificates and to suspend or cancel such certificates where appropriate.</w:t>
      </w:r>
    </w:p>
    <w:p>
      <w:pPr>
        <w:pStyle w:val="Subsection"/>
        <w:rPr>
          <w:snapToGrid w:val="0"/>
        </w:rPr>
      </w:pPr>
      <w:r>
        <w:rPr>
          <w:snapToGrid w:val="0"/>
        </w:rPr>
        <w:tab/>
        <w:t>(4)</w:t>
      </w:r>
      <w:r>
        <w:rPr>
          <w:snapToGrid w:val="0"/>
        </w:rPr>
        <w:tab/>
        <w:t>Except as provided in the regulations, the Mines Survey Board may determine its own procedure.</w:t>
      </w:r>
    </w:p>
    <w:p>
      <w:pPr>
        <w:pStyle w:val="Subsection"/>
        <w:rPr>
          <w:snapToGrid w:val="0"/>
        </w:rPr>
      </w:pPr>
      <w:r>
        <w:rPr>
          <w:snapToGrid w:val="0"/>
        </w:rPr>
        <w:tab/>
        <w:t>(5)</w:t>
      </w:r>
      <w:r>
        <w:rPr>
          <w:snapToGrid w:val="0"/>
        </w:rPr>
        <w:tab/>
        <w:t>Members of the Mines Survey Board are entitled to be paid such remuneration and travelling and other allowances as the Minister determines on the recommendation of the Minister for Public Sector Management.</w:t>
      </w:r>
    </w:p>
    <w:p>
      <w:pPr>
        <w:pStyle w:val="Heading5"/>
        <w:rPr>
          <w:snapToGrid w:val="0"/>
        </w:rPr>
      </w:pPr>
      <w:bookmarkStart w:id="195" w:name="_Toc192041206"/>
      <w:r>
        <w:rPr>
          <w:rStyle w:val="CharSectno"/>
        </w:rPr>
        <w:t>83</w:t>
      </w:r>
      <w:r>
        <w:rPr>
          <w:snapToGrid w:val="0"/>
        </w:rPr>
        <w:t>.</w:t>
      </w:r>
      <w:r>
        <w:rPr>
          <w:snapToGrid w:val="0"/>
        </w:rPr>
        <w:tab/>
        <w:t>Complaint to Mines Survey Board</w:t>
      </w:r>
      <w:bookmarkEnd w:id="195"/>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Mines Survey Board if the inspector or person has reason to believe that the holder of an authorised mine surveyor’s certificate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Mines Survey Board must meet promptly and decide whether to hold an inquiry.</w:t>
      </w:r>
    </w:p>
    <w:p>
      <w:pPr>
        <w:pStyle w:val="Heading5"/>
        <w:rPr>
          <w:snapToGrid w:val="0"/>
        </w:rPr>
      </w:pPr>
      <w:bookmarkStart w:id="196" w:name="_Toc192041207"/>
      <w:r>
        <w:rPr>
          <w:rStyle w:val="CharSectno"/>
        </w:rPr>
        <w:t>84</w:t>
      </w:r>
      <w:r>
        <w:rPr>
          <w:snapToGrid w:val="0"/>
        </w:rPr>
        <w:t>.</w:t>
      </w:r>
      <w:r>
        <w:rPr>
          <w:snapToGrid w:val="0"/>
        </w:rPr>
        <w:tab/>
        <w:t>Inquiry by Mines Survey Board</w:t>
      </w:r>
      <w:bookmarkEnd w:id="196"/>
      <w:r>
        <w:rPr>
          <w:snapToGrid w:val="0"/>
        </w:rPr>
        <w:t xml:space="preserve"> </w:t>
      </w:r>
    </w:p>
    <w:p>
      <w:pPr>
        <w:pStyle w:val="Subsection"/>
        <w:rPr>
          <w:snapToGrid w:val="0"/>
        </w:rPr>
      </w:pPr>
      <w:r>
        <w:rPr>
          <w:snapToGrid w:val="0"/>
        </w:rPr>
        <w:tab/>
        <w:t>(1)</w:t>
      </w:r>
      <w:r>
        <w:rPr>
          <w:snapToGrid w:val="0"/>
        </w:rPr>
        <w:tab/>
        <w:t>After considering a complaint under section 83, the Mines Survey Board may hold an inquiry where it considers an inquiry is desirable and justified.</w:t>
      </w:r>
    </w:p>
    <w:p>
      <w:pPr>
        <w:pStyle w:val="Subsection"/>
        <w:keepNext/>
        <w:rPr>
          <w:snapToGrid w:val="0"/>
        </w:rPr>
      </w:pPr>
      <w:r>
        <w:rPr>
          <w:snapToGrid w:val="0"/>
        </w:rPr>
        <w:tab/>
        <w:t>(2)</w:t>
      </w:r>
      <w:r>
        <w:rPr>
          <w:snapToGrid w:val="0"/>
        </w:rPr>
        <w:tab/>
        <w:t>The Mines Survey Board must — </w:t>
      </w:r>
    </w:p>
    <w:p>
      <w:pPr>
        <w:pStyle w:val="Indenta"/>
        <w:rPr>
          <w:snapToGrid w:val="0"/>
        </w:rPr>
      </w:pPr>
      <w:r>
        <w:rPr>
          <w:snapToGrid w:val="0"/>
        </w:rPr>
        <w:tab/>
        <w:t>(a)</w:t>
      </w:r>
      <w:r>
        <w:rPr>
          <w:snapToGrid w:val="0"/>
        </w:rPr>
        <w:tab/>
        <w:t>give the holder of the authorised mine surveyor’s certificate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 xml:space="preserve">may be represented by a legal practitioner; and </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Mines Survey Board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spacing w:val="-4"/>
        </w:rPr>
      </w:pPr>
      <w:r>
        <w:rPr>
          <w:snapToGrid w:val="0"/>
          <w:spacing w:val="-4"/>
        </w:rPr>
        <w:tab/>
        <w:t>(6)</w:t>
      </w:r>
      <w:r>
        <w:rPr>
          <w:snapToGrid w:val="0"/>
          <w:spacing w:val="-4"/>
        </w:rPr>
        <w:tab/>
        <w:t>The Mines Survey Board may make an order of costs in favour of the respondent or the department and such an order may be registered in a court of competent jurisdiction as a judgment debt.</w:t>
      </w:r>
    </w:p>
    <w:p>
      <w:pPr>
        <w:pStyle w:val="Heading5"/>
        <w:rPr>
          <w:snapToGrid w:val="0"/>
        </w:rPr>
      </w:pPr>
      <w:bookmarkStart w:id="197" w:name="_Toc192041208"/>
      <w:r>
        <w:rPr>
          <w:rStyle w:val="CharSectno"/>
        </w:rPr>
        <w:t>85</w:t>
      </w:r>
      <w:r>
        <w:rPr>
          <w:snapToGrid w:val="0"/>
        </w:rPr>
        <w:t>.</w:t>
      </w:r>
      <w:r>
        <w:rPr>
          <w:snapToGrid w:val="0"/>
        </w:rPr>
        <w:tab/>
        <w:t>Disciplinary action following inquiry</w:t>
      </w:r>
      <w:bookmarkEnd w:id="197"/>
      <w:r>
        <w:rPr>
          <w:snapToGrid w:val="0"/>
        </w:rPr>
        <w:t xml:space="preserve"> </w:t>
      </w:r>
    </w:p>
    <w:p>
      <w:pPr>
        <w:pStyle w:val="Subsection"/>
        <w:rPr>
          <w:snapToGrid w:val="0"/>
        </w:rPr>
      </w:pPr>
      <w:r>
        <w:rPr>
          <w:snapToGrid w:val="0"/>
        </w:rPr>
        <w:tab/>
        <w:t>(1)</w:t>
      </w:r>
      <w:r>
        <w:rPr>
          <w:snapToGrid w:val="0"/>
        </w:rPr>
        <w:tab/>
        <w:t>If after holding an inquiry the Mines Survey Board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 xml:space="preserve">suspend the respondent’s authorised mine surveyor’s certificate for a stated period; or </w:t>
      </w:r>
    </w:p>
    <w:p>
      <w:pPr>
        <w:pStyle w:val="Indenta"/>
        <w:rPr>
          <w:snapToGrid w:val="0"/>
        </w:rPr>
      </w:pPr>
      <w:r>
        <w:rPr>
          <w:snapToGrid w:val="0"/>
        </w:rPr>
        <w:tab/>
        <w:t>(c)</w:t>
      </w:r>
      <w:r>
        <w:rPr>
          <w:snapToGrid w:val="0"/>
        </w:rPr>
        <w:tab/>
        <w:t>cancel the respondent’s authorised mine surveyor’s certificate.</w:t>
      </w:r>
    </w:p>
    <w:p>
      <w:pPr>
        <w:pStyle w:val="Subsection"/>
        <w:rPr>
          <w:snapToGrid w:val="0"/>
        </w:rPr>
      </w:pPr>
      <w:r>
        <w:rPr>
          <w:snapToGrid w:val="0"/>
        </w:rPr>
        <w:tab/>
        <w:t>(2)</w:t>
      </w:r>
      <w:r>
        <w:rPr>
          <w:snapToGrid w:val="0"/>
        </w:rPr>
        <w:tab/>
        <w:t>A suspension or cancellation under this section takes effect after the time for an appeal under section 86 expires.</w:t>
      </w:r>
    </w:p>
    <w:p>
      <w:pPr>
        <w:pStyle w:val="Subsection"/>
        <w:rPr>
          <w:snapToGrid w:val="0"/>
        </w:rPr>
      </w:pPr>
      <w:r>
        <w:rPr>
          <w:snapToGrid w:val="0"/>
        </w:rPr>
        <w:tab/>
        <w:t>(3)</w:t>
      </w:r>
      <w:r>
        <w:rPr>
          <w:snapToGrid w:val="0"/>
        </w:rPr>
        <w:tab/>
        <w:t>When the Mines Survey Board suspends or cancels an authorised mine surveyor’s certificate, the respondent must return the certificate to the Board within a period specified by the Board when suspending or cancelling the certificate.</w:t>
      </w:r>
    </w:p>
    <w:p>
      <w:pPr>
        <w:pStyle w:val="Penstart"/>
        <w:rPr>
          <w:snapToGrid w:val="0"/>
        </w:rPr>
      </w:pPr>
      <w:r>
        <w:rPr>
          <w:snapToGrid w:val="0"/>
        </w:rPr>
        <w:tab/>
        <w:t>Penalty: $2 000.</w:t>
      </w:r>
    </w:p>
    <w:p>
      <w:pPr>
        <w:pStyle w:val="Heading5"/>
        <w:rPr>
          <w:snapToGrid w:val="0"/>
        </w:rPr>
      </w:pPr>
      <w:bookmarkStart w:id="198" w:name="_Toc192041209"/>
      <w:r>
        <w:rPr>
          <w:rStyle w:val="CharSectno"/>
        </w:rPr>
        <w:t>86</w:t>
      </w:r>
      <w:r>
        <w:rPr>
          <w:snapToGrid w:val="0"/>
        </w:rPr>
        <w:t>.</w:t>
      </w:r>
      <w:r>
        <w:rPr>
          <w:snapToGrid w:val="0"/>
        </w:rPr>
        <w:tab/>
        <w:t>Appeal to</w:t>
      </w:r>
      <w:r>
        <w:t xml:space="preserve"> Tribunal</w:t>
      </w:r>
      <w:bookmarkEnd w:id="198"/>
      <w:r>
        <w:rPr>
          <w:snapToGrid w:val="0"/>
        </w:rPr>
        <w:t xml:space="preserve"> </w:t>
      </w:r>
    </w:p>
    <w:p>
      <w:pPr>
        <w:pStyle w:val="Subsection"/>
        <w:rPr>
          <w:snapToGrid w:val="0"/>
        </w:rPr>
      </w:pPr>
      <w:r>
        <w:rPr>
          <w:snapToGrid w:val="0"/>
        </w:rPr>
        <w:tab/>
        <w:t>(1)</w:t>
      </w:r>
      <w:r>
        <w:rPr>
          <w:snapToGrid w:val="0"/>
        </w:rPr>
        <w:tab/>
        <w:t xml:space="preserve">A person whose authorised mine surveyor’s certificate is suspended or cancelled by the Mines Survey Board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Mines Survey Board might have made.</w:t>
      </w:r>
    </w:p>
    <w:p>
      <w:pPr>
        <w:pStyle w:val="Footnotesection"/>
      </w:pPr>
      <w:r>
        <w:tab/>
        <w:t>[Section 86 amended by No. 68 of 2004 s. 86(1).]</w:t>
      </w:r>
    </w:p>
    <w:p>
      <w:pPr>
        <w:pStyle w:val="Heading5"/>
        <w:rPr>
          <w:snapToGrid w:val="0"/>
        </w:rPr>
      </w:pPr>
      <w:bookmarkStart w:id="199" w:name="_Toc192041210"/>
      <w:r>
        <w:rPr>
          <w:rStyle w:val="CharSectno"/>
        </w:rPr>
        <w:t>87</w:t>
      </w:r>
      <w:r>
        <w:rPr>
          <w:snapToGrid w:val="0"/>
        </w:rPr>
        <w:t>.</w:t>
      </w:r>
      <w:r>
        <w:rPr>
          <w:snapToGrid w:val="0"/>
        </w:rPr>
        <w:tab/>
        <w:t>Plans to be furnished</w:t>
      </w:r>
      <w:bookmarkEnd w:id="199"/>
      <w:r>
        <w:rPr>
          <w:snapToGrid w:val="0"/>
        </w:rPr>
        <w:t xml:space="preserve"> </w:t>
      </w:r>
    </w:p>
    <w:p>
      <w:pPr>
        <w:pStyle w:val="Subsection"/>
        <w:rPr>
          <w:snapToGrid w:val="0"/>
        </w:rPr>
      </w:pPr>
      <w:r>
        <w:rPr>
          <w:snapToGrid w:val="0"/>
        </w:rPr>
        <w:tab/>
        <w:t>(1)</w:t>
      </w:r>
      <w:r>
        <w:rPr>
          <w:snapToGrid w:val="0"/>
        </w:rPr>
        <w:tab/>
        <w:t>The manager of a mine must procure and keep in the office of the mine accurate plans of the mine that — </w:t>
      </w:r>
    </w:p>
    <w:p>
      <w:pPr>
        <w:pStyle w:val="Indenta"/>
        <w:rPr>
          <w:snapToGrid w:val="0"/>
        </w:rPr>
      </w:pPr>
      <w:r>
        <w:rPr>
          <w:snapToGrid w:val="0"/>
        </w:rPr>
        <w:tab/>
        <w:t>(a)</w:t>
      </w:r>
      <w:r>
        <w:rPr>
          <w:snapToGrid w:val="0"/>
        </w:rPr>
        <w:tab/>
        <w:t>in accordance with the regulations, are kept up to date; and</w:t>
      </w:r>
    </w:p>
    <w:p>
      <w:pPr>
        <w:pStyle w:val="Indenta"/>
        <w:rPr>
          <w:snapToGrid w:val="0"/>
        </w:rPr>
      </w:pPr>
      <w:r>
        <w:rPr>
          <w:snapToGrid w:val="0"/>
        </w:rPr>
        <w:tab/>
        <w:t>(b)</w:t>
      </w:r>
      <w:r>
        <w:rPr>
          <w:snapToGrid w:val="0"/>
        </w:rPr>
        <w:tab/>
        <w:t>are prepared on a scale that accords with good engineering practice; and</w:t>
      </w:r>
    </w:p>
    <w:p>
      <w:pPr>
        <w:pStyle w:val="Indenta"/>
        <w:rPr>
          <w:snapToGrid w:val="0"/>
        </w:rPr>
      </w:pPr>
      <w:r>
        <w:rPr>
          <w:snapToGrid w:val="0"/>
        </w:rPr>
        <w:tab/>
        <w:t>(c)</w:t>
      </w:r>
      <w:r>
        <w:rPr>
          <w:snapToGrid w:val="0"/>
        </w:rPr>
        <w:tab/>
        <w:t>contain the particulars required by the regulations.</w:t>
      </w:r>
    </w:p>
    <w:p>
      <w:pPr>
        <w:pStyle w:val="Subsection"/>
        <w:spacing w:before="200"/>
        <w:rPr>
          <w:snapToGrid w:val="0"/>
        </w:rPr>
      </w:pPr>
      <w:r>
        <w:rPr>
          <w:snapToGrid w:val="0"/>
        </w:rPr>
        <w:tab/>
        <w:t>(2)</w:t>
      </w:r>
      <w:r>
        <w:rPr>
          <w:snapToGrid w:val="0"/>
        </w:rPr>
        <w:tab/>
        <w:t>The manager of a mine must provide to the State mining engineer free of charge copies of the plans referred to in subsection (1) in accordance with the regulations.</w:t>
      </w:r>
    </w:p>
    <w:p>
      <w:pPr>
        <w:pStyle w:val="Subsection"/>
        <w:spacing w:before="200"/>
        <w:rPr>
          <w:snapToGrid w:val="0"/>
        </w:rPr>
      </w:pPr>
      <w:r>
        <w:rPr>
          <w:snapToGrid w:val="0"/>
        </w:rPr>
        <w:tab/>
        <w:t>(3)</w:t>
      </w:r>
      <w:r>
        <w:rPr>
          <w:snapToGrid w:val="0"/>
        </w:rPr>
        <w:tab/>
        <w: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t>
      </w:r>
    </w:p>
    <w:p>
      <w:pPr>
        <w:pStyle w:val="Subsection"/>
        <w:spacing w:before="200"/>
        <w:rPr>
          <w:snapToGrid w:val="0"/>
        </w:rPr>
      </w:pPr>
      <w:r>
        <w:rPr>
          <w:snapToGrid w:val="0"/>
        </w:rPr>
        <w:tab/>
        <w:t>(4)</w:t>
      </w:r>
      <w:r>
        <w:rPr>
          <w:snapToGrid w:val="0"/>
        </w:rPr>
        <w:tab/>
        <w:t>The plans referred to in subsection (1) must be produced by the manager at the mine to an inspector, an assistant inspector, or any other person authorised for the purpose in writing by the State mining engineer, and the manager must, if requested by that inspector, assistant inspector, or other person, mark on such plans the progress of the operations of the mine up to the time the plans are produced to the inspector, assistant inspector, or other person, and must allow that person to examine and take a copy of those plans.</w:t>
      </w:r>
    </w:p>
    <w:p>
      <w:pPr>
        <w:pStyle w:val="Subsection"/>
        <w:spacing w:before="200"/>
        <w:rPr>
          <w:snapToGrid w:val="0"/>
        </w:rPr>
      </w:pPr>
      <w:r>
        <w:rPr>
          <w:snapToGrid w:val="0"/>
        </w:rPr>
        <w:tab/>
        <w:t>(5)</w:t>
      </w:r>
      <w:r>
        <w:rPr>
          <w:snapToGrid w:val="0"/>
        </w:rPr>
        <w:tab/>
        <w:t>A person who contravenes subsection (1), (2), (3), or (4) commits an offence.</w:t>
      </w:r>
    </w:p>
    <w:p>
      <w:pPr>
        <w:pStyle w:val="Subsection"/>
        <w:spacing w:before="200"/>
        <w:rPr>
          <w:snapToGrid w:val="0"/>
        </w:rPr>
      </w:pPr>
      <w:r>
        <w:rPr>
          <w:snapToGrid w:val="0"/>
        </w:rPr>
        <w:tab/>
        <w:t>(6)</w:t>
      </w:r>
      <w:r>
        <w:rPr>
          <w:snapToGrid w:val="0"/>
        </w:rPr>
        <w:tab/>
        <w:t>A manager who knowingly causes or permits to be omitted from any plan prepared for the purposes of this section any part of the workings of a mine commits an offence.</w:t>
      </w:r>
    </w:p>
    <w:p>
      <w:pPr>
        <w:pStyle w:val="Subsection"/>
        <w:spacing w:before="200"/>
        <w:rPr>
          <w:snapToGrid w:val="0"/>
        </w:rPr>
      </w:pPr>
      <w:r>
        <w:rPr>
          <w:snapToGrid w:val="0"/>
        </w:rPr>
        <w:tab/>
        <w:t>(7)</w:t>
      </w:r>
      <w:r>
        <w:rPr>
          <w:snapToGrid w:val="0"/>
        </w:rPr>
        <w:tab/>
        <w:t>This section does not apply to mines at which the mining operations consist only of exploration operations.</w:t>
      </w:r>
    </w:p>
    <w:p>
      <w:pPr>
        <w:pStyle w:val="Heading5"/>
        <w:rPr>
          <w:snapToGrid w:val="0"/>
        </w:rPr>
      </w:pPr>
      <w:bookmarkStart w:id="200" w:name="_Toc192041211"/>
      <w:r>
        <w:rPr>
          <w:rStyle w:val="CharSectno"/>
        </w:rPr>
        <w:t>88</w:t>
      </w:r>
      <w:r>
        <w:rPr>
          <w:snapToGrid w:val="0"/>
        </w:rPr>
        <w:t>.</w:t>
      </w:r>
      <w:r>
        <w:rPr>
          <w:snapToGrid w:val="0"/>
        </w:rPr>
        <w:tab/>
        <w:t>Plans for abandonment or suspension</w:t>
      </w:r>
      <w:bookmarkEnd w:id="200"/>
      <w:r>
        <w:rPr>
          <w:snapToGrid w:val="0"/>
        </w:rPr>
        <w:t xml:space="preserve"> </w:t>
      </w:r>
    </w:p>
    <w:p>
      <w:pPr>
        <w:pStyle w:val="Subsection"/>
        <w:spacing w:before="200"/>
        <w:rPr>
          <w:snapToGrid w:val="0"/>
        </w:rPr>
      </w:pPr>
      <w:r>
        <w:rPr>
          <w:snapToGrid w:val="0"/>
        </w:rPr>
        <w:tab/>
        <w:t>(1)</w:t>
      </w:r>
      <w:r>
        <w:rPr>
          <w:snapToGrid w:val="0"/>
        </w:rPr>
        <w:tab/>
        <w:t>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those plans to the State mining engineer in accordance with the regulations before the mining operations are abandoned or suspended.</w:t>
      </w:r>
    </w:p>
    <w:p>
      <w:pPr>
        <w:pStyle w:val="Subsection"/>
        <w:spacing w:before="120"/>
        <w:rPr>
          <w:snapToGrid w:val="0"/>
        </w:rPr>
      </w:pPr>
      <w:r>
        <w:rPr>
          <w:snapToGrid w:val="0"/>
        </w:rPr>
        <w:tab/>
        <w:t>(2)</w:t>
      </w:r>
      <w:r>
        <w:rPr>
          <w:snapToGrid w:val="0"/>
        </w:rPr>
        <w:tab/>
        <w:t>A principal employer, receiver, or manager who contravenes subsection (1) commits an offence.</w:t>
      </w:r>
    </w:p>
    <w:p>
      <w:pPr>
        <w:pStyle w:val="Heading5"/>
        <w:rPr>
          <w:snapToGrid w:val="0"/>
        </w:rPr>
      </w:pPr>
      <w:bookmarkStart w:id="201" w:name="_Toc192041212"/>
      <w:r>
        <w:rPr>
          <w:rStyle w:val="CharSectno"/>
        </w:rPr>
        <w:t>89</w:t>
      </w:r>
      <w:r>
        <w:rPr>
          <w:snapToGrid w:val="0"/>
        </w:rPr>
        <w:t>.</w:t>
      </w:r>
      <w:r>
        <w:rPr>
          <w:snapToGrid w:val="0"/>
        </w:rPr>
        <w:tab/>
        <w:t>Record books</w:t>
      </w:r>
      <w:bookmarkEnd w:id="201"/>
      <w:r>
        <w:rPr>
          <w:snapToGrid w:val="0"/>
        </w:rPr>
        <w:t xml:space="preserve"> </w:t>
      </w:r>
    </w:p>
    <w:p>
      <w:pPr>
        <w:pStyle w:val="Subsection"/>
        <w:spacing w:before="120"/>
        <w:rPr>
          <w:snapToGrid w:val="0"/>
        </w:rPr>
      </w:pPr>
      <w:r>
        <w:rPr>
          <w:snapToGrid w:val="0"/>
        </w:rPr>
        <w:tab/>
        <w:t>(1)</w:t>
      </w:r>
      <w:r>
        <w:rPr>
          <w:snapToGrid w:val="0"/>
        </w:rPr>
        <w:tab/>
        <w:t>Where a record book or a log book is required under this Act to be kept at a mine or any other place, the manager must ensure that — </w:t>
      </w:r>
    </w:p>
    <w:p>
      <w:pPr>
        <w:pStyle w:val="Indenta"/>
        <w:rPr>
          <w:snapToGrid w:val="0"/>
        </w:rPr>
      </w:pPr>
      <w:r>
        <w:rPr>
          <w:snapToGrid w:val="0"/>
        </w:rPr>
        <w:tab/>
        <w:t>(a)</w:t>
      </w:r>
      <w:r>
        <w:rPr>
          <w:snapToGrid w:val="0"/>
        </w:rPr>
        <w:tab/>
        <w:t>the book is kept solely for the purpose of making the entries required under this Act; and</w:t>
      </w:r>
    </w:p>
    <w:p>
      <w:pPr>
        <w:pStyle w:val="Indenta"/>
        <w:rPr>
          <w:snapToGrid w:val="0"/>
        </w:rPr>
      </w:pPr>
      <w:r>
        <w:rPr>
          <w:snapToGrid w:val="0"/>
        </w:rPr>
        <w:tab/>
        <w:t>(b)</w:t>
      </w:r>
      <w:r>
        <w:rPr>
          <w:snapToGrid w:val="0"/>
        </w:rPr>
        <w:tab/>
        <w:t xml:space="preserve">every entry required to be made in the book is made in ink; and </w:t>
      </w:r>
    </w:p>
    <w:p>
      <w:pPr>
        <w:pStyle w:val="Indenta"/>
        <w:rPr>
          <w:snapToGrid w:val="0"/>
        </w:rPr>
      </w:pPr>
      <w:r>
        <w:rPr>
          <w:snapToGrid w:val="0"/>
        </w:rPr>
        <w:tab/>
        <w:t>(c)</w:t>
      </w:r>
      <w:r>
        <w:rPr>
          <w:snapToGrid w:val="0"/>
        </w:rPr>
        <w:tab/>
        <w:t>the book is kept safely in good order and condition.</w:t>
      </w:r>
    </w:p>
    <w:p>
      <w:pPr>
        <w:pStyle w:val="Penstart"/>
        <w:rPr>
          <w:snapToGrid w:val="0"/>
        </w:rPr>
      </w:pPr>
      <w:r>
        <w:rPr>
          <w:snapToGrid w:val="0"/>
        </w:rPr>
        <w:tab/>
        <w:t>Penalty: $5 000.</w:t>
      </w:r>
    </w:p>
    <w:p>
      <w:pPr>
        <w:pStyle w:val="Subsection"/>
      </w:pPr>
      <w:r>
        <w:tab/>
        <w:t>(1a)</w:t>
      </w:r>
      <w:r>
        <w:tab/>
        <w:t xml:space="preserve">Subsection (1)(b) has effect subject to the provisions of — </w:t>
      </w:r>
    </w:p>
    <w:p>
      <w:pPr>
        <w:pStyle w:val="Indenta"/>
      </w:pPr>
      <w:r>
        <w:tab/>
        <w:t>(a)</w:t>
      </w:r>
      <w:r>
        <w:tab/>
        <w:t>Part 3 Division 3 Subdivision 6; and</w:t>
      </w:r>
    </w:p>
    <w:p>
      <w:pPr>
        <w:pStyle w:val="Indenta"/>
      </w:pPr>
      <w:r>
        <w:tab/>
        <w:t>(b)</w:t>
      </w:r>
      <w:r>
        <w:tab/>
        <w:t>section 31BO.</w:t>
      </w:r>
    </w:p>
    <w:p>
      <w:pPr>
        <w:pStyle w:val="Subsection"/>
        <w:rPr>
          <w:snapToGrid w:val="0"/>
        </w:rPr>
      </w:pPr>
      <w:r>
        <w:rPr>
          <w:snapToGrid w:val="0"/>
        </w:rPr>
        <w:tab/>
        <w:t>(2)</w:t>
      </w:r>
      <w:r>
        <w:rPr>
          <w:snapToGrid w:val="0"/>
        </w:rPr>
        <w:tab/>
        <w: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t>
      </w:r>
    </w:p>
    <w:p>
      <w:pPr>
        <w:pStyle w:val="Subsection"/>
        <w:rPr>
          <w:snapToGrid w:val="0"/>
        </w:rPr>
      </w:pPr>
      <w:r>
        <w:rPr>
          <w:snapToGrid w:val="0"/>
        </w:rPr>
        <w:tab/>
        <w:t>(3)</w:t>
      </w:r>
      <w:r>
        <w:rPr>
          <w:snapToGrid w:val="0"/>
        </w:rPr>
        <w:tab/>
        <w: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t>
      </w:r>
    </w:p>
    <w:p>
      <w:pPr>
        <w:pStyle w:val="Subsection"/>
        <w:rPr>
          <w:snapToGrid w:val="0"/>
        </w:rPr>
      </w:pPr>
      <w:r>
        <w:rPr>
          <w:snapToGrid w:val="0"/>
        </w:rPr>
        <w:tab/>
        <w:t>(4)</w:t>
      </w:r>
      <w:r>
        <w:rPr>
          <w:snapToGrid w:val="0"/>
        </w:rPr>
        <w:tab/>
        <w:t>A principal employer or a person who was a principal employer who contravenes subsection (2) or (3) commits an offence.</w:t>
      </w:r>
    </w:p>
    <w:p>
      <w:pPr>
        <w:pStyle w:val="Footnotesection"/>
      </w:pPr>
      <w:r>
        <w:tab/>
        <w:t xml:space="preserve">[Section 89 amended by No. 68 of 2004 s. 79.] </w:t>
      </w:r>
    </w:p>
    <w:p>
      <w:pPr>
        <w:pStyle w:val="Heading2"/>
        <w:rPr>
          <w:spacing w:val="-4"/>
        </w:rPr>
      </w:pPr>
      <w:bookmarkStart w:id="202" w:name="_Toc192041213"/>
      <w:r>
        <w:rPr>
          <w:rStyle w:val="CharPartNo"/>
          <w:spacing w:val="-4"/>
        </w:rPr>
        <w:t>Part 8</w:t>
      </w:r>
      <w:r>
        <w:rPr>
          <w:rStyle w:val="CharDivNo"/>
          <w:spacing w:val="-4"/>
        </w:rPr>
        <w:t> </w:t>
      </w:r>
      <w:r>
        <w:rPr>
          <w:spacing w:val="-4"/>
        </w:rPr>
        <w:t>—</w:t>
      </w:r>
      <w:r>
        <w:rPr>
          <w:rStyle w:val="CharDivText"/>
          <w:spacing w:val="-4"/>
        </w:rPr>
        <w:t> </w:t>
      </w:r>
      <w:r>
        <w:rPr>
          <w:rStyle w:val="CharPartText"/>
          <w:spacing w:val="-4"/>
        </w:rPr>
        <w:t>Ministerial safety and health powers</w:t>
      </w:r>
      <w:bookmarkEnd w:id="202"/>
      <w:r>
        <w:rPr>
          <w:rStyle w:val="CharPartText"/>
          <w:spacing w:val="-4"/>
        </w:rPr>
        <w:t xml:space="preserve"> </w:t>
      </w:r>
    </w:p>
    <w:p>
      <w:pPr>
        <w:pStyle w:val="Footnoteheading"/>
      </w:pPr>
      <w:r>
        <w:tab/>
        <w:t xml:space="preserve">[Heading amended by No. 30 of 1995 s. 76(1).] </w:t>
      </w:r>
    </w:p>
    <w:p>
      <w:pPr>
        <w:pStyle w:val="Ednotesection"/>
        <w:ind w:left="0" w:firstLine="0"/>
      </w:pPr>
      <w:r>
        <w:t>[</w:t>
      </w:r>
      <w:r>
        <w:rPr>
          <w:b/>
        </w:rPr>
        <w:t>90.</w:t>
      </w:r>
      <w:r>
        <w:tab/>
        <w:t>Repealed by No. 51 of 2004 s. 115(3).]</w:t>
      </w:r>
    </w:p>
    <w:p>
      <w:pPr>
        <w:pStyle w:val="Heading5"/>
        <w:rPr>
          <w:snapToGrid w:val="0"/>
        </w:rPr>
      </w:pPr>
      <w:bookmarkStart w:id="203" w:name="_Toc192041214"/>
      <w:r>
        <w:rPr>
          <w:rStyle w:val="CharSectno"/>
        </w:rPr>
        <w:t>91</w:t>
      </w:r>
      <w:r>
        <w:rPr>
          <w:snapToGrid w:val="0"/>
        </w:rPr>
        <w:t>.</w:t>
      </w:r>
      <w:r>
        <w:rPr>
          <w:snapToGrid w:val="0"/>
        </w:rPr>
        <w:tab/>
        <w:t>Minister may publish report</w:t>
      </w:r>
      <w:bookmarkEnd w:id="203"/>
      <w:r>
        <w:rPr>
          <w:snapToGrid w:val="0"/>
        </w:rPr>
        <w:t xml:space="preserve"> </w:t>
      </w:r>
    </w:p>
    <w:p>
      <w:pPr>
        <w:pStyle w:val="Subsection"/>
        <w:rPr>
          <w:snapToGrid w:val="0"/>
        </w:rPr>
      </w:pPr>
      <w:r>
        <w:rPr>
          <w:snapToGrid w:val="0"/>
        </w:rPr>
        <w:tab/>
      </w:r>
      <w:r>
        <w:rPr>
          <w:snapToGrid w:val="0"/>
        </w:rPr>
        <w:tab/>
        <w:t>The Minister may cause a report prepared for the purposes of this Act by any inspector to be published at such time and in such manner as the Minister thinks appropriate.</w:t>
      </w:r>
    </w:p>
    <w:p>
      <w:pPr>
        <w:pStyle w:val="Heading5"/>
        <w:rPr>
          <w:snapToGrid w:val="0"/>
        </w:rPr>
      </w:pPr>
      <w:bookmarkStart w:id="204" w:name="_Toc192041215"/>
      <w:r>
        <w:rPr>
          <w:rStyle w:val="CharSectno"/>
        </w:rPr>
        <w:t>92</w:t>
      </w:r>
      <w:r>
        <w:rPr>
          <w:snapToGrid w:val="0"/>
        </w:rPr>
        <w:t>.</w:t>
      </w:r>
      <w:r>
        <w:rPr>
          <w:snapToGrid w:val="0"/>
        </w:rPr>
        <w:tab/>
        <w:t>Delegation of ministerial functions</w:t>
      </w:r>
      <w:bookmarkEnd w:id="204"/>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instrument in writing delegate to any person any power or duty conferred or imposed on the Minister under this Act, other than this power of delegation.</w:t>
      </w:r>
    </w:p>
    <w:p>
      <w:pPr>
        <w:pStyle w:val="Subsection"/>
        <w:rPr>
          <w:snapToGrid w:val="0"/>
        </w:rPr>
      </w:pPr>
      <w:r>
        <w:rPr>
          <w:snapToGrid w:val="0"/>
        </w:rPr>
        <w:tab/>
        <w:t>(2)</w:t>
      </w:r>
      <w:r>
        <w:rPr>
          <w:snapToGrid w:val="0"/>
        </w:rPr>
        <w:tab/>
        <w:t>Any act or thing done by a delegate under a delegation under this section has the same force and effect as if it had been done by the Minister.</w:t>
      </w:r>
    </w:p>
    <w:p>
      <w:pPr>
        <w:pStyle w:val="Heading5"/>
        <w:rPr>
          <w:snapToGrid w:val="0"/>
        </w:rPr>
      </w:pPr>
      <w:bookmarkStart w:id="205" w:name="_Toc192041216"/>
      <w:r>
        <w:rPr>
          <w:rStyle w:val="CharSectno"/>
        </w:rPr>
        <w:t>93</w:t>
      </w:r>
      <w:r>
        <w:rPr>
          <w:snapToGrid w:val="0"/>
        </w:rPr>
        <w:t>.</w:t>
      </w:r>
      <w:r>
        <w:rPr>
          <w:snapToGrid w:val="0"/>
        </w:rPr>
        <w:tab/>
        <w:t>Codes of practice</w:t>
      </w:r>
      <w:bookmarkEnd w:id="205"/>
      <w:r>
        <w:rPr>
          <w:snapToGrid w:val="0"/>
        </w:rPr>
        <w:t xml:space="preserve"> </w:t>
      </w:r>
    </w:p>
    <w:p>
      <w:pPr>
        <w:pStyle w:val="Subsection"/>
        <w:rPr>
          <w:snapToGrid w:val="0"/>
        </w:rPr>
      </w:pPr>
      <w:r>
        <w:rPr>
          <w:snapToGrid w:val="0"/>
        </w:rPr>
        <w:tab/>
        <w:t>(1)</w:t>
      </w:r>
      <w:r>
        <w:rPr>
          <w:snapToGrid w:val="0"/>
        </w:rPr>
        <w:tab/>
        <w:t>The Minister may approve a code of practice which has been considered by the</w:t>
      </w:r>
      <w:r>
        <w:t xml:space="preserve"> Mining Industry Advisory Committee</w:t>
      </w:r>
      <w:r>
        <w:rPr>
          <w:snapToGrid w:val="0"/>
        </w:rPr>
        <w:t>, for the purpose of providing practical guidance to employers, self</w:t>
      </w:r>
      <w:r>
        <w:rPr>
          <w:snapToGrid w:val="0"/>
        </w:rPr>
        <w:noBreakHyphen/>
        <w:t>employed persons and employees and other persons on whom a duty of care is imposed under this Act.</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t>
      </w:r>
    </w:p>
    <w:p>
      <w:pPr>
        <w:pStyle w:val="Subsection"/>
        <w:rPr>
          <w:snapToGrid w:val="0"/>
        </w:rPr>
      </w:pPr>
      <w:r>
        <w:rPr>
          <w:snapToGrid w:val="0"/>
        </w:rPr>
        <w:tab/>
        <w:t>(3)</w:t>
      </w:r>
      <w:r>
        <w:rPr>
          <w:snapToGrid w:val="0"/>
        </w:rPr>
        <w:tab/>
        <w:t>The Minister may approve any revision of the whole or any part of a code of practice or revoke the approval of a code of practice.</w:t>
      </w:r>
    </w:p>
    <w:p>
      <w:pPr>
        <w:pStyle w:val="Subsection"/>
        <w:rPr>
          <w:snapToGrid w:val="0"/>
        </w:rPr>
      </w:pPr>
      <w:r>
        <w:rPr>
          <w:snapToGrid w:val="0"/>
        </w:rPr>
        <w:tab/>
        <w:t>(4)</w:t>
      </w:r>
      <w:r>
        <w:rPr>
          <w:snapToGrid w:val="0"/>
        </w:rPr>
        <w:tab/>
        <w:t xml:space="preserve">The Minister shall cause to be published in the </w:t>
      </w:r>
      <w:r>
        <w:rPr>
          <w:i/>
          <w:snapToGrid w:val="0"/>
        </w:rPr>
        <w:t>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of the code and any document incorporated in it by reference, to be made available, without charge, for public inspection.</w:t>
      </w:r>
    </w:p>
    <w:p>
      <w:pPr>
        <w:pStyle w:val="Subsection"/>
        <w:rPr>
          <w:snapToGrid w:val="0"/>
        </w:rPr>
      </w:pPr>
      <w:r>
        <w:rPr>
          <w:snapToGrid w:val="0"/>
        </w:rPr>
        <w:tab/>
        <w:t>(7)</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otherwise than observing that provision of the code of practice is a satisfactory defence.</w:t>
      </w:r>
    </w:p>
    <w:p>
      <w:pPr>
        <w:pStyle w:val="Subsection"/>
        <w:rPr>
          <w:snapToGrid w:val="0"/>
        </w:rPr>
      </w:pPr>
      <w:r>
        <w:rPr>
          <w:snapToGrid w:val="0"/>
        </w:rPr>
        <w:tab/>
        <w:t>(8)</w:t>
      </w:r>
      <w:r>
        <w:rPr>
          <w:snapToGrid w:val="0"/>
        </w:rPr>
        <w:tab/>
        <w:t>A person is not liable to any civil or criminal proceeding only because the person has not complied with a provision of a code of practice.</w:t>
      </w:r>
    </w:p>
    <w:p>
      <w:pPr>
        <w:pStyle w:val="Footnotesection"/>
      </w:pPr>
      <w:r>
        <w:tab/>
        <w:t xml:space="preserve">[Section 93 amended by No. 30 of 1995 s. 76(1) and (3); No. 51 of 2004 s. 115(4).] </w:t>
      </w:r>
    </w:p>
    <w:p>
      <w:pPr>
        <w:pStyle w:val="Heading2"/>
        <w:rPr>
          <w:spacing w:val="-4"/>
        </w:rPr>
      </w:pPr>
      <w:bookmarkStart w:id="206" w:name="_Toc192041217"/>
      <w:r>
        <w:rPr>
          <w:rStyle w:val="CharPartNo"/>
          <w:spacing w:val="-4"/>
        </w:rPr>
        <w:t>Part 9</w:t>
      </w:r>
      <w:r>
        <w:t> </w:t>
      </w:r>
      <w:r>
        <w:rPr>
          <w:spacing w:val="-4"/>
        </w:rPr>
        <w:t>—</w:t>
      </w:r>
      <w:r>
        <w:t> </w:t>
      </w:r>
      <w:r>
        <w:rPr>
          <w:rStyle w:val="CharPartText"/>
          <w:spacing w:val="-4"/>
        </w:rPr>
        <w:t>Offences, penalties and legal proceedings</w:t>
      </w:r>
      <w:bookmarkEnd w:id="206"/>
      <w:r>
        <w:rPr>
          <w:rStyle w:val="CharPartText"/>
          <w:spacing w:val="-4"/>
        </w:rPr>
        <w:t xml:space="preserve"> </w:t>
      </w:r>
    </w:p>
    <w:p>
      <w:pPr>
        <w:pStyle w:val="Heading3"/>
      </w:pPr>
      <w:bookmarkStart w:id="207" w:name="_Toc192041218"/>
      <w:r>
        <w:rPr>
          <w:rStyle w:val="CharDivNo"/>
        </w:rPr>
        <w:t>Division 1</w:t>
      </w:r>
      <w:r>
        <w:t> — </w:t>
      </w:r>
      <w:r>
        <w:rPr>
          <w:rStyle w:val="CharDivText"/>
        </w:rPr>
        <w:t>General provisions</w:t>
      </w:r>
      <w:bookmarkEnd w:id="207"/>
    </w:p>
    <w:p>
      <w:pPr>
        <w:pStyle w:val="Footnoteheading"/>
      </w:pPr>
      <w:r>
        <w:tab/>
        <w:t xml:space="preserve">[Heading inserted by No. 68 of 2004 s. 28.] </w:t>
      </w:r>
    </w:p>
    <w:p>
      <w:pPr>
        <w:pStyle w:val="Heading5"/>
      </w:pPr>
      <w:bookmarkStart w:id="208" w:name="_Toc192041219"/>
      <w:r>
        <w:rPr>
          <w:rStyle w:val="CharSectno"/>
        </w:rPr>
        <w:t>94</w:t>
      </w:r>
      <w:r>
        <w:t>.</w:t>
      </w:r>
      <w:r>
        <w:tab/>
        <w:t>General penalty</w:t>
      </w:r>
      <w:bookmarkEnd w:id="208"/>
    </w:p>
    <w:p>
      <w:pPr>
        <w:pStyle w:val="Subsection"/>
      </w:pPr>
      <w:r>
        <w:tab/>
      </w:r>
      <w:r>
        <w:tab/>
        <w:t>If a person commits an offence against this Act for which a penalty is not otherwise provided, the person is liable to a level one penalty.</w:t>
      </w:r>
    </w:p>
    <w:p>
      <w:pPr>
        <w:pStyle w:val="Footnotesection"/>
      </w:pPr>
      <w:r>
        <w:tab/>
        <w:t>[Section 94 inserted by No. 68 of 2004 s. 29.]</w:t>
      </w:r>
    </w:p>
    <w:p>
      <w:pPr>
        <w:pStyle w:val="Heading5"/>
        <w:rPr>
          <w:snapToGrid w:val="0"/>
        </w:rPr>
      </w:pPr>
      <w:bookmarkStart w:id="209" w:name="_Toc192041220"/>
      <w:r>
        <w:rPr>
          <w:rStyle w:val="CharSectno"/>
        </w:rPr>
        <w:t>95</w:t>
      </w:r>
      <w:r>
        <w:rPr>
          <w:snapToGrid w:val="0"/>
        </w:rPr>
        <w:t>.</w:t>
      </w:r>
      <w:r>
        <w:rPr>
          <w:snapToGrid w:val="0"/>
        </w:rPr>
        <w:tab/>
        <w:t>Continuing offences</w:t>
      </w:r>
      <w:bookmarkEnd w:id="209"/>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t>
      </w:r>
    </w:p>
    <w:p>
      <w:pPr>
        <w:pStyle w:val="Subsection"/>
      </w:pPr>
      <w:r>
        <w:rPr>
          <w:snapToGrid w:val="0"/>
        </w:rPr>
        <w:tab/>
        <w:t>(2)</w:t>
      </w:r>
      <w:r>
        <w:rPr>
          <w:snapToGrid w:val="0"/>
        </w:rPr>
        <w:tab/>
        <w:t>Where an offence is deemed to continue, the person who committed the offence, whether by act or omission, commits an additional offence on each day during which the offence is deemed to continue</w:t>
      </w:r>
      <w:r>
        <w:t xml:space="preserve"> 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corporation,</w:t>
      </w:r>
    </w:p>
    <w:p>
      <w:pPr>
        <w:pStyle w:val="Subsection"/>
        <w:rPr>
          <w:snapToGrid w:val="0"/>
        </w:rPr>
      </w:pPr>
      <w:r>
        <w:tab/>
      </w:r>
      <w:r>
        <w:tab/>
        <w:t>for every day on which the offence is so continued.</w:t>
      </w:r>
    </w:p>
    <w:p>
      <w:pPr>
        <w:pStyle w:val="Footnotesection"/>
      </w:pPr>
      <w:r>
        <w:tab/>
        <w:t xml:space="preserve">[Section 95 amended by No. 30 of 1995 s. 72; No. 68 of 2004 s. 30.] </w:t>
      </w:r>
    </w:p>
    <w:p>
      <w:pPr>
        <w:pStyle w:val="Heading5"/>
        <w:rPr>
          <w:snapToGrid w:val="0"/>
        </w:rPr>
      </w:pPr>
      <w:bookmarkStart w:id="210" w:name="_Toc192041221"/>
      <w:r>
        <w:rPr>
          <w:rStyle w:val="CharSectno"/>
        </w:rPr>
        <w:t>96</w:t>
      </w:r>
      <w:r>
        <w:rPr>
          <w:snapToGrid w:val="0"/>
        </w:rPr>
        <w:t>.</w:t>
      </w:r>
      <w:r>
        <w:rPr>
          <w:snapToGrid w:val="0"/>
        </w:rPr>
        <w:tab/>
        <w:t>Proceedings to be taken by inspector or authorised officer</w:t>
      </w:r>
      <w:bookmarkEnd w:id="210"/>
      <w:r>
        <w:rPr>
          <w:snapToGrid w:val="0"/>
        </w:rPr>
        <w:t xml:space="preserve"> </w:t>
      </w:r>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snapToGrid w:val="0"/>
        </w:rPr>
      </w:pPr>
      <w:bookmarkStart w:id="211" w:name="_Toc192041222"/>
      <w:r>
        <w:rPr>
          <w:rStyle w:val="CharSectno"/>
        </w:rPr>
        <w:t>96A</w:t>
      </w:r>
      <w:r>
        <w:rPr>
          <w:snapToGrid w:val="0"/>
        </w:rPr>
        <w:t xml:space="preserve">. </w:t>
      </w:r>
      <w:r>
        <w:rPr>
          <w:snapToGrid w:val="0"/>
        </w:rPr>
        <w:tab/>
        <w:t>Proceedings to be determined by safety and health magistrate</w:t>
      </w:r>
      <w:bookmarkEnd w:id="211"/>
      <w:r>
        <w:rPr>
          <w:snapToGrid w:val="0"/>
        </w:rPr>
        <w:t xml:space="preserve"> </w:t>
      </w:r>
    </w:p>
    <w:p>
      <w:pPr>
        <w:pStyle w:val="Subsection"/>
        <w:rPr>
          <w:snapToGrid w:val="0"/>
        </w:rPr>
      </w:pPr>
      <w:r>
        <w:rPr>
          <w:snapToGrid w:val="0"/>
        </w:rPr>
        <w:tab/>
        <w:t>(1)</w:t>
      </w:r>
      <w:r>
        <w:rPr>
          <w:snapToGrid w:val="0"/>
        </w:rPr>
        <w:tab/>
        <w:t>Every proceeding for an offence under this Act is to be heard and determined by a safety and health magistrate.</w:t>
      </w:r>
    </w:p>
    <w:p>
      <w:pPr>
        <w:pStyle w:val="Subsection"/>
      </w:pPr>
      <w:r>
        <w:tab/>
        <w:t>(2)</w:t>
      </w:r>
      <w:r>
        <w:tab/>
        <w:t>When exercising jurisdiction under subsection (1) a safety and health magistrate constitutes a court of summary jurisdiction.</w:t>
      </w:r>
    </w:p>
    <w:p>
      <w:pPr>
        <w:pStyle w:val="Footnotesection"/>
      </w:pPr>
      <w:r>
        <w:tab/>
        <w:t xml:space="preserve">[Section 96A inserted by No. 30 of 1995 s. 73; amended by No. 68 of 2004 s.  81.] </w:t>
      </w:r>
    </w:p>
    <w:p>
      <w:pPr>
        <w:pStyle w:val="Heading5"/>
      </w:pPr>
      <w:bookmarkStart w:id="212" w:name="_Toc192041223"/>
      <w:r>
        <w:rPr>
          <w:rStyle w:val="CharSectno"/>
        </w:rPr>
        <w:t>97</w:t>
      </w:r>
      <w:r>
        <w:t>.</w:t>
      </w:r>
      <w:r>
        <w:tab/>
        <w:t>Time limit for prosecutions</w:t>
      </w:r>
      <w:bookmarkEnd w:id="212"/>
    </w:p>
    <w:p>
      <w:pPr>
        <w:pStyle w:val="Subsection"/>
      </w:pPr>
      <w:r>
        <w:tab/>
      </w:r>
      <w:r>
        <w:tab/>
        <w:t>Proceedings for an offence against this Act must be commenced within 3 years after the offence was committed.</w:t>
      </w:r>
    </w:p>
    <w:p>
      <w:pPr>
        <w:pStyle w:val="Footnotesection"/>
      </w:pPr>
      <w:r>
        <w:tab/>
        <w:t>[Section 97 inserted by No. 68 of 2004 s. 31(1).]</w:t>
      </w:r>
    </w:p>
    <w:p>
      <w:pPr>
        <w:pStyle w:val="Heading5"/>
        <w:rPr>
          <w:snapToGrid w:val="0"/>
        </w:rPr>
      </w:pPr>
      <w:bookmarkStart w:id="213" w:name="_Toc192041224"/>
      <w:r>
        <w:rPr>
          <w:rStyle w:val="CharSectno"/>
        </w:rPr>
        <w:t>98</w:t>
      </w:r>
      <w:r>
        <w:rPr>
          <w:snapToGrid w:val="0"/>
        </w:rPr>
        <w:t>.</w:t>
      </w:r>
      <w:r>
        <w:rPr>
          <w:snapToGrid w:val="0"/>
        </w:rPr>
        <w:tab/>
        <w:t>Evidentiary provisions</w:t>
      </w:r>
      <w:bookmarkEnd w:id="213"/>
      <w:r>
        <w:rPr>
          <w:snapToGrid w:val="0"/>
        </w:rPr>
        <w:t xml:space="preserve"> </w:t>
      </w:r>
    </w:p>
    <w:p>
      <w:pPr>
        <w:pStyle w:val="Subsection"/>
        <w:rPr>
          <w:snapToGrid w:val="0"/>
        </w:rPr>
      </w:pPr>
      <w:r>
        <w:rPr>
          <w:snapToGrid w:val="0"/>
        </w:rPr>
        <w:tab/>
        <w:t>(1)</w:t>
      </w:r>
      <w:r>
        <w:rPr>
          <w:snapToGrid w:val="0"/>
        </w:rPr>
        <w:tab/>
        <w:t>In a proceeding for an offence under this Act, an averment in the charge that at a particular time — </w:t>
      </w:r>
    </w:p>
    <w:p>
      <w:pPr>
        <w:pStyle w:val="Indenta"/>
        <w:rPr>
          <w:snapToGrid w:val="0"/>
        </w:rPr>
      </w:pPr>
      <w:r>
        <w:rPr>
          <w:snapToGrid w:val="0"/>
        </w:rPr>
        <w:tab/>
        <w:t>(a)</w:t>
      </w:r>
      <w:r>
        <w:rPr>
          <w:snapToGrid w:val="0"/>
        </w:rPr>
        <w:tab/>
        <w:t>a particular place was a mine;</w:t>
      </w:r>
    </w:p>
    <w:p>
      <w:pPr>
        <w:pStyle w:val="Indenta"/>
        <w:rPr>
          <w:snapToGrid w:val="0"/>
        </w:rPr>
      </w:pPr>
      <w:r>
        <w:rPr>
          <w:snapToGrid w:val="0"/>
        </w:rPr>
        <w:tab/>
        <w:t>(b)</w:t>
      </w:r>
      <w:r>
        <w:rPr>
          <w:snapToGrid w:val="0"/>
        </w:rPr>
        <w:tab/>
        <w:t>a particular person was an employer at a particular mine or was the principal employer at a mine;</w:t>
      </w:r>
    </w:p>
    <w:p>
      <w:pPr>
        <w:pStyle w:val="Indenta"/>
      </w:pPr>
      <w:r>
        <w:tab/>
        <w:t>(ba)</w:t>
      </w:r>
      <w:r>
        <w:tab/>
        <w:t>a particular person was an employer of a particular person or particular persons at a mine;</w:t>
      </w:r>
    </w:p>
    <w:p>
      <w:pPr>
        <w:pStyle w:val="Indenta"/>
      </w:pPr>
      <w:r>
        <w:tab/>
        <w:t>(bb)</w:t>
      </w:r>
      <w:r>
        <w:tab/>
        <w:t>a particular person was a principal or a contractor, within the meaning given by section 15A(1), at a mine;</w:t>
      </w:r>
    </w:p>
    <w:p>
      <w:pPr>
        <w:pStyle w:val="Indenta"/>
      </w:pPr>
      <w:r>
        <w:tab/>
        <w:t>(bc)</w:t>
      </w:r>
      <w:r>
        <w:tab/>
        <w:t>a particular person was, at a mine, a principal, within the meaning given by section 15A(1), in relation to a particular contractor or particular contractors within the meaning so given;</w:t>
      </w:r>
    </w:p>
    <w:p>
      <w:pPr>
        <w:pStyle w:val="Indenta"/>
        <w:rPr>
          <w:snapToGrid w:val="0"/>
        </w:rPr>
      </w:pPr>
      <w:r>
        <w:rPr>
          <w:snapToGrid w:val="0"/>
        </w:rPr>
        <w:tab/>
        <w:t>(c)</w:t>
      </w:r>
      <w:r>
        <w:rPr>
          <w:snapToGrid w:val="0"/>
        </w:rPr>
        <w:tab/>
        <w:t xml:space="preserve">a particular person was the registered manager </w:t>
      </w:r>
      <w:r>
        <w:t>of a mine or the underground manager or quarry manager for a mine</w:t>
      </w:r>
      <w:r>
        <w:rPr>
          <w:snapToGrid w:val="0"/>
        </w:rPr>
        <w:t xml:space="preserve"> or had been appointed to and held some other position at a mine;</w:t>
      </w:r>
    </w:p>
    <w:p>
      <w:pPr>
        <w:pStyle w:val="Indenta"/>
        <w:rPr>
          <w:snapToGrid w:val="0"/>
        </w:rPr>
      </w:pPr>
      <w:r>
        <w:rPr>
          <w:snapToGrid w:val="0"/>
        </w:rPr>
        <w:tab/>
        <w:t>(d)</w:t>
      </w:r>
      <w:r>
        <w:rPr>
          <w:snapToGrid w:val="0"/>
        </w:rPr>
        <w:tab/>
        <w:t>a notice required under this Act to be given had been given or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a particular person was an employee or an inspector or assistant inspector,</w:t>
      </w:r>
    </w:p>
    <w:p>
      <w:pPr>
        <w:pStyle w:val="Subsection"/>
        <w:rPr>
          <w:snapToGrid w:val="0"/>
        </w:rPr>
      </w:pPr>
      <w:r>
        <w:rPr>
          <w:snapToGrid w:val="0"/>
        </w:rPr>
        <w:tab/>
      </w:r>
      <w:r>
        <w:rPr>
          <w:snapToGrid w:val="0"/>
        </w:rPr>
        <w:tab/>
        <w:t>is deemed to have been proved in the absence of proof to the contrary.</w:t>
      </w:r>
    </w:p>
    <w:p>
      <w:pPr>
        <w:pStyle w:val="Subsection"/>
        <w:rPr>
          <w:snapToGrid w:val="0"/>
        </w:rPr>
      </w:pPr>
      <w:r>
        <w:rPr>
          <w:snapToGrid w:val="0"/>
        </w:rPr>
        <w:tab/>
        <w:t>(2)</w:t>
      </w:r>
      <w:r>
        <w:rPr>
          <w:snapToGrid w:val="0"/>
        </w:rPr>
        <w:tab/>
        <w:t>In a proceeding for an offence under this Act, proof is not required as to any of the following matters, unless evidence is given to the contrary — </w:t>
      </w:r>
    </w:p>
    <w:p>
      <w:pPr>
        <w:pStyle w:val="Indenta"/>
        <w:rPr>
          <w:snapToGrid w:val="0"/>
        </w:rPr>
      </w:pPr>
      <w:r>
        <w:rPr>
          <w:snapToGrid w:val="0"/>
        </w:rPr>
        <w:tab/>
        <w:t>(a)</w:t>
      </w:r>
      <w:r>
        <w:rPr>
          <w:snapToGrid w:val="0"/>
        </w:rPr>
        <w:tab/>
        <w:t>a delegation by the Minister to the State mining engineer or by the State mining engineer to any person for a particular purpose or to do a particular act;</w:t>
      </w:r>
    </w:p>
    <w:p>
      <w:pPr>
        <w:pStyle w:val="Indenta"/>
        <w:rPr>
          <w:snapToGrid w:val="0"/>
        </w:rPr>
      </w:pPr>
      <w:r>
        <w:rPr>
          <w:snapToGrid w:val="0"/>
        </w:rPr>
        <w:tab/>
        <w:t>(b)</w:t>
      </w:r>
      <w:r>
        <w:rPr>
          <w:snapToGrid w:val="0"/>
        </w:rPr>
        <w:tab/>
        <w:t xml:space="preserve">the authority of </w:t>
      </w:r>
      <w:r>
        <w:t>an inspector or</w:t>
      </w:r>
      <w:r>
        <w:rPr>
          <w:snapToGrid w:val="0"/>
        </w:rPr>
        <w:t xml:space="preserve"> a member of the Public Service to institute and conduct a proceeding for an offence under this Act.</w:t>
      </w:r>
    </w:p>
    <w:p>
      <w:pPr>
        <w:pStyle w:val="Subsection"/>
        <w:rPr>
          <w:snapToGrid w:val="0"/>
        </w:rPr>
      </w:pPr>
      <w:r>
        <w:rPr>
          <w:snapToGrid w:val="0"/>
        </w:rPr>
        <w:tab/>
        <w:t>(3)</w:t>
      </w:r>
      <w:r>
        <w:rPr>
          <w:snapToGrid w:val="0"/>
        </w:rPr>
        <w:tab/>
        <w:t xml:space="preserve">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copy of the original and that the original was served in the manner set out in the certificate. </w:t>
      </w:r>
    </w:p>
    <w:p>
      <w:pPr>
        <w:pStyle w:val="Subsection"/>
      </w:pPr>
      <w:r>
        <w:tab/>
        <w:t>(4)</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t>
      </w:r>
    </w:p>
    <w:p>
      <w:pPr>
        <w:pStyle w:val="Footnotesection"/>
      </w:pPr>
      <w:r>
        <w:tab/>
        <w:t>[Section 98 amended by No. 16 of 2002 s. 5; No. 68 of 2004 s. 32; No. 84 of 2004 s. 80.]</w:t>
      </w:r>
    </w:p>
    <w:p>
      <w:pPr>
        <w:pStyle w:val="Heading5"/>
        <w:rPr>
          <w:snapToGrid w:val="0"/>
        </w:rPr>
      </w:pPr>
      <w:bookmarkStart w:id="214" w:name="_Toc192041225"/>
      <w:r>
        <w:rPr>
          <w:rStyle w:val="CharSectno"/>
        </w:rPr>
        <w:t>99</w:t>
      </w:r>
      <w:r>
        <w:rPr>
          <w:snapToGrid w:val="0"/>
        </w:rPr>
        <w:t>.</w:t>
      </w:r>
      <w:r>
        <w:rPr>
          <w:snapToGrid w:val="0"/>
        </w:rPr>
        <w:tab/>
        <w:t>Vicarious responsibility of employers, managers, and supervisors</w:t>
      </w:r>
      <w:bookmarkEnd w:id="214"/>
      <w:r>
        <w:rPr>
          <w:snapToGrid w:val="0"/>
        </w:rPr>
        <w:t xml:space="preserve"> </w:t>
      </w:r>
    </w:p>
    <w:p>
      <w:pPr>
        <w:pStyle w:val="Subsection"/>
        <w:rPr>
          <w:snapToGrid w:val="0"/>
        </w:rPr>
      </w:pPr>
      <w:r>
        <w:rPr>
          <w:snapToGrid w:val="0"/>
        </w:rPr>
        <w:tab/>
        <w:t>(1)</w:t>
      </w:r>
      <w:r>
        <w:rPr>
          <w:snapToGrid w:val="0"/>
        </w:rPr>
        <w:tab/>
        <w:t>Where an offence under this Act</w:t>
      </w:r>
      <w:r>
        <w:t>, other than an offence to which section 99A applies,</w:t>
      </w:r>
      <w:r>
        <w:rPr>
          <w:snapToGrid w:val="0"/>
        </w:rPr>
        <w: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 </w:t>
      </w:r>
    </w:p>
    <w:p>
      <w:pPr>
        <w:pStyle w:val="Subsection"/>
        <w:rPr>
          <w:snapToGrid w:val="0"/>
        </w:rPr>
      </w:pPr>
      <w:r>
        <w:rPr>
          <w:snapToGrid w:val="0"/>
        </w:rPr>
        <w:tab/>
        <w:t>(2)</w:t>
      </w:r>
      <w:r>
        <w:rPr>
          <w:snapToGrid w:val="0"/>
        </w:rPr>
        <w:tab/>
        <w:t xml:space="preserve">In this section, </w:t>
      </w:r>
      <w:r>
        <w:rPr>
          <w:b/>
          <w:snapToGrid w:val="0"/>
        </w:rPr>
        <w:t>“</w:t>
      </w:r>
      <w:r>
        <w:rPr>
          <w:rStyle w:val="CharDefText"/>
        </w:rPr>
        <w:t>manager</w:t>
      </w:r>
      <w:r>
        <w:rPr>
          <w:b/>
          <w:snapToGrid w:val="0"/>
        </w:rPr>
        <w:t>”</w:t>
      </w:r>
      <w:r>
        <w:rPr>
          <w:snapToGrid w:val="0"/>
        </w:rPr>
        <w:t xml:space="preserve"> includes underground manager, quarry manager, and their alternates and deputies, underground superintendent, foreman (in relation to an underground metal mine), and deputy (in relation to an underground coal mine).</w:t>
      </w:r>
    </w:p>
    <w:p>
      <w:pPr>
        <w:pStyle w:val="Footnotesection"/>
      </w:pPr>
      <w:r>
        <w:tab/>
        <w:t>[Section 99 amended by No. 68 of 2004 s. 33.]</w:t>
      </w:r>
    </w:p>
    <w:p>
      <w:pPr>
        <w:pStyle w:val="Heading5"/>
        <w:spacing w:before="180"/>
      </w:pPr>
      <w:bookmarkStart w:id="215" w:name="_Toc192041226"/>
      <w:r>
        <w:rPr>
          <w:rStyle w:val="CharSectno"/>
        </w:rPr>
        <w:t>99A</w:t>
      </w:r>
      <w:r>
        <w:t>.</w:t>
      </w:r>
      <w:r>
        <w:tab/>
        <w:t>Vicarious responsibility for offences involving gross negligence</w:t>
      </w:r>
      <w:bookmarkEnd w:id="215"/>
    </w:p>
    <w:p>
      <w:pPr>
        <w:pStyle w:val="Subsection"/>
        <w:spacing w:before="120"/>
        <w:outlineLvl w:val="0"/>
      </w:pPr>
      <w:r>
        <w:tab/>
        <w:t>(1)</w:t>
      </w:r>
      <w:r>
        <w:tab/>
        <w:t xml:space="preserve">In this section — </w:t>
      </w:r>
    </w:p>
    <w:p>
      <w:pPr>
        <w:pStyle w:val="Defstart"/>
      </w:pPr>
      <w:r>
        <w:rPr>
          <w:b/>
        </w:rPr>
        <w:tab/>
        <w:t>“</w:t>
      </w:r>
      <w:r>
        <w:rPr>
          <w:rStyle w:val="CharDefText"/>
        </w:rPr>
        <w:t>manager</w:t>
      </w:r>
      <w:r>
        <w:rPr>
          <w:b/>
        </w:rPr>
        <w:t>”</w:t>
      </w:r>
      <w:r>
        <w:t xml:space="preserve"> has the meaning given by section 99(2); </w:t>
      </w:r>
    </w:p>
    <w:p>
      <w:pPr>
        <w:pStyle w:val="Defstart"/>
      </w:pPr>
      <w:r>
        <w:tab/>
      </w:r>
      <w:r>
        <w:rPr>
          <w:b/>
        </w:rPr>
        <w:t>“</w:t>
      </w:r>
      <w:r>
        <w:rPr>
          <w:rStyle w:val="CharDefText"/>
        </w:rPr>
        <w:t>superior officer</w:t>
      </w:r>
      <w:r>
        <w:rPr>
          <w:b/>
        </w:rPr>
        <w:t>”</w:t>
      </w:r>
      <w:r>
        <w:t>, except as otherwise provided, means an employer, manager or supervisor or a person purporting to act in that capacity.</w:t>
      </w:r>
    </w:p>
    <w:p>
      <w:pPr>
        <w:pStyle w:val="Subsection"/>
        <w:spacing w:before="120"/>
        <w:outlineLvl w:val="0"/>
      </w:pPr>
      <w:r>
        <w:tab/>
        <w:t>(2)</w:t>
      </w:r>
      <w:r>
        <w:tab/>
        <w:t>Where a person commits an offence under section 9A(1), 10A(1), 12A(1) or 15(1),</w:t>
      </w:r>
      <w:r>
        <w:rPr>
          <w:b/>
        </w:rPr>
        <w:t xml:space="preserve"> </w:t>
      </w:r>
      <w:r>
        <w:t xml:space="preserve">the following provisions apply — </w:t>
      </w:r>
    </w:p>
    <w:p>
      <w:pPr>
        <w:pStyle w:val="Indenta"/>
      </w:pPr>
      <w:r>
        <w:tab/>
        <w:t>(a)</w:t>
      </w:r>
      <w:r>
        <w:tab/>
        <w:t xml:space="preserve">a superior officer in relation to the person also commits that offence if it is proved that — </w:t>
      </w:r>
    </w:p>
    <w:p>
      <w:pPr>
        <w:pStyle w:val="Indenti"/>
        <w:spacing w:before="60"/>
      </w:pPr>
      <w:r>
        <w:tab/>
        <w:t>(i)</w:t>
      </w:r>
      <w:r>
        <w:tab/>
        <w:t>the superior officer, being an employer or manager or a person purporting to act in that capacity, knowingly permitted or employed the person to commit the offence;</w:t>
      </w:r>
    </w:p>
    <w:p>
      <w:pPr>
        <w:pStyle w:val="Indenti"/>
        <w:spacing w:before="60"/>
      </w:pPr>
      <w:r>
        <w:tab/>
        <w:t>(ii)</w:t>
      </w:r>
      <w:r>
        <w:tab/>
        <w:t>the offence was attributable to any neglect on the part of the superior officer; or</w:t>
      </w:r>
    </w:p>
    <w:p>
      <w:pPr>
        <w:pStyle w:val="Indenti"/>
        <w:spacing w:before="60"/>
      </w:pPr>
      <w:r>
        <w:tab/>
        <w:t>(iii)</w:t>
      </w:r>
      <w:r>
        <w:tab/>
        <w:t>the superior officer consented to or connived in the acts or omissions to which section 8B(2)(a)(ii) applied that were proved against the person,</w:t>
      </w:r>
    </w:p>
    <w:p>
      <w:pPr>
        <w:pStyle w:val="Indenta"/>
        <w:spacing w:before="60"/>
      </w:pPr>
      <w:r>
        <w:tab/>
      </w:r>
      <w:r>
        <w:tab/>
        <w:t xml:space="preserve">in circumstances where the superior officer — </w:t>
      </w:r>
    </w:p>
    <w:p>
      <w:pPr>
        <w:pStyle w:val="Indenti"/>
        <w:spacing w:before="60"/>
      </w:pPr>
      <w:r>
        <w:tab/>
        <w:t>(iv)</w:t>
      </w:r>
      <w:r>
        <w:tab/>
        <w:t>knew that the contravention would be likely to cause the death of, or serious harm to, a person to whom a duty was owed; but</w:t>
      </w:r>
    </w:p>
    <w:p>
      <w:pPr>
        <w:pStyle w:val="Indenti"/>
        <w:spacing w:before="60"/>
      </w:pPr>
      <w:r>
        <w:tab/>
        <w:t>(v)</w:t>
      </w:r>
      <w:r>
        <w:tab/>
        <w:t xml:space="preserve">acted or failed to act as mentioned in subparagraph (i), (ii) or (iii) in disregard of that likelihood; </w:t>
      </w:r>
    </w:p>
    <w:p>
      <w:pPr>
        <w:pStyle w:val="Indenta"/>
      </w:pPr>
      <w:r>
        <w:tab/>
        <w:t>(b)</w:t>
      </w:r>
      <w:r>
        <w:tab/>
        <w:t xml:space="preserve">if paragraph (a) does not apply, a superior officer in relation to the person commits an offence under section 9A(2), 10A(2), 12A(2) or 15(2), as the case may require, if it is proved that —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pPr>
      <w:r>
        <w:tab/>
        <w:t>(ii)</w:t>
      </w:r>
      <w:r>
        <w:tab/>
        <w:t xml:space="preserve">the offence of the person — </w:t>
      </w:r>
    </w:p>
    <w:p>
      <w:pPr>
        <w:pStyle w:val="IndentI0"/>
      </w:pPr>
      <w:r>
        <w:tab/>
        <w:t>(I)</w:t>
      </w:r>
      <w:r>
        <w:tab/>
        <w:t xml:space="preserve">occurred with the consent or connivance of the superior officer; or </w:t>
      </w:r>
    </w:p>
    <w:p>
      <w:pPr>
        <w:pStyle w:val="IndentI0"/>
      </w:pPr>
      <w:r>
        <w:tab/>
        <w:t>(II)</w:t>
      </w:r>
      <w:r>
        <w:tab/>
        <w:t>was attributable to any neglect on the part of the superior officer.</w:t>
      </w:r>
    </w:p>
    <w:p>
      <w:pPr>
        <w:pStyle w:val="Footnotesection"/>
      </w:pPr>
      <w:r>
        <w:tab/>
        <w:t>[Section 99A inserted by No. 68 of 2004 s. 34.]</w:t>
      </w:r>
    </w:p>
    <w:p>
      <w:pPr>
        <w:pStyle w:val="Heading5"/>
        <w:rPr>
          <w:snapToGrid w:val="0"/>
        </w:rPr>
      </w:pPr>
      <w:bookmarkStart w:id="216" w:name="_Toc192041227"/>
      <w:r>
        <w:rPr>
          <w:rStyle w:val="CharSectno"/>
        </w:rPr>
        <w:t>100</w:t>
      </w:r>
      <w:r>
        <w:rPr>
          <w:snapToGrid w:val="0"/>
        </w:rPr>
        <w:t>.</w:t>
      </w:r>
      <w:r>
        <w:rPr>
          <w:snapToGrid w:val="0"/>
        </w:rPr>
        <w:tab/>
        <w:t>Offences by corporations</w:t>
      </w:r>
      <w:bookmarkEnd w:id="216"/>
      <w:r>
        <w:rPr>
          <w:snapToGrid w:val="0"/>
        </w:rPr>
        <w:t xml:space="preserve"> </w:t>
      </w:r>
    </w:p>
    <w:p>
      <w:pPr>
        <w:pStyle w:val="Subsection"/>
        <w:rPr>
          <w:snapToGrid w:val="0"/>
        </w:rPr>
      </w:pPr>
      <w:r>
        <w:rPr>
          <w:snapToGrid w:val="0"/>
        </w:rPr>
        <w:tab/>
        <w:t>(1)</w:t>
      </w:r>
      <w:r>
        <w:rPr>
          <w:snapToGrid w:val="0"/>
        </w:rPr>
        <w:tab/>
        <w:t>Where a corporation commits an offence under this Act</w:t>
      </w:r>
      <w:r>
        <w:t>, other than an offence to which section 100A applies,</w:t>
      </w:r>
      <w:r>
        <w:rPr>
          <w:snapToGrid w:val="0"/>
        </w:rPr>
        <w:t xml:space="preserve"> 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subsection (1) and section 100A apply</w:t>
      </w:r>
      <w:r>
        <w:rPr>
          <w:snapToGrid w:val="0"/>
        </w:rPr>
        <w:t xml:space="preserve"> in relation to the acts and defaults of a 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by No. 68 of 2004 s. 35.]</w:t>
      </w:r>
    </w:p>
    <w:p>
      <w:pPr>
        <w:pStyle w:val="Heading5"/>
      </w:pPr>
      <w:bookmarkStart w:id="217" w:name="_Toc192041228"/>
      <w:r>
        <w:rPr>
          <w:rStyle w:val="CharSectno"/>
        </w:rPr>
        <w:t>100A</w:t>
      </w:r>
      <w:r>
        <w:t>.</w:t>
      </w:r>
      <w:r>
        <w:tab/>
        <w:t>Responsibility of officers of corporation for offences involving gross negligence</w:t>
      </w:r>
      <w:bookmarkEnd w:id="217"/>
    </w:p>
    <w:p>
      <w:pPr>
        <w:pStyle w:val="Subsection"/>
      </w:pPr>
      <w:r>
        <w:tab/>
        <w:t>(1)</w:t>
      </w:r>
      <w:r>
        <w:tab/>
        <w:t xml:space="preserve">In this section — </w:t>
      </w:r>
    </w:p>
    <w:p>
      <w:pPr>
        <w:pStyle w:val="Defstart"/>
      </w:pPr>
      <w:r>
        <w:rPr>
          <w:b/>
        </w:rPr>
        <w:tab/>
        <w:t>“</w:t>
      </w:r>
      <w:r>
        <w:rPr>
          <w:rStyle w:val="CharDefText"/>
        </w:rPr>
        <w:t>officer</w:t>
      </w:r>
      <w:r>
        <w:rPr>
          <w:b/>
        </w:rPr>
        <w:t>”</w:t>
      </w:r>
      <w:r>
        <w:t xml:space="preserve"> means a director, manager, secretary or other officer of a corporation or a person purporting to act in that capacity.</w:t>
      </w:r>
    </w:p>
    <w:p>
      <w:pPr>
        <w:pStyle w:val="Subsection"/>
      </w:pPr>
      <w:r>
        <w:tab/>
        <w:t>(2)</w:t>
      </w:r>
      <w:r>
        <w:tab/>
        <w:t>Where a corporation commits an offence under section 9A(1), 12A(1), 12C(1), 13A(1) or 15E(1)</w:t>
      </w:r>
      <w:r>
        <w:rPr>
          <w:b/>
        </w:rPr>
        <w:t xml:space="preserve"> </w:t>
      </w:r>
      <w:r>
        <w:t xml:space="preserve">the following provisions apply — </w:t>
      </w:r>
    </w:p>
    <w:p>
      <w:pPr>
        <w:pStyle w:val="Indenta"/>
        <w:spacing w:before="100"/>
      </w:pPr>
      <w:r>
        <w:tab/>
        <w:t>(a)</w:t>
      </w:r>
      <w:r>
        <w:tab/>
        <w:t xml:space="preserve">an officer also commits that offence if it is proved that — </w:t>
      </w:r>
    </w:p>
    <w:p>
      <w:pPr>
        <w:pStyle w:val="Indenti"/>
        <w:spacing w:before="100"/>
      </w:pPr>
      <w:r>
        <w:tab/>
        <w:t>(i)</w:t>
      </w:r>
      <w:r>
        <w:tab/>
        <w:t>the offence was attributable to any neglect on the part of the officer; or</w:t>
      </w:r>
    </w:p>
    <w:p>
      <w:pPr>
        <w:pStyle w:val="Indenti"/>
        <w:spacing w:before="100"/>
      </w:pPr>
      <w:r>
        <w:tab/>
        <w:t>(ii)</w:t>
      </w:r>
      <w:r>
        <w:tab/>
        <w:t>the officer consented to or connived in the acts or omissions to which section 8B(2)(a)(ii) applied that were proved against the corporation,</w:t>
      </w:r>
    </w:p>
    <w:p>
      <w:pPr>
        <w:pStyle w:val="Indenta"/>
        <w:spacing w:before="100"/>
      </w:pPr>
      <w:r>
        <w:tab/>
      </w:r>
      <w:r>
        <w:tab/>
        <w:t xml:space="preserve">in circumstances where the officer — </w:t>
      </w:r>
    </w:p>
    <w:p>
      <w:pPr>
        <w:pStyle w:val="Indenti"/>
        <w:spacing w:before="100"/>
      </w:pPr>
      <w:r>
        <w:tab/>
        <w:t>(iii)</w:t>
      </w:r>
      <w:r>
        <w:tab/>
        <w:t>knew that the contravention would be likely to cause the death of, or serious harm to, a person to whom a duty was owed; but</w:t>
      </w:r>
    </w:p>
    <w:p>
      <w:pPr>
        <w:pStyle w:val="Indenti"/>
        <w:spacing w:before="100"/>
      </w:pPr>
      <w:r>
        <w:tab/>
        <w:t>(iv)</w:t>
      </w:r>
      <w:r>
        <w:tab/>
        <w:t xml:space="preserve">acted or failed to act as mentioned in subparagraph (i) or (ii) in disregard of that likelihood; </w:t>
      </w:r>
    </w:p>
    <w:p>
      <w:pPr>
        <w:pStyle w:val="Indenta"/>
        <w:spacing w:before="100"/>
      </w:pPr>
      <w:r>
        <w:tab/>
        <w:t>(b)</w:t>
      </w:r>
      <w:r>
        <w:tab/>
        <w:t xml:space="preserve">if paragraph (a) does not apply, an officer commits an offence under section 9A(2), 12A(2), 12C(2), 13A(2) or 15E(2), as the case may require, if it is proved that the offence of the corporation — </w:t>
      </w:r>
    </w:p>
    <w:p>
      <w:pPr>
        <w:pStyle w:val="Indenti"/>
        <w:spacing w:before="100"/>
      </w:pPr>
      <w:r>
        <w:tab/>
        <w:t>(i)</w:t>
      </w:r>
      <w:r>
        <w:tab/>
        <w:t xml:space="preserve">occurred with the consent or connivance of the officer; or </w:t>
      </w:r>
    </w:p>
    <w:p>
      <w:pPr>
        <w:pStyle w:val="Indenti"/>
        <w:spacing w:before="100"/>
      </w:pPr>
      <w:r>
        <w:tab/>
        <w:t>(ii)</w:t>
      </w:r>
      <w:r>
        <w:tab/>
        <w:t>was attributable to any neglect on the part of the officer.</w:t>
      </w:r>
    </w:p>
    <w:p>
      <w:pPr>
        <w:pStyle w:val="Subsection"/>
        <w:spacing w:before="200"/>
      </w:pPr>
      <w:r>
        <w:tab/>
        <w:t>(3)</w:t>
      </w:r>
      <w:r>
        <w:tab/>
        <w:t>A person convicted of an offence by virtue of this section is liable to the penalty to which an individual who is convicted of that offence is liable.</w:t>
      </w:r>
    </w:p>
    <w:p>
      <w:pPr>
        <w:pStyle w:val="Footnotesection"/>
      </w:pPr>
      <w:r>
        <w:tab/>
        <w:t>[Section 100A inserted by No. 68 of 2004 s. 36.]</w:t>
      </w:r>
    </w:p>
    <w:p>
      <w:pPr>
        <w:pStyle w:val="Heading5"/>
        <w:rPr>
          <w:snapToGrid w:val="0"/>
        </w:rPr>
      </w:pPr>
      <w:bookmarkStart w:id="218" w:name="_Toc192041229"/>
      <w:r>
        <w:rPr>
          <w:rStyle w:val="CharSectno"/>
        </w:rPr>
        <w:t>101</w:t>
      </w:r>
      <w:r>
        <w:rPr>
          <w:snapToGrid w:val="0"/>
        </w:rPr>
        <w:t>.</w:t>
      </w:r>
      <w:r>
        <w:rPr>
          <w:snapToGrid w:val="0"/>
        </w:rPr>
        <w:tab/>
        <w:t>False or misleading information</w:t>
      </w:r>
      <w:bookmarkEnd w:id="218"/>
      <w:r>
        <w:rPr>
          <w:snapToGrid w:val="0"/>
        </w:rPr>
        <w:t xml:space="preserve"> </w:t>
      </w:r>
    </w:p>
    <w:p>
      <w:pPr>
        <w:pStyle w:val="Subsection"/>
        <w:keepNext/>
        <w:spacing w:before="200"/>
        <w:rPr>
          <w:snapToGrid w:val="0"/>
        </w:rPr>
      </w:pPr>
      <w:r>
        <w:rPr>
          <w:snapToGrid w:val="0"/>
        </w:rPr>
        <w:tab/>
      </w:r>
      <w:r>
        <w:rPr>
          <w:snapToGrid w:val="0"/>
        </w:rPr>
        <w:tab/>
        <w:t>A person who knowingly or recklessly — </w:t>
      </w:r>
    </w:p>
    <w:p>
      <w:pPr>
        <w:pStyle w:val="Indenta"/>
        <w:spacing w:before="60"/>
        <w:rPr>
          <w:snapToGrid w:val="0"/>
        </w:rPr>
      </w:pPr>
      <w:r>
        <w:rPr>
          <w:snapToGrid w:val="0"/>
        </w:rPr>
        <w:tab/>
        <w:t>(a)</w:t>
      </w:r>
      <w:r>
        <w:rPr>
          <w:snapToGrid w:val="0"/>
        </w:rPr>
        <w:tab/>
        <w:t>in relation to an application for a certificate of competency or an authorised mine surveyor’s certificate under this Act; or</w:t>
      </w:r>
    </w:p>
    <w:p>
      <w:pPr>
        <w:pStyle w:val="Indenta"/>
        <w:rPr>
          <w:snapToGrid w:val="0"/>
        </w:rPr>
      </w:pPr>
      <w:r>
        <w:rPr>
          <w:snapToGrid w:val="0"/>
        </w:rPr>
        <w:tab/>
        <w:t>(b)</w:t>
      </w:r>
      <w:r>
        <w:rPr>
          <w:snapToGrid w:val="0"/>
        </w:rPr>
        <w:tab/>
        <w:t>in response to a requirement, direction, inquiry, or request made by an inspector or assistant inspector for the purposes of this Act,</w:t>
      </w:r>
    </w:p>
    <w:p>
      <w:pPr>
        <w:pStyle w:val="Subsection"/>
        <w:rPr>
          <w:snapToGrid w:val="0"/>
        </w:rPr>
      </w:pPr>
      <w:r>
        <w:rPr>
          <w:snapToGrid w:val="0"/>
        </w:rPr>
        <w:tab/>
      </w:r>
      <w:r>
        <w:rPr>
          <w:snapToGrid w:val="0"/>
        </w:rPr>
        <w:tab/>
        <w: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t>
      </w:r>
    </w:p>
    <w:p>
      <w:pPr>
        <w:pStyle w:val="Heading5"/>
      </w:pPr>
      <w:bookmarkStart w:id="219" w:name="_Toc192041230"/>
      <w:r>
        <w:rPr>
          <w:rStyle w:val="CharSectno"/>
        </w:rPr>
        <w:t>101A</w:t>
      </w:r>
      <w:r>
        <w:t>.</w:t>
      </w:r>
      <w:r>
        <w:tab/>
        <w:t>No double jeopardy</w:t>
      </w:r>
      <w:bookmarkEnd w:id="219"/>
    </w:p>
    <w:p>
      <w:pPr>
        <w:pStyle w:val="Subsection"/>
      </w:pPr>
      <w:r>
        <w:tab/>
      </w:r>
      <w:r>
        <w:tab/>
        <w:t>A person is not liable to be punished twice under this Act in respect of any act or omission.</w:t>
      </w:r>
    </w:p>
    <w:p>
      <w:pPr>
        <w:pStyle w:val="Footnotesection"/>
      </w:pPr>
      <w:r>
        <w:tab/>
        <w:t>[Section 101A inserted by No. 68 of 2004 s. 37.]</w:t>
      </w:r>
    </w:p>
    <w:p>
      <w:pPr>
        <w:pStyle w:val="Heading3"/>
      </w:pPr>
      <w:bookmarkStart w:id="220" w:name="_Toc192041231"/>
      <w:r>
        <w:rPr>
          <w:rStyle w:val="CharDivNo"/>
        </w:rPr>
        <w:t>Division 2</w:t>
      </w:r>
      <w:r>
        <w:t> — </w:t>
      </w:r>
      <w:r>
        <w:rPr>
          <w:rStyle w:val="CharDivText"/>
        </w:rPr>
        <w:t>Undertaking by offender in lieu of payment of fine</w:t>
      </w:r>
      <w:bookmarkEnd w:id="220"/>
    </w:p>
    <w:p>
      <w:pPr>
        <w:pStyle w:val="Footnoteheading"/>
      </w:pPr>
      <w:r>
        <w:tab/>
        <w:t xml:space="preserve">[Heading inserted by No. 68 of 2004 s. 38.] </w:t>
      </w:r>
    </w:p>
    <w:p>
      <w:pPr>
        <w:pStyle w:val="Heading5"/>
      </w:pPr>
      <w:bookmarkStart w:id="221" w:name="_Toc192041232"/>
      <w:r>
        <w:rPr>
          <w:rStyle w:val="CharSectno"/>
        </w:rPr>
        <w:t>101B</w:t>
      </w:r>
      <w:r>
        <w:t>.</w:t>
      </w:r>
      <w:r>
        <w:tab/>
        <w:t>Terms used in this Division</w:t>
      </w:r>
      <w:bookmarkEnd w:id="221"/>
    </w:p>
    <w:p>
      <w:pPr>
        <w:pStyle w:val="Subsection"/>
      </w:pPr>
      <w:r>
        <w:tab/>
      </w:r>
      <w:r>
        <w:tab/>
        <w:t xml:space="preserve">In this Division — </w:t>
      </w:r>
    </w:p>
    <w:p>
      <w:pPr>
        <w:pStyle w:val="Defstart"/>
      </w:pPr>
      <w:r>
        <w:rPr>
          <w:b/>
        </w:rPr>
        <w:tab/>
        <w:t>“</w:t>
      </w:r>
      <w:r>
        <w:rPr>
          <w:rStyle w:val="CharDefText"/>
        </w:rPr>
        <w:t>convicted</w:t>
      </w:r>
      <w:r>
        <w:rPr>
          <w:b/>
        </w:rPr>
        <w:t>”</w:t>
      </w:r>
      <w:r>
        <w:t xml:space="preserve"> means found guilty of an offence, whether after a plea of guilty or otherwise;</w:t>
      </w:r>
    </w:p>
    <w:p>
      <w:pPr>
        <w:pStyle w:val="Defstart"/>
      </w:pPr>
      <w:r>
        <w:rPr>
          <w:b/>
        </w:rPr>
        <w:tab/>
        <w:t>“</w:t>
      </w:r>
      <w:r>
        <w:rPr>
          <w:rStyle w:val="CharDefText"/>
        </w:rPr>
        <w:t>court</w:t>
      </w:r>
      <w:r>
        <w:rPr>
          <w:b/>
        </w:rPr>
        <w:t>”</w:t>
      </w:r>
      <w:r>
        <w:t xml:space="preserve"> means a safety and health magistrate exercising jurisdiction under section 96A;</w:t>
      </w:r>
    </w:p>
    <w:p>
      <w:pPr>
        <w:pStyle w:val="Defstart"/>
      </w:pPr>
      <w:r>
        <w:rPr>
          <w:b/>
        </w:rPr>
        <w:tab/>
        <w:t>“</w:t>
      </w:r>
      <w:r>
        <w:rPr>
          <w:rStyle w:val="CharDefText"/>
        </w:rPr>
        <w:t>relevant offence</w:t>
      </w:r>
      <w:r>
        <w:rPr>
          <w:b/>
        </w:rPr>
        <w:t>”</w:t>
      </w:r>
      <w:r>
        <w:t xml:space="preserve"> means an offence against — </w:t>
      </w:r>
    </w:p>
    <w:p>
      <w:pPr>
        <w:pStyle w:val="Defpara"/>
      </w:pPr>
      <w:r>
        <w:tab/>
        <w:t>(a)</w:t>
      </w:r>
      <w:r>
        <w:tab/>
        <w:t xml:space="preserve">section 21(5), 29(4), 55(7), 60(8), 61(2), 65(2), 66(3) or 70(4); </w:t>
      </w:r>
    </w:p>
    <w:p>
      <w:pPr>
        <w:pStyle w:val="Defpara"/>
      </w:pPr>
      <w:r>
        <w:tab/>
        <w:t>(b)</w:t>
      </w:r>
      <w:r>
        <w:tab/>
        <w:t>any provision of Part 3 Division 3; or</w:t>
      </w:r>
    </w:p>
    <w:p>
      <w:pPr>
        <w:pStyle w:val="Defpara"/>
      </w:pPr>
      <w:r>
        <w:tab/>
        <w:t>(c)</w:t>
      </w:r>
      <w:r>
        <w:tab/>
        <w:t>the regulations.</w:t>
      </w:r>
    </w:p>
    <w:p>
      <w:pPr>
        <w:pStyle w:val="Footnotesection"/>
      </w:pPr>
      <w:r>
        <w:tab/>
        <w:t>[Section 101B inserted by No. 68 of 2004 s. 38.]</w:t>
      </w:r>
    </w:p>
    <w:p>
      <w:pPr>
        <w:pStyle w:val="Heading5"/>
      </w:pPr>
      <w:bookmarkStart w:id="222" w:name="_Toc192041233"/>
      <w:r>
        <w:rPr>
          <w:rStyle w:val="CharSectno"/>
        </w:rPr>
        <w:t>101C</w:t>
      </w:r>
      <w:r>
        <w:t>.</w:t>
      </w:r>
      <w:r>
        <w:tab/>
        <w:t>Court may allow offender to make election</w:t>
      </w:r>
      <w:bookmarkEnd w:id="222"/>
    </w:p>
    <w:p>
      <w:pPr>
        <w:pStyle w:val="Subsection"/>
      </w:pPr>
      <w:r>
        <w:tab/>
        <w:t>(1)</w:t>
      </w:r>
      <w:r>
        <w:tab/>
        <w:t xml:space="preserve">Where — </w:t>
      </w:r>
    </w:p>
    <w:p>
      <w:pPr>
        <w:pStyle w:val="Indenta"/>
      </w:pPr>
      <w:r>
        <w:tab/>
        <w:t>(a)</w:t>
      </w:r>
      <w:r>
        <w:tab/>
        <w:t xml:space="preserve">a person (the </w:t>
      </w:r>
      <w:r>
        <w:rPr>
          <w:b/>
        </w:rPr>
        <w:t>“</w:t>
      </w:r>
      <w:r>
        <w:rPr>
          <w:rStyle w:val="CharDefText"/>
        </w:rPr>
        <w:t>offender</w:t>
      </w:r>
      <w:r>
        <w:rPr>
          <w:b/>
        </w:rPr>
        <w:t>”</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State mining engineer under section 101G not later than a day specified by the court.</w:t>
      </w:r>
    </w:p>
    <w:p>
      <w:pPr>
        <w:pStyle w:val="Subsection"/>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prosecutor does not oppose that being done;</w:t>
      </w:r>
    </w:p>
    <w:p>
      <w:pPr>
        <w:pStyle w:val="Indenta"/>
      </w:pPr>
      <w:r>
        <w:tab/>
        <w:t>(c)</w:t>
      </w:r>
      <w:r>
        <w:tab/>
        <w:t>the offender and the State mining engineer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prosecutor time to consider whether to oppose that being done,</w:t>
      </w:r>
    </w:p>
    <w:p>
      <w:pPr>
        <w:pStyle w:val="Subsection"/>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101C inserted by No. 68 of 2004 s. 38.]</w:t>
      </w:r>
    </w:p>
    <w:p>
      <w:pPr>
        <w:pStyle w:val="Heading5"/>
      </w:pPr>
      <w:bookmarkStart w:id="223" w:name="_Toc192041234"/>
      <w:r>
        <w:rPr>
          <w:rStyle w:val="CharSectno"/>
        </w:rPr>
        <w:t>101D</w:t>
      </w:r>
      <w:r>
        <w:t>.</w:t>
      </w:r>
      <w:r>
        <w:tab/>
        <w:t>Making of election</w:t>
      </w:r>
      <w:bookmarkEnd w:id="223"/>
    </w:p>
    <w:p>
      <w:pPr>
        <w:pStyle w:val="Subsection"/>
        <w:outlineLvl w:val="0"/>
      </w:pPr>
      <w:r>
        <w:tab/>
        <w:t>(1)</w:t>
      </w:r>
      <w:r>
        <w:tab/>
        <w:t xml:space="preserve">An election is made, pursuant to an order under section 101C(1), by the offender — </w:t>
      </w:r>
    </w:p>
    <w:p>
      <w:pPr>
        <w:pStyle w:val="Indenta"/>
      </w:pPr>
      <w:r>
        <w:tab/>
        <w:t>(a)</w:t>
      </w:r>
      <w:r>
        <w:tab/>
        <w:t xml:space="preserve">lodging an election in writing with the court in which the order was made; and </w:t>
      </w:r>
    </w:p>
    <w:p>
      <w:pPr>
        <w:pStyle w:val="Indenta"/>
      </w:pPr>
      <w:r>
        <w:tab/>
        <w:t>(b)</w:t>
      </w:r>
      <w:r>
        <w:tab/>
        <w:t>serving a copy of the election on the State mining engineer,</w:t>
      </w:r>
    </w:p>
    <w:p>
      <w:pPr>
        <w:pStyle w:val="Subsection"/>
      </w:pPr>
      <w:r>
        <w:tab/>
      </w:r>
      <w:r>
        <w:tab/>
        <w:t>not later than 28 days after the day on which the order was made.</w:t>
      </w:r>
    </w:p>
    <w:p>
      <w:pPr>
        <w:pStyle w:val="Subsection"/>
        <w:outlineLvl w:val="0"/>
      </w:pPr>
      <w:r>
        <w:tab/>
        <w:t>(2)</w:t>
      </w:r>
      <w:r>
        <w:tab/>
        <w:t xml:space="preserve">If — </w:t>
      </w:r>
    </w:p>
    <w:p>
      <w:pPr>
        <w:pStyle w:val="Indenta"/>
      </w:pPr>
      <w:r>
        <w:tab/>
        <w:t>(a)</w:t>
      </w:r>
      <w:r>
        <w:tab/>
        <w:t>an order is made under section 101C(1);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101D inserted by No. 68 of 2004 s. 38.]</w:t>
      </w:r>
    </w:p>
    <w:p>
      <w:pPr>
        <w:pStyle w:val="Heading5"/>
      </w:pPr>
      <w:bookmarkStart w:id="224" w:name="_Toc192041235"/>
      <w:r>
        <w:rPr>
          <w:rStyle w:val="CharSectno"/>
        </w:rPr>
        <w:t>101E</w:t>
      </w:r>
      <w:r>
        <w:t>.</w:t>
      </w:r>
      <w:r>
        <w:tab/>
        <w:t>Failure to enter into undertaking</w:t>
      </w:r>
      <w:bookmarkEnd w:id="224"/>
    </w:p>
    <w:p>
      <w:pPr>
        <w:pStyle w:val="Subsection"/>
      </w:pPr>
      <w:r>
        <w:tab/>
      </w:r>
      <w:r>
        <w:tab/>
        <w:t>An election under section 101D to enter into an undertaking lapses if the undertaking is for any reason not entered into before the time allowed under section 101C(1)(d).</w:t>
      </w:r>
    </w:p>
    <w:p>
      <w:pPr>
        <w:pStyle w:val="Footnotesection"/>
      </w:pPr>
      <w:r>
        <w:tab/>
        <w:t>[Section 101E inserted by No. 68 of 2004 s. 38.]</w:t>
      </w:r>
    </w:p>
    <w:p>
      <w:pPr>
        <w:pStyle w:val="Heading5"/>
      </w:pPr>
      <w:bookmarkStart w:id="225" w:name="_Toc192041236"/>
      <w:r>
        <w:rPr>
          <w:rStyle w:val="CharSectno"/>
        </w:rPr>
        <w:t>101F</w:t>
      </w:r>
      <w:r>
        <w:t>.</w:t>
      </w:r>
      <w:r>
        <w:tab/>
        <w:t>Time for payment of fines</w:t>
      </w:r>
      <w:bookmarkEnd w:id="225"/>
    </w:p>
    <w:p>
      <w:pPr>
        <w:pStyle w:val="Subsection"/>
      </w:pPr>
      <w:r>
        <w:tab/>
        <w:t>(1)</w:t>
      </w:r>
      <w:r>
        <w:tab/>
        <w:t>The liability of the offender to pay the fine or fines in connection with which an order is made under section 101C(1)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101D(2) to have elected to pay the fine or fines, for the purposes of the section referred to in subsection (2) the fine or fines are taken to have been imposed at the time mentioned in section 101D(2).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101E,</w:t>
      </w:r>
    </w:p>
    <w:p>
      <w:pPr>
        <w:pStyle w:val="Subsection"/>
      </w:pPr>
      <w:r>
        <w:tab/>
      </w:r>
      <w:r>
        <w:tab/>
        <w:t>for the purposes of the section referred to in subsection (2) the fine or fines are taken to have been imposed on the day specified under section 101C(1)(d).</w:t>
      </w:r>
    </w:p>
    <w:p>
      <w:pPr>
        <w:pStyle w:val="Footnotesection"/>
      </w:pPr>
      <w:r>
        <w:tab/>
        <w:t>[Section 101F inserted by No. 68 of 2004 s. 38.]</w:t>
      </w:r>
    </w:p>
    <w:p>
      <w:pPr>
        <w:pStyle w:val="Heading5"/>
      </w:pPr>
      <w:bookmarkStart w:id="226" w:name="_Toc192041237"/>
      <w:r>
        <w:rPr>
          <w:rStyle w:val="CharSectno"/>
        </w:rPr>
        <w:t>101G</w:t>
      </w:r>
      <w:r>
        <w:t>.</w:t>
      </w:r>
      <w:r>
        <w:tab/>
        <w:t>Nature and terms of undertaking</w:t>
      </w:r>
      <w:bookmarkEnd w:id="226"/>
    </w:p>
    <w:p>
      <w:pPr>
        <w:pStyle w:val="Subsection"/>
      </w:pPr>
      <w:r>
        <w:tab/>
        <w:t>(1)</w:t>
      </w:r>
      <w:r>
        <w:tab/>
        <w:t xml:space="preserve">An undertaking for the purposes of this Division is a document by which the offender gives undertakings to the State mining engineer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before a day specified in the document.</w:t>
      </w:r>
    </w:p>
    <w:p>
      <w:pPr>
        <w:pStyle w:val="Subsection"/>
      </w:pPr>
      <w:r>
        <w:tab/>
        <w:t>(2)</w:t>
      </w:r>
      <w:r>
        <w:tab/>
        <w:t>The action required to be taken by the offender is to come within the provisions described in section 101H(2) or (3).</w:t>
      </w:r>
    </w:p>
    <w:p>
      <w:pPr>
        <w:pStyle w:val="Subsection"/>
      </w:pPr>
      <w:r>
        <w:tab/>
        <w:t>(3)</w:t>
      </w:r>
      <w:r>
        <w:tab/>
        <w:t>The provisions of the undertaking are to be such as are agreed between the State mining engineer and the offender.</w:t>
      </w:r>
    </w:p>
    <w:p>
      <w:pPr>
        <w:pStyle w:val="Subsection"/>
      </w:pPr>
      <w:r>
        <w:tab/>
        <w:t>(4)</w:t>
      </w:r>
      <w:r>
        <w:tab/>
        <w:t>The State mining engineer is to furnish a copy of an undertaking, and of any amendment made under section 101K, to the court concerned.</w:t>
      </w:r>
    </w:p>
    <w:p>
      <w:pPr>
        <w:pStyle w:val="Footnotesection"/>
      </w:pPr>
      <w:r>
        <w:tab/>
        <w:t>[Section 101G inserted by No. 68 of 2004 s. 38.]</w:t>
      </w:r>
    </w:p>
    <w:p>
      <w:pPr>
        <w:pStyle w:val="Heading5"/>
      </w:pPr>
      <w:bookmarkStart w:id="227" w:name="_Toc192041238"/>
      <w:r>
        <w:rPr>
          <w:rStyle w:val="CharSectno"/>
        </w:rPr>
        <w:t>101H</w:t>
      </w:r>
      <w:r>
        <w:t>.</w:t>
      </w:r>
      <w:r>
        <w:tab/>
        <w:t>What may be included in undertaking</w:t>
      </w:r>
      <w:bookmarkEnd w:id="227"/>
    </w:p>
    <w:p>
      <w:pPr>
        <w:pStyle w:val="Subsection"/>
      </w:pPr>
      <w:r>
        <w:tab/>
        <w:t>(1)</w:t>
      </w:r>
      <w:r>
        <w:tab/>
        <w:t xml:space="preserve">In this section — </w:t>
      </w:r>
    </w:p>
    <w:p>
      <w:pPr>
        <w:pStyle w:val="Defstart"/>
      </w:pPr>
      <w:r>
        <w:rPr>
          <w:b/>
        </w:rPr>
        <w:tab/>
        <w:t>“</w:t>
      </w:r>
      <w:r>
        <w:rPr>
          <w:rStyle w:val="CharDefText"/>
        </w:rPr>
        <w:t>specified</w:t>
      </w:r>
      <w:r>
        <w:rPr>
          <w:b/>
        </w:rPr>
        <w:t>”</w:t>
      </w:r>
      <w:r>
        <w:t xml:space="preserve"> means specified in the undertaking;</w:t>
      </w:r>
    </w:p>
    <w:p>
      <w:pPr>
        <w:pStyle w:val="Defstart"/>
      </w:pPr>
      <w:r>
        <w:rPr>
          <w:b/>
        </w:rPr>
        <w:tab/>
        <w:t>“</w:t>
      </w:r>
      <w:r>
        <w:rPr>
          <w:rStyle w:val="CharDefText"/>
        </w:rPr>
        <w:t>specified mine</w:t>
      </w:r>
      <w:r>
        <w:rPr>
          <w:b/>
        </w:rPr>
        <w:t>”</w:t>
      </w:r>
      <w:r>
        <w:t xml:space="preserve"> includes a specified class of mine.</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or in respect of — </w:t>
      </w:r>
    </w:p>
    <w:p>
      <w:pPr>
        <w:pStyle w:val="IndentI0"/>
      </w:pPr>
      <w:r>
        <w:tab/>
        <w:t>(I)</w:t>
      </w:r>
      <w:r>
        <w:tab/>
        <w:t xml:space="preserve">any specified mine; or </w:t>
      </w:r>
    </w:p>
    <w:p>
      <w:pPr>
        <w:pStyle w:val="IndentI0"/>
      </w:pPr>
      <w:r>
        <w:tab/>
        <w:t>(II)</w:t>
      </w:r>
      <w:r>
        <w:tab/>
        <w:t>any specified part or parts of any specified mine;</w:t>
      </w:r>
    </w:p>
    <w:p>
      <w:pPr>
        <w:pStyle w:val="Indenti"/>
      </w:pPr>
      <w:r>
        <w:tab/>
      </w:r>
      <w:r>
        <w:tab/>
        <w:t>or</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spacing w:before="60"/>
      </w:pPr>
      <w:r>
        <w:tab/>
        <w:t>(i)</w:t>
      </w:r>
      <w:r>
        <w:tab/>
        <w:t>in the community;</w:t>
      </w:r>
    </w:p>
    <w:p>
      <w:pPr>
        <w:pStyle w:val="Indenti"/>
        <w:spacing w:before="60"/>
      </w:pPr>
      <w:r>
        <w:tab/>
        <w:t>(ii)</w:t>
      </w:r>
      <w:r>
        <w:tab/>
        <w:t>in a particular section of the community; or</w:t>
      </w:r>
    </w:p>
    <w:p>
      <w:pPr>
        <w:pStyle w:val="Indenti"/>
        <w:spacing w:before="60"/>
      </w:pPr>
      <w:r>
        <w:tab/>
        <w:t>(iii)</w:t>
      </w:r>
      <w:r>
        <w:tab/>
        <w:t>in connection with a particular kind of activity in the State.</w:t>
      </w:r>
    </w:p>
    <w:p>
      <w:pPr>
        <w:pStyle w:val="Subsection"/>
      </w:pPr>
      <w:r>
        <w:tab/>
        <w:t>(3)</w:t>
      </w:r>
      <w:r>
        <w:tab/>
        <w:t xml:space="preserve">The State mining engineer may require that an undertaking contain any incidental or supplementary provision that the State mining engineer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State mining engineer.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 under Part 3 Division 3.</w:t>
      </w:r>
    </w:p>
    <w:p>
      <w:pPr>
        <w:pStyle w:val="Footnotesection"/>
      </w:pPr>
      <w:r>
        <w:tab/>
        <w:t>[Section 101H inserted by No. 68 of 2004 s. 38.]</w:t>
      </w:r>
    </w:p>
    <w:p>
      <w:pPr>
        <w:pStyle w:val="Heading5"/>
      </w:pPr>
      <w:bookmarkStart w:id="228" w:name="_Toc192041239"/>
      <w:r>
        <w:rPr>
          <w:rStyle w:val="CharSectno"/>
        </w:rPr>
        <w:t>101I</w:t>
      </w:r>
      <w:r>
        <w:t>.</w:t>
      </w:r>
      <w:r>
        <w:tab/>
        <w:t>Effect of undertaking</w:t>
      </w:r>
      <w:bookmarkEnd w:id="228"/>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101I inserted by No. 68 of 2004 s. 38.]</w:t>
      </w:r>
    </w:p>
    <w:p>
      <w:pPr>
        <w:pStyle w:val="Heading5"/>
      </w:pPr>
      <w:bookmarkStart w:id="229" w:name="_Toc192041240"/>
      <w:r>
        <w:rPr>
          <w:rStyle w:val="CharSectno"/>
        </w:rPr>
        <w:t>101J</w:t>
      </w:r>
      <w:r>
        <w:t>.</w:t>
      </w:r>
      <w:r>
        <w:tab/>
        <w:t>Failure to comply with undertaking</w:t>
      </w:r>
      <w:bookmarkEnd w:id="229"/>
    </w:p>
    <w:p>
      <w:pPr>
        <w:pStyle w:val="Subsection"/>
      </w:pPr>
      <w:r>
        <w:tab/>
        <w:t>(1)</w:t>
      </w:r>
      <w:r>
        <w:tab/>
        <w:t>An offender commits an offence if the offender fails to fully discharge the obligations under an undertaking before the day specified in the undertaking in accordance with section 101G(1)(c).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101J inserted by No. 68 of 2004 s. 38.]</w:t>
      </w:r>
    </w:p>
    <w:p>
      <w:pPr>
        <w:pStyle w:val="Heading5"/>
      </w:pPr>
      <w:bookmarkStart w:id="230" w:name="_Toc192041241"/>
      <w:r>
        <w:rPr>
          <w:rStyle w:val="CharSectno"/>
        </w:rPr>
        <w:t>101K</w:t>
      </w:r>
      <w:r>
        <w:t>.</w:t>
      </w:r>
      <w:r>
        <w:tab/>
        <w:t>Amendment of undertaking</w:t>
      </w:r>
      <w:bookmarkEnd w:id="230"/>
    </w:p>
    <w:p>
      <w:pPr>
        <w:pStyle w:val="Subsection"/>
      </w:pPr>
      <w:r>
        <w:tab/>
      </w:r>
      <w:r>
        <w:tab/>
        <w:t>An undertaking may be amended by an instrument in writing signed by the offender and the State mining engineer.</w:t>
      </w:r>
    </w:p>
    <w:p>
      <w:pPr>
        <w:pStyle w:val="Footnotesection"/>
      </w:pPr>
      <w:r>
        <w:tab/>
        <w:t>[Section 101K inserted by No. 68 of 2004 s. 38.]</w:t>
      </w:r>
    </w:p>
    <w:p>
      <w:pPr>
        <w:pStyle w:val="Heading5"/>
      </w:pPr>
      <w:bookmarkStart w:id="231" w:name="_Toc192041242"/>
      <w:r>
        <w:rPr>
          <w:rStyle w:val="CharSectno"/>
        </w:rPr>
        <w:t>101L</w:t>
      </w:r>
      <w:r>
        <w:t>.</w:t>
      </w:r>
      <w:r>
        <w:tab/>
        <w:t>Undertaking may be published</w:t>
      </w:r>
      <w:bookmarkEnd w:id="231"/>
    </w:p>
    <w:p>
      <w:pPr>
        <w:pStyle w:val="Subsection"/>
      </w:pPr>
      <w:r>
        <w:tab/>
      </w:r>
      <w:r>
        <w:tab/>
        <w:t xml:space="preserve">The State mining engineer may cause an undertaking to be published in any manner the State mining engineer thinks fit including — </w:t>
      </w:r>
    </w:p>
    <w:p>
      <w:pPr>
        <w:pStyle w:val="Indenta"/>
      </w:pPr>
      <w:r>
        <w:tab/>
        <w:t>(a)</w:t>
      </w:r>
      <w:r>
        <w:tab/>
        <w:t>by publication in a newspaper; or</w:t>
      </w:r>
    </w:p>
    <w:p>
      <w:pPr>
        <w:pStyle w:val="Indenta"/>
      </w:pPr>
      <w:r>
        <w:tab/>
        <w:t>(b)</w:t>
      </w:r>
      <w:r>
        <w:tab/>
        <w:t>by posting a copy of the undertaking on an internet website maintained by the department.</w:t>
      </w:r>
    </w:p>
    <w:p>
      <w:pPr>
        <w:pStyle w:val="Footnotesection"/>
      </w:pPr>
      <w:r>
        <w:tab/>
        <w:t>[Section 101L inserted by No. 68 of 2004 s. 38.]</w:t>
      </w:r>
    </w:p>
    <w:p>
      <w:pPr>
        <w:pStyle w:val="Heading3"/>
        <w:keepLines/>
      </w:pPr>
      <w:bookmarkStart w:id="232" w:name="_Toc192041243"/>
      <w:r>
        <w:rPr>
          <w:rStyle w:val="CharDivNo"/>
        </w:rPr>
        <w:t>Division 3</w:t>
      </w:r>
      <w:r>
        <w:t> — </w:t>
      </w:r>
      <w:r>
        <w:rPr>
          <w:rStyle w:val="CharDivText"/>
        </w:rPr>
        <w:t>Jurisdiction of Occupational Safety and Health Tribunal</w:t>
      </w:r>
      <w:bookmarkEnd w:id="232"/>
    </w:p>
    <w:p>
      <w:pPr>
        <w:pStyle w:val="Footnoteheading"/>
        <w:keepNext/>
        <w:keepLines/>
      </w:pPr>
      <w:r>
        <w:tab/>
        <w:t xml:space="preserve">[Heading inserted by No. 68 of 2004 s. 82.] </w:t>
      </w:r>
    </w:p>
    <w:p>
      <w:pPr>
        <w:pStyle w:val="Heading5"/>
      </w:pPr>
      <w:bookmarkStart w:id="233" w:name="_Toc192041244"/>
      <w:r>
        <w:rPr>
          <w:rStyle w:val="CharSectno"/>
        </w:rPr>
        <w:t>102</w:t>
      </w:r>
      <w:r>
        <w:t>.</w:t>
      </w:r>
      <w:r>
        <w:tab/>
        <w:t>Determination of certain matters and appeals by Tribunal</w:t>
      </w:r>
      <w:bookmarkEnd w:id="233"/>
    </w:p>
    <w:p>
      <w:pPr>
        <w:pStyle w:val="Subsection"/>
      </w:pPr>
      <w:r>
        <w:tab/>
        <w:t>(1)</w:t>
      </w:r>
      <w:r>
        <w:tab/>
        <w:t xml:space="preserve">This section applies where — </w:t>
      </w:r>
    </w:p>
    <w:p>
      <w:pPr>
        <w:pStyle w:val="Indenta"/>
      </w:pPr>
      <w:r>
        <w:tab/>
        <w:t>(a)</w:t>
      </w:r>
      <w:r>
        <w:tab/>
        <w:t xml:space="preserve">under section 31BA, 55(6), 55A(4), 56(11), 59(1), 62(1), 67F(1), (2) or (3) or 74(2) a matter is referred to the Tribunal; </w:t>
      </w:r>
    </w:p>
    <w:p>
      <w:pPr>
        <w:pStyle w:val="Indenta"/>
      </w:pPr>
      <w:r>
        <w:tab/>
        <w:t>(b)</w:t>
      </w:r>
      <w:r>
        <w:tab/>
        <w:t>under section 68C a claim is referred to the Tribunal; or</w:t>
      </w:r>
    </w:p>
    <w:p>
      <w:pPr>
        <w:pStyle w:val="Indenta"/>
      </w:pPr>
      <w:r>
        <w:tab/>
        <w:t>(c)</w:t>
      </w:r>
      <w:r>
        <w:tab/>
        <w:t>under section 52 or 86 a person appeals to the Tribunal.</w:t>
      </w:r>
    </w:p>
    <w:p>
      <w:pPr>
        <w:pStyle w:val="Subsection"/>
      </w:pPr>
      <w:r>
        <w:tab/>
        <w:t>(2)</w:t>
      </w:r>
      <w:r>
        <w:tab/>
        <w:t xml:space="preserve">Where this section applies — </w:t>
      </w:r>
    </w:p>
    <w:p>
      <w:pPr>
        <w:pStyle w:val="Indenta"/>
      </w:pPr>
      <w:r>
        <w:tab/>
        <w:t>(a)</w:t>
      </w:r>
      <w:r>
        <w:tab/>
        <w:t>the matter, claim or appeal may be heard and determined; and</w:t>
      </w:r>
    </w:p>
    <w:p>
      <w:pPr>
        <w:pStyle w:val="Indenta"/>
      </w:pPr>
      <w:r>
        <w:tab/>
        <w:t>(b)</w:t>
      </w:r>
      <w:r>
        <w:tab/>
        <w:t xml:space="preserve">a determination made by the Tribunal on the matter, claim or appeal has effect, and may be — </w:t>
      </w:r>
    </w:p>
    <w:p>
      <w:pPr>
        <w:pStyle w:val="Indenti"/>
      </w:pPr>
      <w:r>
        <w:tab/>
        <w:t>(i)</w:t>
      </w:r>
      <w:r>
        <w:tab/>
        <w:t>appealed against; and</w:t>
      </w:r>
    </w:p>
    <w:p>
      <w:pPr>
        <w:pStyle w:val="Indenti"/>
      </w:pPr>
      <w:r>
        <w:tab/>
        <w:t>(ii)</w:t>
      </w:r>
      <w:r>
        <w:tab/>
        <w:t>enforced,</w:t>
      </w:r>
    </w:p>
    <w:p>
      <w:pPr>
        <w:pStyle w:val="Subsection"/>
      </w:pPr>
      <w:r>
        <w:tab/>
      </w:r>
      <w:r>
        <w:tab/>
        <w:t xml:space="preserve">as if it were — </w:t>
      </w:r>
    </w:p>
    <w:p>
      <w:pPr>
        <w:pStyle w:val="Indenta"/>
      </w:pPr>
      <w:r>
        <w:tab/>
        <w:t>(c)</w:t>
      </w:r>
      <w:r>
        <w:tab/>
        <w:t xml:space="preserve">a matter in respect of which jurisdiction is conferred on the Tribunal by Part VIB of the </w:t>
      </w:r>
      <w:r>
        <w:rPr>
          <w:i/>
        </w:rPr>
        <w:t xml:space="preserve">Occupational Safety and Health Act 1984 </w:t>
      </w:r>
      <w:r>
        <w:t>(</w:t>
      </w:r>
      <w:r>
        <w:rPr>
          <w:b/>
        </w:rPr>
        <w:t>“Part VIB”</w:t>
      </w:r>
      <w:r>
        <w:t>)</w:t>
      </w:r>
      <w:r>
        <w:rPr>
          <w:iCs/>
        </w:rPr>
        <w:t xml:space="preserve">; </w:t>
      </w:r>
      <w:r>
        <w:t>or</w:t>
      </w:r>
    </w:p>
    <w:p>
      <w:pPr>
        <w:pStyle w:val="Indenta"/>
      </w:pPr>
      <w:r>
        <w:tab/>
        <w:t>(d)</w:t>
      </w:r>
      <w:r>
        <w:tab/>
        <w:t>a determination made for the purposes of Part VIB.</w:t>
      </w:r>
    </w:p>
    <w:p>
      <w:pPr>
        <w:pStyle w:val="Subsection"/>
      </w:pPr>
      <w:r>
        <w:tab/>
        <w:t>(3)</w:t>
      </w:r>
      <w:r>
        <w:tab/>
        <w:t xml:space="preserve">The provisions of — </w:t>
      </w:r>
    </w:p>
    <w:p>
      <w:pPr>
        <w:pStyle w:val="Indenta"/>
      </w:pPr>
      <w:r>
        <w:tab/>
        <w:t>(a)</w:t>
      </w:r>
      <w:r>
        <w:tab/>
        <w:t xml:space="preserve">Part VIB; and </w:t>
      </w:r>
    </w:p>
    <w:p>
      <w:pPr>
        <w:pStyle w:val="Indenta"/>
      </w:pPr>
      <w:r>
        <w:tab/>
        <w:t>(b)</w:t>
      </w:r>
      <w:r>
        <w:tab/>
        <w:t xml:space="preserve">the </w:t>
      </w:r>
      <w:r>
        <w:rPr>
          <w:i/>
        </w:rPr>
        <w:t>Industrial Relations Act 1979</w:t>
      </w:r>
      <w:r>
        <w:t xml:space="preserve"> applied by that Part,</w:t>
      </w:r>
    </w:p>
    <w:p>
      <w:pPr>
        <w:pStyle w:val="Subsection"/>
      </w:pPr>
      <w:r>
        <w:tab/>
      </w:r>
      <w:r>
        <w:tab/>
        <w:t>have effect for the purposes of this section with all necessary changes.</w:t>
      </w:r>
    </w:p>
    <w:p>
      <w:pPr>
        <w:pStyle w:val="Subsection"/>
      </w:pPr>
      <w:r>
        <w:tab/>
        <w:t>(4)</w:t>
      </w:r>
      <w:r>
        <w:tab/>
        <w:t xml:space="preserve">In the operation of subsection (3), section 51J(1) of the of the </w:t>
      </w:r>
      <w:r>
        <w:rPr>
          <w:i/>
        </w:rPr>
        <w:t>Occupational Safety and Health Act 1984</w:t>
      </w:r>
      <w:r>
        <w:t xml:space="preserve"> has effect as if it were expressed to apply where a matter has been referred to the Tribunal for determination under section 55(6), 55A(4), 56(11), 62(1), 67F or 74(2) of this Act.</w:t>
      </w:r>
    </w:p>
    <w:p>
      <w:pPr>
        <w:pStyle w:val="Footnotesection"/>
      </w:pPr>
      <w:r>
        <w:tab/>
        <w:t>[Section 102 inserted by No. 68 of 2004 s. 83(1).]</w:t>
      </w:r>
    </w:p>
    <w:p>
      <w:pPr>
        <w:pStyle w:val="Heading2"/>
      </w:pPr>
      <w:bookmarkStart w:id="234" w:name="_Toc192041245"/>
      <w:r>
        <w:rPr>
          <w:rStyle w:val="CharPartNo"/>
        </w:rPr>
        <w:t>Part 10</w:t>
      </w:r>
      <w:r>
        <w:rPr>
          <w:rStyle w:val="CharDivNo"/>
        </w:rPr>
        <w:t> </w:t>
      </w:r>
      <w:r>
        <w:t>—</w:t>
      </w:r>
      <w:r>
        <w:rPr>
          <w:rStyle w:val="CharDivText"/>
        </w:rPr>
        <w:t> </w:t>
      </w:r>
      <w:r>
        <w:rPr>
          <w:rStyle w:val="CharPartText"/>
        </w:rPr>
        <w:t>Final provisions</w:t>
      </w:r>
      <w:bookmarkEnd w:id="234"/>
      <w:r>
        <w:rPr>
          <w:rStyle w:val="CharPartText"/>
        </w:rPr>
        <w:t xml:space="preserve"> </w:t>
      </w:r>
    </w:p>
    <w:p>
      <w:pPr>
        <w:pStyle w:val="Heading5"/>
      </w:pPr>
      <w:bookmarkStart w:id="235" w:name="_Toc192041246"/>
      <w:r>
        <w:rPr>
          <w:rStyle w:val="CharSectno"/>
        </w:rPr>
        <w:t>102A</w:t>
      </w:r>
      <w:r>
        <w:t>.</w:t>
      </w:r>
      <w:r>
        <w:tab/>
        <w:t>Visitors to comply with directions</w:t>
      </w:r>
      <w:bookmarkEnd w:id="235"/>
      <w:r>
        <w:t xml:space="preserve"> </w:t>
      </w:r>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in relation to a mine, means — </w:t>
      </w:r>
    </w:p>
    <w:p>
      <w:pPr>
        <w:pStyle w:val="Defpara"/>
      </w:pPr>
      <w:r>
        <w:tab/>
        <w:t>(a)</w:t>
      </w:r>
      <w:r>
        <w:tab/>
        <w:t>a managerial officer at the mine;</w:t>
      </w:r>
    </w:p>
    <w:p>
      <w:pPr>
        <w:pStyle w:val="Defpara"/>
      </w:pPr>
      <w:r>
        <w:tab/>
        <w:t>(b)</w:t>
      </w:r>
      <w:r>
        <w:tab/>
        <w:t>an employer of any employee at the mine, including a person who is an employer by operation of section 15A, 15B or 15C; and</w:t>
      </w:r>
    </w:p>
    <w:p>
      <w:pPr>
        <w:pStyle w:val="Defpara"/>
      </w:pPr>
      <w:r>
        <w:tab/>
        <w:t>(c)</w:t>
      </w:r>
      <w:r>
        <w:tab/>
        <w:t>any self</w:t>
      </w:r>
      <w:r>
        <w:noBreakHyphen/>
        <w:t>employed person carrying out work at the mine;</w:t>
      </w:r>
    </w:p>
    <w:p>
      <w:pPr>
        <w:pStyle w:val="Defstart"/>
      </w:pPr>
      <w:r>
        <w:rPr>
          <w:b/>
        </w:rPr>
        <w:tab/>
        <w:t>“</w:t>
      </w:r>
      <w:r>
        <w:rPr>
          <w:rStyle w:val="CharDefText"/>
        </w:rPr>
        <w:t>conduct</w:t>
      </w:r>
      <w:r>
        <w:rPr>
          <w:b/>
        </w:rPr>
        <w:t>”</w:t>
      </w:r>
      <w:r>
        <w:t xml:space="preserve"> includes a failure to do a particular act or thing;</w:t>
      </w:r>
    </w:p>
    <w:p>
      <w:pPr>
        <w:pStyle w:val="Defstart"/>
      </w:pPr>
      <w:r>
        <w:rPr>
          <w:b/>
        </w:rPr>
        <w:tab/>
        <w:t>“</w:t>
      </w:r>
      <w:r>
        <w:rPr>
          <w:rStyle w:val="CharDefText"/>
        </w:rPr>
        <w:t>employee</w:t>
      </w:r>
      <w:r>
        <w:rPr>
          <w:b/>
        </w:rPr>
        <w:t>”</w:t>
      </w:r>
      <w:r>
        <w:t xml:space="preserve"> includes a person who is an employee by operation of section 15A, 15B or 15C;</w:t>
      </w:r>
    </w:p>
    <w:p>
      <w:pPr>
        <w:pStyle w:val="Defstart"/>
      </w:pPr>
      <w:r>
        <w:rPr>
          <w:b/>
        </w:rPr>
        <w:tab/>
        <w:t>“</w:t>
      </w:r>
      <w:r>
        <w:rPr>
          <w:rStyle w:val="CharDefText"/>
        </w:rPr>
        <w:t>managerial officer</w:t>
      </w:r>
      <w:r>
        <w:rPr>
          <w:b/>
        </w:rPr>
        <w:t>”</w:t>
      </w:r>
      <w:r>
        <w:t xml:space="preserve">, in relation to a mine, means — </w:t>
      </w:r>
    </w:p>
    <w:p>
      <w:pPr>
        <w:pStyle w:val="Defpara"/>
      </w:pPr>
      <w:r>
        <w:tab/>
        <w:t>(a)</w:t>
      </w:r>
      <w:r>
        <w:tab/>
        <w:t>the principal employer at the mine;</w:t>
      </w:r>
    </w:p>
    <w:p>
      <w:pPr>
        <w:pStyle w:val="Defpara"/>
      </w:pPr>
      <w:r>
        <w:tab/>
        <w:t>(b)</w:t>
      </w:r>
      <w:r>
        <w:tab/>
        <w:t>the registered manager and any underground manager or quarry manager at the mine; and</w:t>
      </w:r>
    </w:p>
    <w:p>
      <w:pPr>
        <w:pStyle w:val="Defpara"/>
      </w:pPr>
      <w:r>
        <w:tab/>
        <w:t>(c)</w:t>
      </w:r>
      <w:r>
        <w:tab/>
        <w:t>a person appointed as an alternate or deputy of an officer referred to in paragraph (b).</w:t>
      </w:r>
    </w:p>
    <w:p>
      <w:pPr>
        <w:pStyle w:val="Subsection"/>
      </w:pPr>
      <w:r>
        <w:tab/>
        <w:t>(2)</w:t>
      </w:r>
      <w:r>
        <w:tab/>
        <w:t xml:space="preserve">Subsection (3) applies if — </w:t>
      </w:r>
    </w:p>
    <w:p>
      <w:pPr>
        <w:pStyle w:val="Indenta"/>
      </w:pPr>
      <w:r>
        <w:tab/>
        <w:t>(a)</w:t>
      </w:r>
      <w:r>
        <w:tab/>
        <w:t xml:space="preserve">a person (a </w:t>
      </w:r>
      <w:r>
        <w:rPr>
          <w:b/>
        </w:rPr>
        <w:t>“</w:t>
      </w:r>
      <w:r>
        <w:rPr>
          <w:rStyle w:val="CharDefText"/>
        </w:rPr>
        <w:t>visitor</w:t>
      </w:r>
      <w:r>
        <w:rPr>
          <w:b/>
        </w:rPr>
        <w:t>”</w:t>
      </w:r>
      <w:r>
        <w:t xml:space="preserve">) is at a mine otherwise than in the capacity of — </w:t>
      </w:r>
    </w:p>
    <w:p>
      <w:pPr>
        <w:pStyle w:val="Indenti"/>
      </w:pPr>
      <w:r>
        <w:tab/>
        <w:t>(i)</w:t>
      </w:r>
      <w:r>
        <w:tab/>
        <w:t>a managerial officer;</w:t>
      </w:r>
    </w:p>
    <w:p>
      <w:pPr>
        <w:pStyle w:val="Indenti"/>
      </w:pPr>
      <w:r>
        <w:tab/>
        <w:t>(ii)</w:t>
      </w:r>
      <w:r>
        <w:tab/>
        <w:t xml:space="preserve">an employer; </w:t>
      </w:r>
    </w:p>
    <w:p>
      <w:pPr>
        <w:pStyle w:val="Indenti"/>
      </w:pPr>
      <w:r>
        <w:tab/>
        <w:t>(iii)</w:t>
      </w:r>
      <w:r>
        <w:tab/>
        <w:t>an employee; or</w:t>
      </w:r>
    </w:p>
    <w:p>
      <w:pPr>
        <w:pStyle w:val="Indenti"/>
      </w:pPr>
      <w:r>
        <w:tab/>
        <w:t>(iv)</w:t>
      </w:r>
      <w:r>
        <w:tab/>
        <w:t>a self</w:t>
      </w:r>
      <w:r>
        <w:noBreakHyphen/>
        <w:t>employed person;</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mine; or </w:t>
      </w:r>
    </w:p>
    <w:p>
      <w:pPr>
        <w:pStyle w:val="Indenti"/>
      </w:pPr>
      <w:r>
        <w:tab/>
        <w:t>(ii)</w:t>
      </w:r>
      <w:r>
        <w:tab/>
        <w:t>the presence of the visitor at the mine or a particular part of the mine,</w:t>
      </w:r>
    </w:p>
    <w:p>
      <w:pPr>
        <w:pStyle w:val="Indenta"/>
      </w:pPr>
      <w:r>
        <w:tab/>
      </w:r>
      <w:r>
        <w:tab/>
        <w:t>constitutes a hazard to any person.</w:t>
      </w:r>
    </w:p>
    <w:p>
      <w:pPr>
        <w:pStyle w:val="Subsection"/>
        <w:spacing w:before="120"/>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mine and not to return as a visitor to the mine until permitted by the authorised person to do so.</w:t>
      </w:r>
    </w:p>
    <w:p>
      <w:pPr>
        <w:pStyle w:val="Subsection"/>
        <w:spacing w:before="120"/>
      </w:pPr>
      <w:r>
        <w:tab/>
        <w:t>(4)</w:t>
      </w:r>
      <w:r>
        <w:tab/>
        <w:t>A person who, without reasonable excuse, fails to comply with a direction given to the person under subsection (3) commits an offence.</w:t>
      </w:r>
    </w:p>
    <w:p>
      <w:pPr>
        <w:pStyle w:val="Footnotesection"/>
      </w:pPr>
      <w:r>
        <w:tab/>
        <w:t>[Section 102A inserted by No. 68 of 2004 s. 91.]</w:t>
      </w:r>
    </w:p>
    <w:p>
      <w:pPr>
        <w:pStyle w:val="Heading5"/>
        <w:rPr>
          <w:snapToGrid w:val="0"/>
        </w:rPr>
      </w:pPr>
      <w:bookmarkStart w:id="236" w:name="_Toc192041247"/>
      <w:r>
        <w:rPr>
          <w:rStyle w:val="CharSectno"/>
        </w:rPr>
        <w:t>103</w:t>
      </w:r>
      <w:r>
        <w:rPr>
          <w:snapToGrid w:val="0"/>
        </w:rPr>
        <w:t>.</w:t>
      </w:r>
      <w:r>
        <w:rPr>
          <w:snapToGrid w:val="0"/>
        </w:rPr>
        <w:tab/>
        <w:t>Exemption from personal liability</w:t>
      </w:r>
      <w:bookmarkEnd w:id="236"/>
      <w:r>
        <w:rPr>
          <w:snapToGrid w:val="0"/>
        </w:rPr>
        <w:t xml:space="preserve"> </w:t>
      </w:r>
    </w:p>
    <w:p>
      <w:pPr>
        <w:pStyle w:val="Subsection"/>
        <w:spacing w:before="120"/>
        <w:rPr>
          <w:snapToGrid w:val="0"/>
        </w:rPr>
      </w:pPr>
      <w:r>
        <w:rPr>
          <w:snapToGrid w:val="0"/>
        </w:rPr>
        <w:tab/>
      </w:r>
      <w:r>
        <w:rPr>
          <w:snapToGrid w:val="0"/>
        </w:rPr>
        <w:tab/>
        <w:t xml:space="preserve">A person who is or was the State mining engineer, the deputy of the State mining engineer, the State coal mining engineer, an inspector, or a member of the Board of Examiners, the Mines Survey Board, or the </w:t>
      </w:r>
      <w:r>
        <w:t>Mining Industry Advisory Committee</w:t>
      </w:r>
      <w:r>
        <w:rPr>
          <w:snapToGrid w:val="0"/>
        </w:rPr>
        <w:t xml:space="preserve"> is not personally liable for any matter or thing done or omitted to be done in good faith in the intended performance of any duty or the intended exercise of any power under this Act.</w:t>
      </w:r>
    </w:p>
    <w:p>
      <w:pPr>
        <w:pStyle w:val="Footnotesection"/>
      </w:pPr>
      <w:r>
        <w:tab/>
        <w:t xml:space="preserve">[Section 103 amended by No. 30 of 1995 s. 76(1); No. 51 of 2004 s. 115(5).] </w:t>
      </w:r>
    </w:p>
    <w:p>
      <w:pPr>
        <w:pStyle w:val="Heading5"/>
        <w:rPr>
          <w:snapToGrid w:val="0"/>
        </w:rPr>
      </w:pPr>
      <w:bookmarkStart w:id="237" w:name="_Toc192041248"/>
      <w:r>
        <w:rPr>
          <w:rStyle w:val="CharSectno"/>
        </w:rPr>
        <w:t>104</w:t>
      </w:r>
      <w:r>
        <w:rPr>
          <w:snapToGrid w:val="0"/>
        </w:rPr>
        <w:t>.</w:t>
      </w:r>
      <w:r>
        <w:rPr>
          <w:snapToGrid w:val="0"/>
        </w:rPr>
        <w:tab/>
        <w:t>Power to make regulations</w:t>
      </w:r>
      <w:bookmarkEnd w:id="237"/>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 and in particular — </w:t>
      </w:r>
    </w:p>
    <w:p>
      <w:pPr>
        <w:pStyle w:val="Indenta"/>
        <w:rPr>
          <w:snapToGrid w:val="0"/>
        </w:rPr>
      </w:pPr>
      <w:r>
        <w:rPr>
          <w:snapToGrid w:val="0"/>
        </w:rPr>
        <w:tab/>
        <w:t>(a)</w:t>
      </w:r>
      <w:r>
        <w:rPr>
          <w:snapToGrid w:val="0"/>
        </w:rPr>
        <w:tab/>
        <w:t>regulating the appointment and functions of inspectors and assistant inspectors and defining the regions in which they are to carry out their duties;</w:t>
      </w:r>
    </w:p>
    <w:p>
      <w:pPr>
        <w:pStyle w:val="Indenta"/>
        <w:rPr>
          <w:snapToGrid w:val="0"/>
        </w:rPr>
      </w:pPr>
      <w:r>
        <w:rPr>
          <w:snapToGrid w:val="0"/>
        </w:rPr>
        <w:tab/>
        <w:t>(b)</w:t>
      </w:r>
      <w:r>
        <w:rPr>
          <w:snapToGrid w:val="0"/>
        </w:rPr>
        <w:tab/>
        <w:t>regulating methods of inspection of mines;</w:t>
      </w:r>
    </w:p>
    <w:p>
      <w:pPr>
        <w:pStyle w:val="Indenta"/>
        <w:rPr>
          <w:snapToGrid w:val="0"/>
        </w:rPr>
      </w:pPr>
      <w:r>
        <w:rPr>
          <w:snapToGrid w:val="0"/>
        </w:rPr>
        <w:tab/>
        <w:t>(ba)</w:t>
      </w:r>
      <w:r>
        <w:rPr>
          <w:snapToGrid w:val="0"/>
        </w:rPr>
        <w:tab/>
        <w:t>regulating the conduct of elections under this Act by secret ballot;</w:t>
      </w:r>
    </w:p>
    <w:p>
      <w:pPr>
        <w:pStyle w:val="Indenta"/>
      </w:pPr>
      <w:r>
        <w:tab/>
        <w:t>(bb)</w:t>
      </w:r>
      <w:r>
        <w:tab/>
        <w:t>dealing with the establishment of safety and health committees by employers;</w:t>
      </w:r>
    </w:p>
    <w:p>
      <w:pPr>
        <w:pStyle w:val="Indenta"/>
        <w:rPr>
          <w:snapToGrid w:val="0"/>
        </w:rPr>
      </w:pPr>
      <w:r>
        <w:rPr>
          <w:snapToGrid w:val="0"/>
        </w:rPr>
        <w:tab/>
        <w:t>(c)</w:t>
      </w:r>
      <w:r>
        <w:rPr>
          <w:snapToGrid w:val="0"/>
        </w:rPr>
        <w:tab/>
        <w:t>dealing with and imposing duties on employers, managers, supervisors, superintendents, deputies, foremen and employees under this Act;</w:t>
      </w:r>
    </w:p>
    <w:p>
      <w:pPr>
        <w:pStyle w:val="Indenta"/>
      </w:pPr>
      <w:r>
        <w:tab/>
        <w:t>(ca)</w:t>
      </w:r>
      <w:r>
        <w:tab/>
        <w:t xml:space="preserve">without limiting paragraph (c), imposing duties on persons in relation to — </w:t>
      </w:r>
    </w:p>
    <w:p>
      <w:pPr>
        <w:pStyle w:val="Indenti"/>
      </w:pPr>
      <w:r>
        <w:tab/>
        <w:t>(i)</w:t>
      </w:r>
      <w:r>
        <w:tab/>
        <w:t>the identification of hazards at mines;</w:t>
      </w:r>
    </w:p>
    <w:p>
      <w:pPr>
        <w:pStyle w:val="Indenti"/>
      </w:pPr>
      <w:r>
        <w:tab/>
        <w:t>(ii)</w:t>
      </w:r>
      <w:r>
        <w:tab/>
        <w:t xml:space="preserve">the assessment of risks resulting from such hazards; and </w:t>
      </w:r>
    </w:p>
    <w:p>
      <w:pPr>
        <w:pStyle w:val="Indenti"/>
      </w:pPr>
      <w:r>
        <w:tab/>
        <w:t>(iii)</w:t>
      </w:r>
      <w:r>
        <w:tab/>
        <w:t>the taking of remedial or other action;</w:t>
      </w:r>
    </w:p>
    <w:p>
      <w:pPr>
        <w:pStyle w:val="Indenta"/>
        <w:rPr>
          <w:snapToGrid w:val="0"/>
        </w:rPr>
      </w:pPr>
      <w:r>
        <w:rPr>
          <w:snapToGrid w:val="0"/>
        </w:rPr>
        <w:tab/>
        <w:t>(d)</w:t>
      </w:r>
      <w:r>
        <w:rPr>
          <w:snapToGrid w:val="0"/>
        </w:rPr>
        <w:tab/>
        <w:t>regulating and otherwise dealing with — </w:t>
      </w:r>
    </w:p>
    <w:p>
      <w:pPr>
        <w:pStyle w:val="Indenti"/>
        <w:rPr>
          <w:snapToGrid w:val="0"/>
        </w:rPr>
      </w:pPr>
      <w:r>
        <w:rPr>
          <w:snapToGrid w:val="0"/>
        </w:rPr>
        <w:tab/>
        <w:t>(i)</w:t>
      </w:r>
      <w:r>
        <w:rPr>
          <w:snapToGrid w:val="0"/>
        </w:rPr>
        <w:tab/>
        <w:t>the transport, storage, handling, use, and disposal of explosives and blasting initiation systems; and</w:t>
      </w:r>
    </w:p>
    <w:p>
      <w:pPr>
        <w:pStyle w:val="Indenti"/>
        <w:rPr>
          <w:snapToGrid w:val="0"/>
        </w:rPr>
      </w:pPr>
      <w:r>
        <w:rPr>
          <w:snapToGrid w:val="0"/>
        </w:rPr>
        <w:tab/>
        <w:t>(ii)</w:t>
      </w:r>
      <w:r>
        <w:rPr>
          <w:snapToGrid w:val="0"/>
        </w:rPr>
        <w:tab/>
        <w:t xml:space="preserve">the testing and evaluation of performance of explosives and blasting initiation systems; and </w:t>
      </w:r>
    </w:p>
    <w:p>
      <w:pPr>
        <w:pStyle w:val="Indenti"/>
        <w:rPr>
          <w:snapToGrid w:val="0"/>
        </w:rPr>
      </w:pPr>
      <w:r>
        <w:rPr>
          <w:snapToGrid w:val="0"/>
        </w:rPr>
        <w:tab/>
        <w:t>(iii)</w:t>
      </w:r>
      <w:r>
        <w:rPr>
          <w:snapToGrid w:val="0"/>
        </w:rPr>
        <w:tab/>
        <w:t>the assessment of and means of dealing with residual fumes from blasting;</w:t>
      </w:r>
    </w:p>
    <w:p>
      <w:pPr>
        <w:pStyle w:val="Indenta"/>
        <w:rPr>
          <w:snapToGrid w:val="0"/>
        </w:rPr>
      </w:pPr>
      <w:r>
        <w:rPr>
          <w:snapToGrid w:val="0"/>
        </w:rPr>
        <w:tab/>
        <w:t>(e)</w:t>
      </w:r>
      <w:r>
        <w:rPr>
          <w:snapToGrid w:val="0"/>
        </w:rPr>
        <w:tab/>
        <w:t>regulating matters relating to noise at mines;</w:t>
      </w:r>
    </w:p>
    <w:p>
      <w:pPr>
        <w:pStyle w:val="Indenta"/>
        <w:rPr>
          <w:snapToGrid w:val="0"/>
        </w:rPr>
      </w:pPr>
      <w:r>
        <w:rPr>
          <w:snapToGrid w:val="0"/>
        </w:rPr>
        <w:tab/>
        <w:t>(f)</w:t>
      </w:r>
      <w:r>
        <w:rPr>
          <w:snapToGrid w:val="0"/>
        </w:rPr>
        <w:tab/>
        <w:t>providing for the safety and health standards and procedures to be complied with — </w:t>
      </w:r>
    </w:p>
    <w:p>
      <w:pPr>
        <w:pStyle w:val="Indenti"/>
        <w:rPr>
          <w:snapToGrid w:val="0"/>
        </w:rPr>
      </w:pPr>
      <w:r>
        <w:rPr>
          <w:snapToGrid w:val="0"/>
        </w:rPr>
        <w:tab/>
        <w:t>(i)</w:t>
      </w:r>
      <w:r>
        <w:rPr>
          <w:snapToGrid w:val="0"/>
        </w:rPr>
        <w:tab/>
        <w:t>at any mine;</w:t>
      </w:r>
    </w:p>
    <w:p>
      <w:pPr>
        <w:pStyle w:val="Indenti"/>
        <w:rPr>
          <w:snapToGrid w:val="0"/>
        </w:rPr>
      </w:pPr>
      <w:r>
        <w:rPr>
          <w:snapToGrid w:val="0"/>
        </w:rPr>
        <w:tab/>
        <w:t>(ii)</w:t>
      </w:r>
      <w:r>
        <w:rPr>
          <w:snapToGrid w:val="0"/>
        </w:rPr>
        <w:tab/>
        <w:t>in the performance of any work in connection with a mine;</w:t>
      </w:r>
    </w:p>
    <w:p>
      <w:pPr>
        <w:pStyle w:val="Indenti"/>
        <w:rPr>
          <w:snapToGrid w:val="0"/>
        </w:rPr>
      </w:pPr>
      <w:r>
        <w:rPr>
          <w:snapToGrid w:val="0"/>
        </w:rPr>
        <w:tab/>
        <w:t>(iii)</w:t>
      </w:r>
      <w:r>
        <w:rPr>
          <w:snapToGrid w:val="0"/>
        </w:rPr>
        <w:tab/>
        <w:t>in the use, cleaning, maintenance, disposal or transportation of any plant in connection with a mine;</w:t>
      </w:r>
    </w:p>
    <w:p>
      <w:pPr>
        <w:pStyle w:val="Indenti"/>
        <w:rPr>
          <w:snapToGrid w:val="0"/>
        </w:rPr>
      </w:pPr>
      <w:r>
        <w:rPr>
          <w:snapToGrid w:val="0"/>
        </w:rPr>
        <w:tab/>
        <w:t>(iv)</w:t>
      </w:r>
      <w:r>
        <w:rPr>
          <w:snapToGrid w:val="0"/>
        </w:rPr>
        <w:tab/>
        <w:t>in the use, handling, treatment, removal, processing, storing, transport or disposal of any substance in connection with a mine;</w:t>
      </w:r>
    </w:p>
    <w:p>
      <w:pPr>
        <w:pStyle w:val="Indenti"/>
        <w:rPr>
          <w:snapToGrid w:val="0"/>
        </w:rPr>
      </w:pPr>
      <w:r>
        <w:rPr>
          <w:snapToGrid w:val="0"/>
        </w:rPr>
        <w:tab/>
        <w:t>(v)</w:t>
      </w:r>
      <w:r>
        <w:rPr>
          <w:snapToGrid w:val="0"/>
        </w:rPr>
        <w:tab/>
        <w:t>in the design, importing or supplying of any plant in connection with a mine; or</w:t>
      </w:r>
    </w:p>
    <w:p>
      <w:pPr>
        <w:pStyle w:val="Indenti"/>
        <w:rPr>
          <w:snapToGrid w:val="0"/>
        </w:rPr>
      </w:pPr>
      <w:r>
        <w:rPr>
          <w:snapToGrid w:val="0"/>
        </w:rPr>
        <w:tab/>
        <w:t>(vi)</w:t>
      </w:r>
      <w:r>
        <w:rPr>
          <w:snapToGrid w:val="0"/>
        </w:rPr>
        <w:tab/>
        <w:t>in the design, manufacture, importing or supplying of any substance in connection with a mine;</w:t>
      </w:r>
    </w:p>
    <w:p>
      <w:pPr>
        <w:pStyle w:val="Indenta"/>
        <w:rPr>
          <w:snapToGrid w:val="0"/>
        </w:rPr>
      </w:pPr>
      <w:r>
        <w:rPr>
          <w:snapToGrid w:val="0"/>
        </w:rPr>
        <w:tab/>
        <w:t>(g)</w:t>
      </w:r>
      <w:r>
        <w:rPr>
          <w:snapToGrid w:val="0"/>
        </w:rPr>
        <w:tab/>
        <w:t>prescribing measures or precautions to avoid any accident or dangerous occurrence at a mine;</w:t>
      </w:r>
    </w:p>
    <w:p>
      <w:pPr>
        <w:pStyle w:val="Indenta"/>
        <w:rPr>
          <w:snapToGrid w:val="0"/>
        </w:rPr>
      </w:pPr>
      <w:r>
        <w:rPr>
          <w:snapToGrid w:val="0"/>
        </w:rPr>
        <w:tab/>
        <w:t>(h)</w:t>
      </w:r>
      <w:r>
        <w:rPr>
          <w:snapToGrid w:val="0"/>
        </w:rPr>
        <w:tab/>
        <w:t>prescribing action to be taken in the event of any accident, injury to the person or harm to the health of any person, or dangerous occurrence in connection with a mine;</w:t>
      </w:r>
    </w:p>
    <w:p>
      <w:pPr>
        <w:pStyle w:val="Indenta"/>
        <w:rPr>
          <w:snapToGrid w:val="0"/>
        </w:rPr>
      </w:pPr>
      <w:r>
        <w:rPr>
          <w:snapToGrid w:val="0"/>
        </w:rPr>
        <w:tab/>
        <w:t>(i)</w:t>
      </w:r>
      <w:r>
        <w:rPr>
          <w:snapToGrid w:val="0"/>
        </w:rPr>
        <w:tab/>
        <w:t>dealing with protective clothing, safety appliances and equipment for use in and about mines;</w:t>
      </w:r>
    </w:p>
    <w:p>
      <w:pPr>
        <w:pStyle w:val="Indenta"/>
        <w:keepNext/>
        <w:keepLines/>
        <w:rPr>
          <w:snapToGrid w:val="0"/>
        </w:rPr>
      </w:pPr>
      <w:r>
        <w:rPr>
          <w:snapToGrid w:val="0"/>
        </w:rPr>
        <w:tab/>
        <w:t>(j)</w:t>
      </w:r>
      <w:r>
        <w:rPr>
          <w:snapToGrid w:val="0"/>
        </w:rPr>
        <w:tab/>
        <w:t>dealing with the fencing, securing and protection of shafts, entrances, and development openings and regulating matters connected with ladders and travelling ways at mines;</w:t>
      </w:r>
    </w:p>
    <w:p>
      <w:pPr>
        <w:pStyle w:val="Indenta"/>
        <w:rPr>
          <w:snapToGrid w:val="0"/>
        </w:rPr>
      </w:pPr>
      <w:r>
        <w:rPr>
          <w:snapToGrid w:val="0"/>
        </w:rPr>
        <w:tab/>
        <w:t>(k)</w:t>
      </w:r>
      <w:r>
        <w:rPr>
          <w:snapToGrid w:val="0"/>
        </w:rPr>
        <w:tab/>
        <w:t>regulating construction and demolition of buildings and other structures at mines;</w:t>
      </w:r>
    </w:p>
    <w:p>
      <w:pPr>
        <w:pStyle w:val="Indenta"/>
        <w:rPr>
          <w:snapToGrid w:val="0"/>
        </w:rPr>
      </w:pPr>
      <w:r>
        <w:rPr>
          <w:snapToGrid w:val="0"/>
        </w:rPr>
        <w:tab/>
        <w:t>(l)</w:t>
      </w:r>
      <w:r>
        <w:rPr>
          <w:snapToGrid w:val="0"/>
        </w:rPr>
        <w:tab/>
        <w:t>dealing with all matters connected with winding, winding engines, signals and testing of winding ropes at mines;</w:t>
      </w:r>
    </w:p>
    <w:p>
      <w:pPr>
        <w:pStyle w:val="Indenta"/>
        <w:rPr>
          <w:snapToGrid w:val="0"/>
        </w:rPr>
      </w:pPr>
      <w:r>
        <w:rPr>
          <w:snapToGrid w:val="0"/>
        </w:rPr>
        <w:tab/>
        <w:t>(m)</w:t>
      </w:r>
      <w:r>
        <w:rPr>
          <w:snapToGrid w:val="0"/>
        </w:rPr>
        <w:tab/>
        <w:t>dealing with the employment and training of persons having charge of winding machinery, and providing for their periodical medical examination;</w:t>
      </w:r>
    </w:p>
    <w:p>
      <w:pPr>
        <w:pStyle w:val="Indenta"/>
        <w:rPr>
          <w:snapToGrid w:val="0"/>
        </w:rPr>
      </w:pPr>
      <w:r>
        <w:rPr>
          <w:snapToGrid w:val="0"/>
        </w:rPr>
        <w:tab/>
        <w:t>(n)</w:t>
      </w:r>
      <w:r>
        <w:rPr>
          <w:snapToGrid w:val="0"/>
        </w:rPr>
        <w:tab/>
        <w:t>dealing with cages or skips, safety hooks, safety grippers and all other matters connected with the proper and safe running of cages and skips in shafts;</w:t>
      </w:r>
    </w:p>
    <w:p>
      <w:pPr>
        <w:pStyle w:val="Indenta"/>
        <w:rPr>
          <w:snapToGrid w:val="0"/>
        </w:rPr>
      </w:pPr>
      <w:r>
        <w:rPr>
          <w:snapToGrid w:val="0"/>
        </w:rPr>
        <w:tab/>
        <w:t>(o)</w:t>
      </w:r>
      <w:r>
        <w:rPr>
          <w:snapToGrid w:val="0"/>
        </w:rPr>
        <w:tab/>
        <w:t>dealing with matters connected with railways or other mechanical transport in or at a mine;</w:t>
      </w:r>
    </w:p>
    <w:p>
      <w:pPr>
        <w:pStyle w:val="Indenta"/>
        <w:rPr>
          <w:snapToGrid w:val="0"/>
        </w:rPr>
      </w:pPr>
      <w:r>
        <w:rPr>
          <w:snapToGrid w:val="0"/>
        </w:rPr>
        <w:tab/>
        <w:t>(p)</w:t>
      </w:r>
      <w:r>
        <w:rPr>
          <w:snapToGrid w:val="0"/>
        </w:rPr>
        <w:tab/>
        <w:t>dealing with matters connected with dredging in mining operations;</w:t>
      </w:r>
    </w:p>
    <w:p>
      <w:pPr>
        <w:pStyle w:val="Indenta"/>
        <w:rPr>
          <w:snapToGrid w:val="0"/>
        </w:rPr>
      </w:pPr>
      <w:r>
        <w:rPr>
          <w:snapToGrid w:val="0"/>
        </w:rPr>
        <w:tab/>
        <w:t>(q)</w:t>
      </w:r>
      <w:r>
        <w:rPr>
          <w:snapToGrid w:val="0"/>
        </w:rPr>
        <w:tab/>
        <w:t>dealing with matters connected with machinery in or at mines;</w:t>
      </w:r>
    </w:p>
    <w:p>
      <w:pPr>
        <w:pStyle w:val="Indenta"/>
        <w:rPr>
          <w:snapToGrid w:val="0"/>
        </w:rPr>
      </w:pPr>
      <w:r>
        <w:rPr>
          <w:snapToGrid w:val="0"/>
        </w:rPr>
        <w:tab/>
        <w:t>(r)</w:t>
      </w:r>
      <w:r>
        <w:rPr>
          <w:snapToGrid w:val="0"/>
        </w:rPr>
        <w:tab/>
        <w:t>dealing with the employment, training and examination of persons having charge of machinery at mines;</w:t>
      </w:r>
    </w:p>
    <w:p>
      <w:pPr>
        <w:pStyle w:val="Indenta"/>
        <w:rPr>
          <w:snapToGrid w:val="0"/>
        </w:rPr>
      </w:pPr>
      <w:r>
        <w:rPr>
          <w:snapToGrid w:val="0"/>
        </w:rPr>
        <w:tab/>
        <w:t>(s)</w:t>
      </w:r>
      <w:r>
        <w:rPr>
          <w:snapToGrid w:val="0"/>
        </w:rPr>
        <w:tab/>
        <w:t>providing for the classification of mines and dealing with matters connected with the issue, suspension, and cancellation of certificates, permits or other authorisations or exemptions required or permitted under this Act;</w:t>
      </w:r>
    </w:p>
    <w:p>
      <w:pPr>
        <w:pStyle w:val="Indenta"/>
        <w:rPr>
          <w:snapToGrid w:val="0"/>
        </w:rPr>
      </w:pPr>
      <w:r>
        <w:rPr>
          <w:snapToGrid w:val="0"/>
        </w:rPr>
        <w:tab/>
        <w:t>(t)</w:t>
      </w:r>
      <w:r>
        <w:rPr>
          <w:snapToGrid w:val="0"/>
        </w:rPr>
        <w:tab/>
        <w:t>dealing with wilful damage to or unauthorised removal of timber, plant, or any other thing provided at a mine for the proper working of the mine;</w:t>
      </w:r>
    </w:p>
    <w:p>
      <w:pPr>
        <w:pStyle w:val="Indenta"/>
        <w:rPr>
          <w:snapToGrid w:val="0"/>
        </w:rPr>
      </w:pPr>
      <w:r>
        <w:rPr>
          <w:snapToGrid w:val="0"/>
        </w:rPr>
        <w:tab/>
        <w:t>(u)</w:t>
      </w:r>
      <w:r>
        <w:rPr>
          <w:snapToGrid w:val="0"/>
        </w:rPr>
        <w:tab/>
        <w:t>dealing with the installation and use of electricity in mines and with lighting at mines;</w:t>
      </w:r>
    </w:p>
    <w:p>
      <w:pPr>
        <w:pStyle w:val="Indenta"/>
        <w:rPr>
          <w:snapToGrid w:val="0"/>
        </w:rPr>
      </w:pPr>
      <w:r>
        <w:rPr>
          <w:snapToGrid w:val="0"/>
        </w:rPr>
        <w:tab/>
        <w:t>(v)</w:t>
      </w:r>
      <w:r>
        <w:rPr>
          <w:snapToGrid w:val="0"/>
        </w:rPr>
        <w:tab/>
        <w: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t>
      </w:r>
    </w:p>
    <w:p>
      <w:pPr>
        <w:pStyle w:val="Indenta"/>
        <w:rPr>
          <w:snapToGrid w:val="0"/>
        </w:rPr>
      </w:pPr>
      <w:r>
        <w:rPr>
          <w:snapToGrid w:val="0"/>
        </w:rPr>
        <w:tab/>
        <w:t>(w)</w:t>
      </w:r>
      <w:r>
        <w:rPr>
          <w:snapToGrid w:val="0"/>
        </w:rPr>
        <w:tab/>
        <w:t>prescribing measures to control and deal with spontaneous combustion and dust explosions in mines and dealing with the prevention and laying of dust in mines;</w:t>
      </w:r>
    </w:p>
    <w:p>
      <w:pPr>
        <w:pStyle w:val="Indenta"/>
        <w:rPr>
          <w:snapToGrid w:val="0"/>
        </w:rPr>
      </w:pPr>
      <w:r>
        <w:rPr>
          <w:snapToGrid w:val="0"/>
        </w:rPr>
        <w:tab/>
        <w:t>(x)</w:t>
      </w:r>
      <w:r>
        <w:rPr>
          <w:snapToGrid w:val="0"/>
        </w:rPr>
        <w:tab/>
        <w:t>dealing with the connection of workings for ventilation purposes, including — </w:t>
      </w:r>
    </w:p>
    <w:p>
      <w:pPr>
        <w:pStyle w:val="Indenti"/>
        <w:rPr>
          <w:snapToGrid w:val="0"/>
        </w:rPr>
      </w:pPr>
      <w:r>
        <w:rPr>
          <w:snapToGrid w:val="0"/>
        </w:rPr>
        <w:tab/>
        <w:t>(i)</w:t>
      </w:r>
      <w:r>
        <w:rPr>
          <w:snapToGrid w:val="0"/>
        </w:rPr>
        <w:tab/>
        <w:t>the sinking of winzes in mines concurrently with shaft sinking;</w:t>
      </w:r>
    </w:p>
    <w:p>
      <w:pPr>
        <w:pStyle w:val="Indenti"/>
        <w:rPr>
          <w:snapToGrid w:val="0"/>
        </w:rPr>
      </w:pPr>
      <w:r>
        <w:rPr>
          <w:snapToGrid w:val="0"/>
        </w:rPr>
        <w:tab/>
        <w:t>(ii)</w:t>
      </w:r>
      <w:r>
        <w:rPr>
          <w:snapToGrid w:val="0"/>
        </w:rPr>
        <w:tab/>
        <w:t>the connection of adjoining mines by crosscuts and levels;</w:t>
      </w:r>
    </w:p>
    <w:p>
      <w:pPr>
        <w:pStyle w:val="Indenti"/>
        <w:rPr>
          <w:snapToGrid w:val="0"/>
        </w:rPr>
      </w:pPr>
      <w:r>
        <w:rPr>
          <w:snapToGrid w:val="0"/>
        </w:rPr>
        <w:tab/>
        <w:t>(iii)</w:t>
      </w:r>
      <w:r>
        <w:rPr>
          <w:snapToGrid w:val="0"/>
        </w:rPr>
        <w:tab/>
        <w:t>the connection of various workings in the same mine by crosscuts, levels, winzes and rises;</w:t>
      </w:r>
    </w:p>
    <w:p>
      <w:pPr>
        <w:pStyle w:val="Indenti"/>
        <w:rPr>
          <w:snapToGrid w:val="0"/>
        </w:rPr>
      </w:pPr>
      <w:r>
        <w:rPr>
          <w:snapToGrid w:val="0"/>
        </w:rPr>
        <w:tab/>
        <w:t>(iv)</w:t>
      </w:r>
      <w:r>
        <w:rPr>
          <w:snapToGrid w:val="0"/>
        </w:rPr>
        <w:tab/>
        <w:t>the heights to which rises may be carried and the methods to be used in rising and the distances permissible between higher and lower levels and between air connections from one level to another;</w:t>
      </w:r>
    </w:p>
    <w:p>
      <w:pPr>
        <w:pStyle w:val="Indenta"/>
        <w:rPr>
          <w:snapToGrid w:val="0"/>
        </w:rPr>
      </w:pPr>
      <w:r>
        <w:rPr>
          <w:snapToGrid w:val="0"/>
        </w:rPr>
        <w:tab/>
        <w:t>(y)</w:t>
      </w:r>
      <w:r>
        <w:rPr>
          <w:snapToGrid w:val="0"/>
        </w:rPr>
        <w:tab/>
        <w: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t>
      </w:r>
    </w:p>
    <w:p>
      <w:pPr>
        <w:pStyle w:val="Indenta"/>
        <w:rPr>
          <w:snapToGrid w:val="0"/>
        </w:rPr>
      </w:pPr>
      <w:r>
        <w:rPr>
          <w:snapToGrid w:val="0"/>
        </w:rPr>
        <w:tab/>
        <w:t>(z)</w:t>
      </w:r>
      <w:r>
        <w:rPr>
          <w:snapToGrid w:val="0"/>
        </w:rPr>
        <w:tab/>
        <w:t>dealing with the age limits of employees for certain classes of employment;</w:t>
      </w:r>
    </w:p>
    <w:p>
      <w:pPr>
        <w:pStyle w:val="Indenta"/>
        <w:rPr>
          <w:snapToGrid w:val="0"/>
        </w:rPr>
      </w:pPr>
      <w:r>
        <w:rPr>
          <w:snapToGrid w:val="0"/>
        </w:rPr>
        <w:tab/>
        <w:t>(za)</w:t>
      </w:r>
      <w:r>
        <w:rPr>
          <w:snapToGrid w:val="0"/>
        </w:rPr>
        <w:tab/>
        <w:t>regulating and otherwise dealing with hygiene and sanitation in underground and surface mining operations, including — </w:t>
      </w:r>
    </w:p>
    <w:p>
      <w:pPr>
        <w:pStyle w:val="Indenti"/>
        <w:rPr>
          <w:snapToGrid w:val="0"/>
        </w:rPr>
      </w:pPr>
      <w:r>
        <w:rPr>
          <w:snapToGrid w:val="0"/>
        </w:rPr>
        <w:tab/>
        <w:t>(i)</w:t>
      </w:r>
      <w:r>
        <w:rPr>
          <w:snapToGrid w:val="0"/>
        </w:rPr>
        <w:tab/>
        <w:t>the provision of potable drinking water at underground and surface mines; and</w:t>
      </w:r>
    </w:p>
    <w:p>
      <w:pPr>
        <w:pStyle w:val="Indenti"/>
        <w:rPr>
          <w:snapToGrid w:val="0"/>
        </w:rPr>
      </w:pPr>
      <w:r>
        <w:rPr>
          <w:snapToGrid w:val="0"/>
        </w:rPr>
        <w:tab/>
        <w:t>(ii)</w:t>
      </w:r>
      <w:r>
        <w:rPr>
          <w:snapToGrid w:val="0"/>
        </w:rPr>
        <w:tab/>
        <w:t>the standard, location, distribution and maintenance of hygiene and sanitation facilities; and</w:t>
      </w:r>
    </w:p>
    <w:p>
      <w:pPr>
        <w:pStyle w:val="Indenti"/>
        <w:rPr>
          <w:snapToGrid w:val="0"/>
        </w:rPr>
      </w:pPr>
      <w:r>
        <w:rPr>
          <w:snapToGrid w:val="0"/>
        </w:rPr>
        <w:tab/>
        <w:t>(iii)</w:t>
      </w:r>
      <w:r>
        <w:rPr>
          <w:snapToGrid w:val="0"/>
        </w:rPr>
        <w:tab/>
        <w:t>the removal and disposal of waste, refuse and stagnant water;</w:t>
      </w:r>
    </w:p>
    <w:p>
      <w:pPr>
        <w:pStyle w:val="Indenta"/>
        <w:rPr>
          <w:snapToGrid w:val="0"/>
        </w:rPr>
      </w:pPr>
      <w:r>
        <w:rPr>
          <w:snapToGrid w:val="0"/>
        </w:rPr>
        <w:tab/>
        <w:t>(zb)</w:t>
      </w:r>
      <w:r>
        <w:rPr>
          <w:snapToGrid w:val="0"/>
        </w:rPr>
        <w:tab/>
        <w:t>prohibiting the treatment, handling or use of any substance at a mine;</w:t>
      </w:r>
    </w:p>
    <w:p>
      <w:pPr>
        <w:pStyle w:val="Indenta"/>
        <w:rPr>
          <w:snapToGrid w:val="0"/>
        </w:rPr>
      </w:pPr>
      <w:r>
        <w:rPr>
          <w:snapToGrid w:val="0"/>
        </w:rPr>
        <w:tab/>
        <w:t>(zc)</w:t>
      </w:r>
      <w:r>
        <w:rPr>
          <w:snapToGrid w:val="0"/>
        </w:rPr>
        <w:tab/>
        <w: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t>
      </w:r>
    </w:p>
    <w:p>
      <w:pPr>
        <w:pStyle w:val="Indenta"/>
        <w:rPr>
          <w:snapToGrid w:val="0"/>
        </w:rPr>
      </w:pPr>
      <w:r>
        <w:rPr>
          <w:snapToGrid w:val="0"/>
        </w:rPr>
        <w:tab/>
        <w:t>(zd)</w:t>
      </w:r>
      <w:r>
        <w:rPr>
          <w:snapToGrid w:val="0"/>
        </w:rPr>
        <w:tab/>
        <w:t>dealing with the provision of shelter for surface workers;</w:t>
      </w:r>
    </w:p>
    <w:p>
      <w:pPr>
        <w:pStyle w:val="Indenta"/>
        <w:rPr>
          <w:snapToGrid w:val="0"/>
        </w:rPr>
      </w:pPr>
      <w:r>
        <w:rPr>
          <w:snapToGrid w:val="0"/>
        </w:rPr>
        <w:tab/>
        <w:t>(ze)</w:t>
      </w:r>
      <w:r>
        <w:rPr>
          <w:snapToGrid w:val="0"/>
        </w:rPr>
        <w:tab/>
        <w:t>dealing with the notification and recording of accidents;</w:t>
      </w:r>
    </w:p>
    <w:p>
      <w:pPr>
        <w:pStyle w:val="Indenta"/>
        <w:rPr>
          <w:snapToGrid w:val="0"/>
        </w:rPr>
      </w:pPr>
      <w:r>
        <w:rPr>
          <w:snapToGrid w:val="0"/>
        </w:rPr>
        <w:tab/>
        <w:t>(zf)</w:t>
      </w:r>
      <w:r>
        <w:rPr>
          <w:snapToGrid w:val="0"/>
        </w:rPr>
        <w:tab/>
        <w:t>dealing with the provision of ambulance rooms with such attendants and such first aid facilities for use in case of accident as may be required by the State mining engineer;</w:t>
      </w:r>
    </w:p>
    <w:p>
      <w:pPr>
        <w:pStyle w:val="Indenta"/>
        <w:rPr>
          <w:snapToGrid w:val="0"/>
        </w:rPr>
      </w:pPr>
      <w:r>
        <w:rPr>
          <w:snapToGrid w:val="0"/>
        </w:rPr>
        <w:tab/>
        <w:t>(zg)</w:t>
      </w:r>
      <w:r>
        <w:rPr>
          <w:snapToGrid w:val="0"/>
        </w:rPr>
        <w:tab/>
        <w:t>requiring and regulating the environmental rehabilitation of mine sites;</w:t>
      </w:r>
    </w:p>
    <w:p>
      <w:pPr>
        <w:pStyle w:val="Indenta"/>
        <w:rPr>
          <w:snapToGrid w:val="0"/>
        </w:rPr>
      </w:pPr>
      <w:r>
        <w:rPr>
          <w:snapToGrid w:val="0"/>
        </w:rPr>
        <w:tab/>
        <w:t>(zh)</w:t>
      </w:r>
      <w:r>
        <w:rPr>
          <w:snapToGrid w:val="0"/>
        </w:rPr>
        <w:tab/>
        <w:t>dealing with the making of plans and surveys of mines;</w:t>
      </w:r>
    </w:p>
    <w:p>
      <w:pPr>
        <w:pStyle w:val="Indenta"/>
        <w:rPr>
          <w:snapToGrid w:val="0"/>
        </w:rPr>
      </w:pPr>
      <w:r>
        <w:rPr>
          <w:snapToGrid w:val="0"/>
        </w:rPr>
        <w:tab/>
        <w:t>(zi)</w:t>
      </w:r>
      <w:r>
        <w:rPr>
          <w:snapToGrid w:val="0"/>
        </w:rPr>
        <w:tab/>
        <w: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t>
      </w:r>
    </w:p>
    <w:p>
      <w:pPr>
        <w:pStyle w:val="Indenta"/>
        <w:rPr>
          <w:snapToGrid w:val="0"/>
        </w:rPr>
      </w:pPr>
      <w:r>
        <w:rPr>
          <w:snapToGrid w:val="0"/>
        </w:rPr>
        <w:tab/>
        <w:t>(zj)</w:t>
      </w:r>
      <w:r>
        <w:rPr>
          <w:snapToGrid w:val="0"/>
        </w:rPr>
        <w:tab/>
        <w:t>dealing with literacy and language requirements for persons working in or about mines, and in particular prescribing requirements of that kind for — </w:t>
      </w:r>
    </w:p>
    <w:p>
      <w:pPr>
        <w:pStyle w:val="Indenti"/>
        <w:rPr>
          <w:snapToGrid w:val="0"/>
        </w:rPr>
      </w:pPr>
      <w:r>
        <w:rPr>
          <w:snapToGrid w:val="0"/>
        </w:rPr>
        <w:tab/>
        <w:t>(i)</w:t>
      </w:r>
      <w:r>
        <w:rPr>
          <w:snapToGrid w:val="0"/>
        </w:rPr>
        <w:tab/>
        <w:t>persons employed to work in positions of responsibility in or about mines; and</w:t>
      </w:r>
    </w:p>
    <w:p>
      <w:pPr>
        <w:pStyle w:val="Indenti"/>
        <w:rPr>
          <w:snapToGrid w:val="0"/>
        </w:rPr>
      </w:pPr>
      <w:r>
        <w:rPr>
          <w:snapToGrid w:val="0"/>
        </w:rPr>
        <w:tab/>
        <w:t>(ii)</w:t>
      </w:r>
      <w:r>
        <w:rPr>
          <w:snapToGrid w:val="0"/>
        </w:rPr>
        <w:tab/>
        <w:t>persons employed to work underground in mines;</w:t>
      </w:r>
    </w:p>
    <w:p>
      <w:pPr>
        <w:pStyle w:val="Indenta"/>
        <w:rPr>
          <w:snapToGrid w:val="0"/>
        </w:rPr>
      </w:pPr>
      <w:r>
        <w:rPr>
          <w:snapToGrid w:val="0"/>
        </w:rPr>
        <w:tab/>
        <w:t>(zk)</w:t>
      </w:r>
      <w:r>
        <w:rPr>
          <w:snapToGrid w:val="0"/>
        </w:rPr>
        <w:tab/>
        <w:t>dealing with radiation safety in mines, including prescribing — </w:t>
      </w:r>
    </w:p>
    <w:p>
      <w:pPr>
        <w:pStyle w:val="Indenti"/>
        <w:rPr>
          <w:snapToGrid w:val="0"/>
        </w:rPr>
      </w:pPr>
      <w:r>
        <w:rPr>
          <w:snapToGrid w:val="0"/>
        </w:rPr>
        <w:tab/>
        <w:t>(i)</w:t>
      </w:r>
      <w:r>
        <w:rPr>
          <w:snapToGrid w:val="0"/>
        </w:rPr>
        <w:tab/>
        <w:t>measures for the protection from radiation of employees, other persons at mines, and the members of the public; and</w:t>
      </w:r>
    </w:p>
    <w:p>
      <w:pPr>
        <w:pStyle w:val="Indenti"/>
        <w:rPr>
          <w:snapToGrid w:val="0"/>
        </w:rPr>
      </w:pPr>
      <w:r>
        <w:rPr>
          <w:snapToGrid w:val="0"/>
        </w:rPr>
        <w:tab/>
        <w:t>(ii)</w:t>
      </w:r>
      <w:r>
        <w:rPr>
          <w:snapToGrid w:val="0"/>
        </w:rPr>
        <w:tab/>
        <w:t>requirements and procedures for the management of radioactive waste and the establishment of waste management systems; and</w:t>
      </w:r>
    </w:p>
    <w:p>
      <w:pPr>
        <w:pStyle w:val="Indenti"/>
        <w:rPr>
          <w:snapToGrid w:val="0"/>
        </w:rPr>
      </w:pPr>
      <w:r>
        <w:rPr>
          <w:snapToGrid w:val="0"/>
        </w:rPr>
        <w:tab/>
        <w:t>(iii)</w:t>
      </w:r>
      <w:r>
        <w:rPr>
          <w:snapToGrid w:val="0"/>
        </w:rPr>
        <w:tab/>
        <w:t>subject to subsection (5), maximum levels of radiation to which employees, other persons at mines and members of the public may be exposed;</w:t>
      </w:r>
    </w:p>
    <w:p>
      <w:pPr>
        <w:pStyle w:val="Indenta"/>
        <w:keepNext/>
        <w:rPr>
          <w:snapToGrid w:val="0"/>
        </w:rPr>
      </w:pPr>
      <w:r>
        <w:rPr>
          <w:snapToGrid w:val="0"/>
        </w:rPr>
        <w:tab/>
        <w:t>(zl)</w:t>
      </w:r>
      <w:r>
        <w:rPr>
          <w:snapToGrid w:val="0"/>
        </w:rPr>
        <w:tab/>
        <w:t>prescribing — </w:t>
      </w:r>
    </w:p>
    <w:p>
      <w:pPr>
        <w:pStyle w:val="Indenti"/>
        <w:rPr>
          <w:snapToGrid w:val="0"/>
        </w:rPr>
      </w:pPr>
      <w:r>
        <w:rPr>
          <w:snapToGrid w:val="0"/>
        </w:rPr>
        <w:tab/>
        <w:t>(i)</w:t>
      </w:r>
      <w:r>
        <w:rPr>
          <w:snapToGrid w:val="0"/>
        </w:rPr>
        <w:tab/>
        <w:t>minimum standards governing rescue operations or emergency operations for adoption at mines;</w:t>
      </w:r>
    </w:p>
    <w:p>
      <w:pPr>
        <w:pStyle w:val="Indenti"/>
        <w:rPr>
          <w:snapToGrid w:val="0"/>
        </w:rPr>
      </w:pPr>
      <w:r>
        <w:rPr>
          <w:snapToGrid w:val="0"/>
        </w:rPr>
        <w:tab/>
        <w:t>(ii)</w:t>
      </w:r>
      <w:r>
        <w:rPr>
          <w:snapToGrid w:val="0"/>
        </w:rPr>
        <w:tab/>
        <w:t>the number of trained rescue personnel to be available to the manager of a mine;</w:t>
      </w:r>
    </w:p>
    <w:p>
      <w:pPr>
        <w:pStyle w:val="Indenti"/>
        <w:rPr>
          <w:snapToGrid w:val="0"/>
        </w:rPr>
      </w:pPr>
      <w:r>
        <w:rPr>
          <w:snapToGrid w:val="0"/>
        </w:rPr>
        <w:tab/>
        <w:t>(iii)</w:t>
      </w:r>
      <w:r>
        <w:rPr>
          <w:snapToGrid w:val="0"/>
        </w:rPr>
        <w:tab/>
        <w:t>rescue training programmes and standards;</w:t>
      </w:r>
    </w:p>
    <w:p>
      <w:pPr>
        <w:pStyle w:val="Indenti"/>
        <w:rPr>
          <w:snapToGrid w:val="0"/>
        </w:rPr>
      </w:pPr>
      <w:r>
        <w:rPr>
          <w:snapToGrid w:val="0"/>
        </w:rPr>
        <w:tab/>
        <w:t>(iv)</w:t>
      </w:r>
      <w:r>
        <w:rPr>
          <w:snapToGrid w:val="0"/>
        </w:rPr>
        <w:tab/>
        <w:t>standard procedures for emergency response;</w:t>
      </w:r>
    </w:p>
    <w:p>
      <w:pPr>
        <w:pStyle w:val="Indenta"/>
        <w:rPr>
          <w:snapToGrid w:val="0"/>
        </w:rPr>
      </w:pPr>
      <w:r>
        <w:rPr>
          <w:snapToGrid w:val="0"/>
        </w:rPr>
        <w:tab/>
        <w:t>(zm)</w:t>
      </w:r>
      <w:r>
        <w:rPr>
          <w:snapToGrid w:val="0"/>
        </w:rPr>
        <w:tab/>
        <w:t>prescribing the measures which must be taken before mining operations are suspended and during any period of suspension or before a mine is closed or abandoned and after closure or abandonment;</w:t>
      </w:r>
    </w:p>
    <w:p>
      <w:pPr>
        <w:pStyle w:val="Indenta"/>
        <w:rPr>
          <w:snapToGrid w:val="0"/>
        </w:rPr>
      </w:pPr>
      <w:r>
        <w:rPr>
          <w:snapToGrid w:val="0"/>
        </w:rPr>
        <w:tab/>
        <w:t>(zn)</w:t>
      </w:r>
      <w:r>
        <w:rPr>
          <w:snapToGrid w:val="0"/>
        </w:rPr>
        <w:tab/>
        <w:t>making provision for the issue, unconditionally or subject to conditions, of certificates of competency in respect of metalliferous mines to persons who immediately before the commencement of this Act held certificates of competency in respect of coal mines.</w:t>
      </w:r>
    </w:p>
    <w:p>
      <w:pPr>
        <w:pStyle w:val="Subsection"/>
      </w:pPr>
      <w:r>
        <w:tab/>
        <w:t>(1a)</w:t>
      </w:r>
      <w:r>
        <w:tab/>
        <w:t xml:space="preserve">In subsection (1)(c), (z), (zc) and (zk) — </w:t>
      </w:r>
    </w:p>
    <w:p>
      <w:pPr>
        <w:pStyle w:val="Defstart"/>
      </w:pPr>
      <w:r>
        <w:rPr>
          <w:b/>
        </w:rPr>
        <w:tab/>
        <w:t>“</w:t>
      </w:r>
      <w:r>
        <w:rPr>
          <w:rStyle w:val="CharDefText"/>
        </w:rPr>
        <w:t>employer</w:t>
      </w:r>
      <w:r>
        <w:rPr>
          <w:b/>
        </w:rPr>
        <w:t>”</w:t>
      </w:r>
      <w:r>
        <w:t xml:space="preserve"> and </w:t>
      </w:r>
      <w:r>
        <w:rPr>
          <w:b/>
        </w:rPr>
        <w:t>“</w:t>
      </w:r>
      <w:r>
        <w:rPr>
          <w:rStyle w:val="CharDefText"/>
        </w:rPr>
        <w:t>employee</w:t>
      </w:r>
      <w:r>
        <w:rPr>
          <w:b/>
        </w:rPr>
        <w:t>”</w:t>
      </w:r>
      <w:r>
        <w:t xml:space="preserve"> </w:t>
      </w:r>
      <w:r>
        <w:rPr>
          <w:spacing w:val="-2"/>
        </w:rPr>
        <w:t>include a person taken to be an employer and an employee respectively by operation of section 15A, 15B or 15C</w:t>
      </w:r>
      <w:r>
        <w:rPr>
          <w:rFonts w:ascii="Times" w:hAnsi="Times"/>
          <w:spacing w:val="-2"/>
        </w:rPr>
        <w:t xml:space="preserve">, and </w:t>
      </w:r>
      <w:r>
        <w:rPr>
          <w:rFonts w:ascii="Times" w:hAnsi="Times"/>
          <w:b/>
          <w:spacing w:val="-2"/>
        </w:rPr>
        <w:t>“</w:t>
      </w:r>
      <w:r>
        <w:rPr>
          <w:rStyle w:val="CharDefText"/>
        </w:rPr>
        <w:t>employed</w:t>
      </w:r>
      <w:r>
        <w:rPr>
          <w:rFonts w:ascii="Times" w:hAnsi="Times"/>
          <w:b/>
          <w:spacing w:val="-2"/>
        </w:rPr>
        <w:t>”</w:t>
      </w:r>
      <w:r>
        <w:rPr>
          <w:rFonts w:ascii="Times" w:hAnsi="Times"/>
          <w:spacing w:val="-2"/>
        </w:rPr>
        <w:t xml:space="preserve"> </w:t>
      </w:r>
      <w:r>
        <w:rPr>
          <w:spacing w:val="-2"/>
        </w:rPr>
        <w:t>has a corresponding meaning</w:t>
      </w:r>
      <w:r>
        <w:rPr>
          <w:rFonts w:ascii="Times" w:hAnsi="Times"/>
          <w:spacing w:val="-2"/>
        </w:rPr>
        <w:t>.</w:t>
      </w:r>
    </w:p>
    <w:p>
      <w:pPr>
        <w:pStyle w:val="Subsection"/>
        <w:rPr>
          <w:snapToGrid w:val="0"/>
        </w:rPr>
      </w:pPr>
      <w:r>
        <w:rPr>
          <w:snapToGrid w:val="0"/>
        </w:rPr>
        <w:tab/>
        <w:t>(2)</w:t>
      </w:r>
      <w:r>
        <w:rPr>
          <w:snapToGrid w:val="0"/>
        </w:rPr>
        <w:tab/>
        <w:t>Regulations may be made under this Act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 xml:space="preserve">as approved by, or to the satisfaction of, a specified person or body or a specified class of person or body;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pPr>
        <w:pStyle w:val="Subsection"/>
      </w:pPr>
      <w:r>
        <w:tab/>
        <w:t>(4)</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corporation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corporation,</w:t>
      </w:r>
    </w:p>
    <w:p>
      <w:pPr>
        <w:pStyle w:val="Subsection"/>
      </w:pPr>
      <w:r>
        <w:tab/>
      </w:r>
      <w:r>
        <w:tab/>
        <w:t>for each day or part of a day during which the offence continues after notice of the offence has been given by or on behalf of an inspector to the offender.</w:t>
      </w:r>
    </w:p>
    <w:p>
      <w:pPr>
        <w:pStyle w:val="Subsection"/>
      </w:pPr>
      <w:r>
        <w:tab/>
        <w:t>(4a)</w:t>
      </w:r>
      <w:r>
        <w:tab/>
        <w:t xml:space="preserve">In subsection (4)(a) and (d) — </w:t>
      </w:r>
    </w:p>
    <w:p>
      <w:pPr>
        <w:pStyle w:val="Defstart"/>
      </w:pPr>
      <w:r>
        <w:rPr>
          <w:b/>
        </w:rPr>
        <w:tab/>
        <w:t>“</w:t>
      </w:r>
      <w:r>
        <w:rPr>
          <w:rStyle w:val="CharDefText"/>
        </w:rPr>
        <w:t>employee</w:t>
      </w:r>
      <w:r>
        <w:rPr>
          <w:b/>
        </w:rPr>
        <w:t>”</w:t>
      </w:r>
      <w:r>
        <w:t xml:space="preserve"> includes a person who is taken to be an employee by operation of section 15A, 15B or 15C to the extent that a regulation applies to such a person.</w:t>
      </w:r>
    </w:p>
    <w:p>
      <w:pPr>
        <w:pStyle w:val="Subsection"/>
        <w:rPr>
          <w:snapToGrid w:val="0"/>
        </w:rPr>
      </w:pPr>
      <w:r>
        <w:rPr>
          <w:snapToGrid w:val="0"/>
        </w:rPr>
        <w:tab/>
        <w:t>(5)</w:t>
      </w:r>
      <w:r>
        <w:rPr>
          <w:snapToGrid w:val="0"/>
        </w:rPr>
        <w:tab/>
        <w:t xml:space="preserve">Regulations under subsection (1)(zk) in relation to the prescription of maximum levels of radiation to which persons may be exposed are only to be made on the recommendation of the Radiological Council established under the </w:t>
      </w:r>
      <w:r>
        <w:rPr>
          <w:i/>
          <w:snapToGrid w:val="0"/>
        </w:rPr>
        <w:t>Radiation Safety Act 1975</w:t>
      </w:r>
      <w:r>
        <w:rPr>
          <w:snapToGrid w:val="0"/>
        </w:rPr>
        <w:t>.</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 xml:space="preserve">[Section 104 amended by No. 30 of 1995 s. 75 and 76(2) and (4); No. 74 of 2003 s. 83; No. 7 of 2004 s. 70; No. 68 of 2004 s. 13, 39, 72 and 92.] </w:t>
      </w:r>
    </w:p>
    <w:p>
      <w:pPr>
        <w:pStyle w:val="Heading5"/>
        <w:rPr>
          <w:snapToGrid w:val="0"/>
        </w:rPr>
      </w:pPr>
      <w:bookmarkStart w:id="238" w:name="_Toc192041249"/>
      <w:r>
        <w:rPr>
          <w:rStyle w:val="CharSectno"/>
        </w:rPr>
        <w:t>105</w:t>
      </w:r>
      <w:r>
        <w:rPr>
          <w:snapToGrid w:val="0"/>
        </w:rPr>
        <w:t>.</w:t>
      </w:r>
      <w:r>
        <w:rPr>
          <w:snapToGrid w:val="0"/>
        </w:rPr>
        <w:tab/>
        <w:t>Publication of regulations at mine</w:t>
      </w:r>
      <w:bookmarkEnd w:id="238"/>
      <w:r>
        <w:rPr>
          <w:snapToGrid w:val="0"/>
        </w:rPr>
        <w:t xml:space="preserve"> </w:t>
      </w:r>
    </w:p>
    <w:p>
      <w:pPr>
        <w:pStyle w:val="Subsection"/>
        <w:spacing w:before="180"/>
        <w:rPr>
          <w:snapToGrid w:val="0"/>
        </w:rPr>
      </w:pPr>
      <w:r>
        <w:rPr>
          <w:snapToGrid w:val="0"/>
        </w:rPr>
        <w:tab/>
      </w:r>
      <w:r>
        <w:rPr>
          <w:snapToGrid w:val="0"/>
        </w:rPr>
        <w:tab/>
        <w:t>In order to make the provisions of all the regulations applicable to a mine known to all employees at a mine, the principal employer or the manager of the mine — </w:t>
      </w:r>
    </w:p>
    <w:p>
      <w:pPr>
        <w:pStyle w:val="Indenta"/>
        <w:rPr>
          <w:snapToGrid w:val="0"/>
        </w:rPr>
      </w:pPr>
      <w:r>
        <w:rPr>
          <w:snapToGrid w:val="0"/>
        </w:rPr>
        <w:tab/>
        <w:t>(a)</w:t>
      </w:r>
      <w:r>
        <w:rPr>
          <w:snapToGrid w:val="0"/>
        </w:rPr>
        <w:tab/>
        <w:t>must cause a correct copy in legible characters of all the regulations applicable to that mine to be posted up in some conspicuous place, or kept in some readily accessible place, at or near the mine where they may be conveniently read by the employees at the mine; and</w:t>
      </w:r>
    </w:p>
    <w:p>
      <w:pPr>
        <w:pStyle w:val="Indenta"/>
        <w:rPr>
          <w:snapToGrid w:val="0"/>
        </w:rPr>
      </w:pPr>
      <w:r>
        <w:rPr>
          <w:snapToGrid w:val="0"/>
        </w:rPr>
        <w:tab/>
        <w:t>(b)</w:t>
      </w:r>
      <w:r>
        <w:rPr>
          <w:snapToGrid w:val="0"/>
        </w:rPr>
        <w:tab/>
        <w:t>so often as the copy referred to in paragraph (a) becomes defaced, obliterated or destroyed, must cause that copy to be renewed without delay.</w:t>
      </w:r>
    </w:p>
    <w:p>
      <w:pPr>
        <w:pStyle w:val="Penstart"/>
        <w:rPr>
          <w:snapToGrid w:val="0"/>
        </w:rPr>
      </w:pPr>
      <w:r>
        <w:rPr>
          <w:snapToGrid w:val="0"/>
        </w:rPr>
        <w:tab/>
        <w:t>Penalty: in the case of a corporation $25 000 and in the case of an individual $5 000.</w:t>
      </w:r>
    </w:p>
    <w:p>
      <w:pPr>
        <w:pStyle w:val="Heading5"/>
        <w:rPr>
          <w:snapToGrid w:val="0"/>
        </w:rPr>
      </w:pPr>
      <w:bookmarkStart w:id="239" w:name="_Toc192041250"/>
      <w:r>
        <w:rPr>
          <w:rStyle w:val="CharSectno"/>
        </w:rPr>
        <w:t>106</w:t>
      </w:r>
      <w:r>
        <w:rPr>
          <w:snapToGrid w:val="0"/>
        </w:rPr>
        <w:t>.</w:t>
      </w:r>
      <w:r>
        <w:rPr>
          <w:snapToGrid w:val="0"/>
        </w:rPr>
        <w:tab/>
        <w:t>Application of regulations to self</w:t>
      </w:r>
      <w:r>
        <w:rPr>
          <w:snapToGrid w:val="0"/>
        </w:rPr>
        <w:noBreakHyphen/>
        <w:t>employed persons</w:t>
      </w:r>
      <w:bookmarkEnd w:id="239"/>
      <w:r>
        <w:rPr>
          <w:snapToGrid w:val="0"/>
        </w:rPr>
        <w:t xml:space="preserve"> </w:t>
      </w:r>
    </w:p>
    <w:p>
      <w:pPr>
        <w:pStyle w:val="Subsection"/>
        <w:spacing w:before="180"/>
        <w:rPr>
          <w:snapToGrid w:val="0"/>
        </w:rPr>
      </w:pPr>
      <w:r>
        <w:rPr>
          <w:snapToGrid w:val="0"/>
        </w:rPr>
        <w:tab/>
      </w:r>
      <w:r>
        <w:rPr>
          <w:snapToGrid w:val="0"/>
        </w:rPr>
        <w:tab/>
        <w:t>Regulations made under this Act are, subject to any necessary modifications, to be construed to apply to self</w:t>
      </w:r>
      <w:r>
        <w:rPr>
          <w:snapToGrid w:val="0"/>
        </w:rPr>
        <w:noBreakHyphen/>
        <w:t>employed persons who are engaged in mining operations as if they were employees.</w:t>
      </w:r>
    </w:p>
    <w:p>
      <w:pPr>
        <w:pStyle w:val="Heading5"/>
        <w:rPr>
          <w:snapToGrid w:val="0"/>
        </w:rPr>
      </w:pPr>
      <w:bookmarkStart w:id="240" w:name="_Toc192041251"/>
      <w:r>
        <w:rPr>
          <w:rStyle w:val="CharSectno"/>
        </w:rPr>
        <w:t>107</w:t>
      </w:r>
      <w:r>
        <w:rPr>
          <w:snapToGrid w:val="0"/>
        </w:rPr>
        <w:t>.</w:t>
      </w:r>
      <w:r>
        <w:rPr>
          <w:snapToGrid w:val="0"/>
        </w:rPr>
        <w:tab/>
        <w:t>Repeals</w:t>
      </w:r>
      <w:bookmarkEnd w:id="240"/>
      <w:r>
        <w:rPr>
          <w:snapToGrid w:val="0"/>
        </w:rPr>
        <w:t xml:space="preserve"> </w:t>
      </w:r>
    </w:p>
    <w:p>
      <w:pPr>
        <w:pStyle w:val="Subsection"/>
        <w:spacing w:before="180"/>
        <w:rPr>
          <w:snapToGrid w:val="0"/>
        </w:rPr>
      </w:pPr>
      <w:r>
        <w:rPr>
          <w:snapToGrid w:val="0"/>
        </w:rPr>
        <w:tab/>
      </w:r>
      <w:r>
        <w:rPr>
          <w:snapToGrid w:val="0"/>
        </w:rPr>
        <w:tab/>
        <w:t>The following Acts are repealed — </w:t>
      </w:r>
    </w:p>
    <w:p>
      <w:pPr>
        <w:pStyle w:val="Indenta"/>
        <w:rPr>
          <w:snapToGrid w:val="0"/>
        </w:rPr>
      </w:pPr>
      <w:r>
        <w:rPr>
          <w:snapToGrid w:val="0"/>
        </w:rPr>
        <w:tab/>
        <w:t>(a)</w:t>
      </w:r>
      <w:r>
        <w:rPr>
          <w:snapToGrid w:val="0"/>
        </w:rPr>
        <w:tab/>
        <w:t>the</w:t>
      </w:r>
      <w:r>
        <w:rPr>
          <w:i/>
          <w:snapToGrid w:val="0"/>
        </w:rPr>
        <w:t xml:space="preserve"> Mines Regulation Act 1946</w:t>
      </w:r>
      <w:r>
        <w:rPr>
          <w:snapToGrid w:val="0"/>
        </w:rPr>
        <w:t>; and</w:t>
      </w:r>
    </w:p>
    <w:p>
      <w:pPr>
        <w:pStyle w:val="Indenta"/>
        <w:rPr>
          <w:snapToGrid w:val="0"/>
        </w:rPr>
      </w:pPr>
      <w:r>
        <w:rPr>
          <w:snapToGrid w:val="0"/>
        </w:rPr>
        <w:tab/>
        <w:t>(b)</w:t>
      </w:r>
      <w:r>
        <w:rPr>
          <w:snapToGrid w:val="0"/>
        </w:rPr>
        <w:tab/>
        <w:t xml:space="preserve">the </w:t>
      </w:r>
      <w:r>
        <w:rPr>
          <w:i/>
          <w:snapToGrid w:val="0"/>
        </w:rPr>
        <w:t>Coal Mines Regulation Act 1946</w:t>
      </w:r>
      <w:r>
        <w:rPr>
          <w:snapToGrid w:val="0"/>
        </w:rPr>
        <w:t>.</w:t>
      </w:r>
    </w:p>
    <w:p>
      <w:pPr>
        <w:pStyle w:val="Heading5"/>
        <w:rPr>
          <w:snapToGrid w:val="0"/>
        </w:rPr>
      </w:pPr>
      <w:bookmarkStart w:id="241" w:name="_Toc192041252"/>
      <w:r>
        <w:rPr>
          <w:rStyle w:val="CharSectno"/>
        </w:rPr>
        <w:t>108</w:t>
      </w:r>
      <w:r>
        <w:rPr>
          <w:snapToGrid w:val="0"/>
        </w:rPr>
        <w:t>.</w:t>
      </w:r>
      <w:r>
        <w:rPr>
          <w:snapToGrid w:val="0"/>
        </w:rPr>
        <w:tab/>
        <w:t>Savings and transitional</w:t>
      </w:r>
      <w:bookmarkEnd w:id="241"/>
      <w:r>
        <w:rPr>
          <w:snapToGrid w:val="0"/>
        </w:rPr>
        <w:t xml:space="preserve"> </w:t>
      </w:r>
    </w:p>
    <w:p>
      <w:pPr>
        <w:pStyle w:val="Subsection"/>
        <w:spacing w:before="120"/>
        <w:rPr>
          <w:snapToGrid w:val="0"/>
        </w:rPr>
      </w:pPr>
      <w:r>
        <w:rPr>
          <w:snapToGrid w:val="0"/>
        </w:rPr>
        <w:tab/>
      </w:r>
      <w:r>
        <w:rPr>
          <w:snapToGrid w:val="0"/>
        </w:rPr>
        <w:tab/>
        <w:t>Schedule 1 (which contains savings and transitional provisions for the purpose of the transition from the Acts repealed in section 107 to the provisions of this Act) has effect.</w:t>
      </w:r>
    </w:p>
    <w:p>
      <w:pPr>
        <w:pStyle w:val="Ednotesection"/>
      </w:pPr>
      <w:r>
        <w:t>[</w:t>
      </w:r>
      <w:r>
        <w:rPr>
          <w:b/>
          <w:bCs/>
        </w:rPr>
        <w:t>109.</w:t>
      </w:r>
      <w:r>
        <w:tab/>
        <w:t>Omitted under the Reprints Act 1984 s. 7(4)(e).]</w:t>
      </w:r>
    </w:p>
    <w:p>
      <w:pPr>
        <w:pStyle w:val="Heading5"/>
        <w:rPr>
          <w:snapToGrid w:val="0"/>
        </w:rPr>
      </w:pPr>
      <w:bookmarkStart w:id="242" w:name="_Toc192041253"/>
      <w:r>
        <w:rPr>
          <w:rStyle w:val="CharSectno"/>
        </w:rPr>
        <w:t>110</w:t>
      </w:r>
      <w:r>
        <w:rPr>
          <w:snapToGrid w:val="0"/>
        </w:rPr>
        <w:t>.</w:t>
      </w:r>
      <w:r>
        <w:rPr>
          <w:snapToGrid w:val="0"/>
        </w:rPr>
        <w:tab/>
        <w:t>Review of Act</w:t>
      </w:r>
      <w:bookmarkEnd w:id="242"/>
      <w:r>
        <w:rPr>
          <w:snapToGrid w:val="0"/>
        </w:rPr>
        <w:t xml:space="preserve"> </w:t>
      </w:r>
    </w:p>
    <w:p>
      <w:pPr>
        <w:pStyle w:val="Subsection"/>
        <w:spacing w:before="120"/>
        <w:rPr>
          <w:snapToGrid w:val="0"/>
        </w:rPr>
      </w:pPr>
      <w:r>
        <w:rPr>
          <w:snapToGrid w:val="0"/>
        </w:rPr>
        <w:tab/>
        <w:t>(1)</w:t>
      </w:r>
      <w:r>
        <w:rPr>
          <w:snapToGrid w:val="0"/>
        </w:rPr>
        <w:tab/>
        <w:t xml:space="preserve">The Minister shall carry out a review of the operation and effectiveness of this Act as soon as is practicable after </w:t>
      </w:r>
      <w:r>
        <w:t>1 December 2009 and every fifth anniversary of that day, and in the course of such a</w:t>
      </w:r>
      <w:r>
        <w:rPr>
          <w:snapToGrid w:val="0"/>
        </w:rPr>
        <w:t xml:space="preserve"> review the Minister shall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effectiveness of the operations of the department, the Board of Examiners, and the Mines Survey Board; and</w:t>
      </w:r>
    </w:p>
    <w:p>
      <w:pPr>
        <w:pStyle w:val="Indenta"/>
        <w:rPr>
          <w:snapToGrid w:val="0"/>
        </w:rPr>
      </w:pPr>
      <w:r>
        <w:rPr>
          <w:snapToGrid w:val="0"/>
        </w:rPr>
        <w:tab/>
        <w:t>(c)</w:t>
      </w:r>
      <w:r>
        <w:rPr>
          <w:snapToGrid w:val="0"/>
        </w:rPr>
        <w:tab/>
        <w:t>the need for the continuation of the functions of the Boards referred to in paragraph (b);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such a review</w:t>
      </w:r>
      <w:r>
        <w:rPr>
          <w:snapToGrid w:val="0"/>
        </w:rPr>
        <w:t xml:space="preserve"> and shall, as soon as practicable after the report is prepared, cause it to be laid before each House of Parliament.</w:t>
      </w:r>
    </w:p>
    <w:p>
      <w:pPr>
        <w:pStyle w:val="Footnotesection"/>
      </w:pPr>
      <w:r>
        <w:tab/>
        <w:t xml:space="preserve">[Section 110 amended by No. 30 of 1995 s. 76(1); No. 51 of 2004 s. 115(6); No. 68 of 2004 s. 93.]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43" w:name="_Toc192041254"/>
      <w:r>
        <w:rPr>
          <w:rStyle w:val="CharSchNo"/>
        </w:rPr>
        <w:t>Schedule 1</w:t>
      </w:r>
      <w:bookmarkEnd w:id="243"/>
      <w:r>
        <w:rPr>
          <w:rStyle w:val="CharSchNo"/>
        </w:rPr>
        <w:t xml:space="preserve"> </w:t>
      </w:r>
    </w:p>
    <w:p>
      <w:pPr>
        <w:pStyle w:val="yShoulderClause"/>
        <w:rPr>
          <w:snapToGrid w:val="0"/>
        </w:rPr>
      </w:pPr>
      <w:r>
        <w:rPr>
          <w:snapToGrid w:val="0"/>
        </w:rPr>
        <w:t>[Section 108]</w:t>
      </w:r>
    </w:p>
    <w:p>
      <w:pPr>
        <w:pStyle w:val="yHeading2"/>
        <w:outlineLvl w:val="0"/>
      </w:pPr>
      <w:bookmarkStart w:id="244" w:name="_Toc192041255"/>
      <w:r>
        <w:rPr>
          <w:rStyle w:val="CharSchText"/>
        </w:rPr>
        <w:t>Savings and transitional provisions</w:t>
      </w:r>
      <w:bookmarkEnd w:id="244"/>
    </w:p>
    <w:p>
      <w:pPr>
        <w:pStyle w:val="yHeading5"/>
        <w:outlineLvl w:val="0"/>
        <w:rPr>
          <w:snapToGrid w:val="0"/>
        </w:rPr>
      </w:pPr>
      <w:bookmarkStart w:id="245" w:name="_Toc192041256"/>
      <w:r>
        <w:rPr>
          <w:rStyle w:val="CharSClsNo"/>
        </w:rPr>
        <w:t>1</w:t>
      </w:r>
      <w:r>
        <w:rPr>
          <w:snapToGrid w:val="0"/>
        </w:rPr>
        <w:t>.</w:t>
      </w:r>
      <w:r>
        <w:rPr>
          <w:snapToGrid w:val="0"/>
        </w:rPr>
        <w:tab/>
        <w:t>Interpretation Act not restricted</w:t>
      </w:r>
      <w:bookmarkEnd w:id="245"/>
      <w:r>
        <w:rPr>
          <w:snapToGrid w:val="0"/>
        </w:rPr>
        <w:t xml:space="preserve"> </w:t>
      </w:r>
    </w:p>
    <w:p>
      <w:pPr>
        <w:pStyle w:val="ySubsection"/>
        <w:rPr>
          <w:snapToGrid w:val="0"/>
        </w:rPr>
      </w:pPr>
      <w:r>
        <w:rPr>
          <w:snapToGrid w:val="0"/>
        </w:rPr>
        <w:tab/>
      </w:r>
      <w:r>
        <w:rPr>
          <w:snapToGrid w:val="0"/>
        </w:rPr>
        <w:tab/>
        <w:t xml:space="preserve">Nothing in this Schedule is to be construed so as to restrict the operation of the </w:t>
      </w:r>
      <w:r>
        <w:rPr>
          <w:i/>
          <w:snapToGrid w:val="0"/>
        </w:rPr>
        <w:t>Interpretation Act 1984.</w:t>
      </w:r>
      <w:r>
        <w:rPr>
          <w:snapToGrid w:val="0"/>
        </w:rPr>
        <w:t xml:space="preserve"> </w:t>
      </w:r>
    </w:p>
    <w:p>
      <w:pPr>
        <w:pStyle w:val="yHeading5"/>
        <w:outlineLvl w:val="0"/>
        <w:rPr>
          <w:snapToGrid w:val="0"/>
        </w:rPr>
      </w:pPr>
      <w:bookmarkStart w:id="246" w:name="_Toc192041257"/>
      <w:r>
        <w:rPr>
          <w:rStyle w:val="CharSClsNo"/>
        </w:rPr>
        <w:t>2</w:t>
      </w:r>
      <w:r>
        <w:rPr>
          <w:snapToGrid w:val="0"/>
        </w:rPr>
        <w:t>.</w:t>
      </w:r>
      <w:r>
        <w:rPr>
          <w:snapToGrid w:val="0"/>
        </w:rPr>
        <w:tab/>
        <w:t>General transitional provision</w:t>
      </w:r>
      <w:bookmarkEnd w:id="246"/>
      <w:r>
        <w:rPr>
          <w:snapToGrid w:val="0"/>
        </w:rPr>
        <w:t xml:space="preserve"> </w:t>
      </w:r>
    </w:p>
    <w:p>
      <w:pPr>
        <w:pStyle w:val="ySubsection"/>
        <w:rPr>
          <w:snapToGrid w:val="0"/>
        </w:rPr>
      </w:pPr>
      <w:r>
        <w:rPr>
          <w:snapToGrid w:val="0"/>
        </w:rPr>
        <w:tab/>
        <w:t>(1)</w:t>
      </w:r>
      <w:r>
        <w:rPr>
          <w:snapToGrid w:val="0"/>
        </w:rPr>
        <w:tab/>
        <w:t>Except so far as is inconsistent with this Act, all persons, things and circumstances appointed, created or established under a repealed Act and having effect immediately before the commencement of this Act, are to have the same status, operation, and effect for the purposes of this Act.</w:t>
      </w:r>
    </w:p>
    <w:p>
      <w:pPr>
        <w:pStyle w:val="ySubsection"/>
        <w:rPr>
          <w:snapToGrid w:val="0"/>
        </w:rPr>
      </w:pPr>
      <w:r>
        <w:rPr>
          <w:snapToGrid w:val="0"/>
        </w:rPr>
        <w:tab/>
        <w:t>(2)</w:t>
      </w:r>
      <w:r>
        <w:rPr>
          <w:snapToGrid w:val="0"/>
        </w:rPr>
        <w:tab/>
        <w:t>Without affecting the generality of subclause (1), the commencement of this Act is not to disturb the continuity of status, operation or effect of any agreement, arbitration, direction, requisition, instruction, notice, appointment, approval, authorised mine surveyor’s certificate, certificate of competency, document, charge, fee, liability, obligation, proceeding, matter or thing done, given, entered into, commenced, existing or acquired under a repealed Act and having effect immediately before the commencement of this Act unless or until the effect is altered under a provision of this Act.</w:t>
      </w:r>
    </w:p>
    <w:p>
      <w:pPr>
        <w:pStyle w:val="yHeading5"/>
        <w:outlineLvl w:val="0"/>
        <w:rPr>
          <w:snapToGrid w:val="0"/>
        </w:rPr>
      </w:pPr>
      <w:bookmarkStart w:id="247" w:name="_Toc192041258"/>
      <w:r>
        <w:rPr>
          <w:rStyle w:val="CharSClsNo"/>
        </w:rPr>
        <w:t>3</w:t>
      </w:r>
      <w:r>
        <w:rPr>
          <w:snapToGrid w:val="0"/>
        </w:rPr>
        <w:t>.</w:t>
      </w:r>
      <w:r>
        <w:rPr>
          <w:snapToGrid w:val="0"/>
        </w:rPr>
        <w:tab/>
        <w:t>Act in substitution for repealed Acts</w:t>
      </w:r>
      <w:bookmarkEnd w:id="247"/>
      <w:r>
        <w:rPr>
          <w:snapToGrid w:val="0"/>
        </w:rPr>
        <w:t xml:space="preserve"> </w:t>
      </w:r>
    </w:p>
    <w:p>
      <w:pPr>
        <w:pStyle w:val="ySubsection"/>
        <w:rPr>
          <w:snapToGrid w:val="0"/>
        </w:rPr>
      </w:pPr>
      <w:r>
        <w:rPr>
          <w:snapToGrid w:val="0"/>
        </w:rPr>
        <w:tab/>
      </w:r>
      <w:r>
        <w:rPr>
          <w:snapToGrid w:val="0"/>
        </w:rPr>
        <w:tab/>
        <w:t xml:space="preserve">For the purposes of section 16 of the </w:t>
      </w:r>
      <w:r>
        <w:rPr>
          <w:i/>
          <w:snapToGrid w:val="0"/>
        </w:rPr>
        <w:t>Interpretation Act 1984</w:t>
      </w:r>
      <w:r>
        <w:rPr>
          <w:iCs/>
          <w:snapToGrid w:val="0"/>
        </w:rPr>
        <w:t xml:space="preserve">, </w:t>
      </w:r>
      <w:r>
        <w:rPr>
          <w:snapToGrid w:val="0"/>
        </w:rPr>
        <w:t>it is declared that this Act is in substitution for the repealed Acts.</w:t>
      </w:r>
    </w:p>
    <w:p>
      <w:pPr>
        <w:pStyle w:val="yHeading5"/>
        <w:outlineLvl w:val="0"/>
        <w:rPr>
          <w:snapToGrid w:val="0"/>
        </w:rPr>
      </w:pPr>
      <w:bookmarkStart w:id="248" w:name="_Toc192041259"/>
      <w:r>
        <w:rPr>
          <w:rStyle w:val="CharSClsNo"/>
        </w:rPr>
        <w:t>4</w:t>
      </w:r>
      <w:r>
        <w:rPr>
          <w:snapToGrid w:val="0"/>
        </w:rPr>
        <w:t>.</w:t>
      </w:r>
      <w:r>
        <w:rPr>
          <w:snapToGrid w:val="0"/>
        </w:rPr>
        <w:tab/>
        <w:t>Workmen’s inspectors</w:t>
      </w:r>
      <w:bookmarkEnd w:id="248"/>
      <w:r>
        <w:rPr>
          <w:snapToGrid w:val="0"/>
        </w:rPr>
        <w:t xml:space="preserve"> </w:t>
      </w:r>
    </w:p>
    <w:p>
      <w:pPr>
        <w:pStyle w:val="ySubsection"/>
        <w:rPr>
          <w:snapToGrid w:val="0"/>
        </w:rPr>
      </w:pPr>
      <w:r>
        <w:rPr>
          <w:snapToGrid w:val="0"/>
        </w:rPr>
        <w:tab/>
      </w:r>
      <w:r>
        <w:rPr>
          <w:snapToGrid w:val="0"/>
        </w:rPr>
        <w:tab/>
        <w:t xml:space="preserve">A person who immediately before the commencement of this Act was a workmen’s inspector under a repealed Act continues as an employee’s inspector under and for the purposes of this Act as if that person had been appointed under this Act on the same terms and conditions for a term expiring 2 years after the commencement of this Act. </w:t>
      </w:r>
    </w:p>
    <w:p>
      <w:pPr>
        <w:pStyle w:val="yHeading5"/>
        <w:outlineLvl w:val="0"/>
        <w:rPr>
          <w:snapToGrid w:val="0"/>
        </w:rPr>
      </w:pPr>
      <w:bookmarkStart w:id="249" w:name="_Toc192041260"/>
      <w:r>
        <w:rPr>
          <w:rStyle w:val="CharSClsNo"/>
        </w:rPr>
        <w:t>5</w:t>
      </w:r>
      <w:r>
        <w:rPr>
          <w:snapToGrid w:val="0"/>
        </w:rPr>
        <w:t>.</w:t>
      </w:r>
      <w:r>
        <w:rPr>
          <w:snapToGrid w:val="0"/>
        </w:rPr>
        <w:tab/>
        <w:t>Inspectors</w:t>
      </w:r>
      <w:bookmarkEnd w:id="249"/>
      <w:r>
        <w:rPr>
          <w:snapToGrid w:val="0"/>
        </w:rPr>
        <w:t xml:space="preserve"> </w:t>
      </w:r>
    </w:p>
    <w:p>
      <w:pPr>
        <w:pStyle w:val="ySubsection"/>
        <w:rPr>
          <w:snapToGrid w:val="0"/>
        </w:rPr>
      </w:pPr>
      <w:r>
        <w:rPr>
          <w:snapToGrid w:val="0"/>
        </w:rPr>
        <w:tab/>
      </w:r>
      <w:r>
        <w:rPr>
          <w:snapToGrid w:val="0"/>
        </w:rPr>
        <w:tab/>
        <w:t>A person who immediately before the commencement of this Act was an inspector (other than a workmen’s inspector) under a repealed Act continues as an inspector under and for the purposes of this Act as if appointed an inspector of the same category and for the same purposes under this Act.</w:t>
      </w:r>
    </w:p>
    <w:p>
      <w:pPr>
        <w:pStyle w:val="yHeading5"/>
        <w:outlineLvl w:val="0"/>
        <w:rPr>
          <w:snapToGrid w:val="0"/>
        </w:rPr>
      </w:pPr>
      <w:bookmarkStart w:id="250" w:name="_Toc192041261"/>
      <w:r>
        <w:rPr>
          <w:rStyle w:val="CharSClsNo"/>
        </w:rPr>
        <w:t>6</w:t>
      </w:r>
      <w:r>
        <w:rPr>
          <w:snapToGrid w:val="0"/>
        </w:rPr>
        <w:t>.</w:t>
      </w:r>
      <w:r>
        <w:rPr>
          <w:snapToGrid w:val="0"/>
        </w:rPr>
        <w:tab/>
        <w:t>Board members</w:t>
      </w:r>
      <w:bookmarkEnd w:id="250"/>
      <w:r>
        <w:rPr>
          <w:snapToGrid w:val="0"/>
        </w:rPr>
        <w:t xml:space="preserve"> </w:t>
      </w:r>
    </w:p>
    <w:p>
      <w:pPr>
        <w:pStyle w:val="ySubsection"/>
        <w:rPr>
          <w:snapToGrid w:val="0"/>
        </w:rPr>
      </w:pPr>
      <w:r>
        <w:rPr>
          <w:snapToGrid w:val="0"/>
        </w:rPr>
        <w:tab/>
      </w:r>
      <w:r>
        <w:rPr>
          <w:snapToGrid w:val="0"/>
        </w:rPr>
        <w:tab/>
        <w:t>A person who was a member of a Board of Examiners or the Mines Survey Board under a repealed Act immediately before the commencement of this Act continues as a member of the Board of Examiners or the Mines Survey Board, as the case may be, under and for the purposes of this Act for a term expiring on the day on which the appointment of the person would have expired under the repealed Act.</w:t>
      </w:r>
    </w:p>
    <w:p>
      <w:pPr>
        <w:pStyle w:val="yHeading5"/>
        <w:outlineLvl w:val="0"/>
        <w:rPr>
          <w:snapToGrid w:val="0"/>
        </w:rPr>
      </w:pPr>
      <w:bookmarkStart w:id="251" w:name="_Toc192041262"/>
      <w:r>
        <w:rPr>
          <w:rStyle w:val="CharSClsNo"/>
        </w:rPr>
        <w:t>7</w:t>
      </w:r>
      <w:r>
        <w:rPr>
          <w:snapToGrid w:val="0"/>
        </w:rPr>
        <w:t>.</w:t>
      </w:r>
      <w:r>
        <w:rPr>
          <w:snapToGrid w:val="0"/>
        </w:rPr>
        <w:tab/>
        <w:t>Certificates of competency</w:t>
      </w:r>
      <w:bookmarkEnd w:id="251"/>
      <w:r>
        <w:rPr>
          <w:snapToGrid w:val="0"/>
        </w:rPr>
        <w:t xml:space="preserve"> </w:t>
      </w:r>
    </w:p>
    <w:p>
      <w:pPr>
        <w:pStyle w:val="ySubsection"/>
        <w:rPr>
          <w:snapToGrid w:val="0"/>
        </w:rPr>
      </w:pPr>
      <w:r>
        <w:rPr>
          <w:snapToGrid w:val="0"/>
        </w:rPr>
        <w:tab/>
        <w:t>(1)</w:t>
      </w:r>
      <w:r>
        <w:rPr>
          <w:snapToGrid w:val="0"/>
        </w:rPr>
        <w:tab/>
        <w:t>If, within 2 years after the commencement of this Act, the Board of Examiners is satisfied that the holder of the certificate had adequate relevant experience and a district inspector is satisfied that the holder of the certificate has an adequate understanding of the relevant regulations relating to metalliferous mining — </w:t>
      </w:r>
    </w:p>
    <w:p>
      <w:pPr>
        <w:pStyle w:val="yIndenta"/>
        <w:rPr>
          <w:snapToGrid w:val="0"/>
        </w:rPr>
      </w:pPr>
      <w:r>
        <w:rPr>
          <w:snapToGrid w:val="0"/>
        </w:rPr>
        <w:tab/>
        <w:t>(a)</w:t>
      </w:r>
      <w:r>
        <w:rPr>
          <w:snapToGrid w:val="0"/>
        </w:rPr>
        <w:tab/>
        <w:t xml:space="preserve">an open cut mine under manager’s certificate of competency issued under the </w:t>
      </w:r>
      <w:r>
        <w:rPr>
          <w:i/>
          <w:snapToGrid w:val="0"/>
        </w:rPr>
        <w:t xml:space="preserve">Coal Mines Regulation Act 1946 </w:t>
      </w:r>
      <w:r>
        <w:rPr>
          <w:snapToGrid w:val="0"/>
        </w:rPr>
        <w:t>may be regarded and accepted in all respects as if it were a quarry manager’s certificate of competency issued under this Act;</w:t>
      </w:r>
    </w:p>
    <w:p>
      <w:pPr>
        <w:pStyle w:val="yIndenta"/>
        <w:rPr>
          <w:snapToGrid w:val="0"/>
        </w:rPr>
      </w:pPr>
      <w:r>
        <w:rPr>
          <w:snapToGrid w:val="0"/>
        </w:rPr>
        <w:tab/>
        <w:t>(b)</w:t>
      </w:r>
      <w:r>
        <w:rPr>
          <w:snapToGrid w:val="0"/>
        </w:rPr>
        <w:tab/>
        <w:t xml:space="preserve">a deputy’s (open cut) certificate of competency issued under the </w:t>
      </w:r>
      <w:r>
        <w:rPr>
          <w:i/>
          <w:snapToGrid w:val="0"/>
        </w:rPr>
        <w:t xml:space="preserve">Coal Mines Regulation Act 1946 </w:t>
      </w:r>
      <w:r>
        <w:rPr>
          <w:snapToGrid w:val="0"/>
        </w:rPr>
        <w:t>may be regarded and accepted in all respects as if it were a restricted quarry manager’s certificate of competency issued under this Act;</w:t>
      </w:r>
    </w:p>
    <w:p>
      <w:pPr>
        <w:pStyle w:val="yIndenta"/>
        <w:rPr>
          <w:snapToGrid w:val="0"/>
        </w:rPr>
      </w:pPr>
      <w:r>
        <w:rPr>
          <w:snapToGrid w:val="0"/>
        </w:rPr>
        <w:tab/>
        <w:t>(c)</w:t>
      </w:r>
      <w:r>
        <w:rPr>
          <w:snapToGrid w:val="0"/>
        </w:rPr>
        <w:tab/>
        <w:t xml:space="preserve">a first class mine manager’s certificate of competency issued under the </w:t>
      </w:r>
      <w:r>
        <w:rPr>
          <w:i/>
          <w:snapToGrid w:val="0"/>
        </w:rPr>
        <w:t>Coal Mines Regulation Act 1946</w:t>
      </w:r>
      <w:r>
        <w:rPr>
          <w:snapToGrid w:val="0"/>
        </w:rPr>
        <w:t xml:space="preserve"> may be regarded and accepted in all respects as if it were a first class mine manager’s certificate of competency issued under this Act;</w:t>
      </w:r>
    </w:p>
    <w:p>
      <w:pPr>
        <w:pStyle w:val="yIndenta"/>
        <w:rPr>
          <w:snapToGrid w:val="0"/>
        </w:rPr>
      </w:pPr>
      <w:r>
        <w:rPr>
          <w:snapToGrid w:val="0"/>
        </w:rPr>
        <w:tab/>
        <w:t>(d)</w:t>
      </w:r>
      <w:r>
        <w:rPr>
          <w:snapToGrid w:val="0"/>
        </w:rPr>
        <w:tab/>
        <w:t xml:space="preserve">a second class mine manager’s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quarry manager’s certificate issued under this Act;</w:t>
      </w:r>
    </w:p>
    <w:p>
      <w:pPr>
        <w:pStyle w:val="yIndenta"/>
        <w:rPr>
          <w:snapToGrid w:val="0"/>
        </w:rPr>
      </w:pPr>
      <w:r>
        <w:rPr>
          <w:snapToGrid w:val="0"/>
        </w:rPr>
        <w:tab/>
        <w:t>(e)</w:t>
      </w:r>
      <w:r>
        <w:rPr>
          <w:snapToGrid w:val="0"/>
        </w:rPr>
        <w:tab/>
        <w:t xml:space="preserve">a third class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w:t>
      </w:r>
    </w:p>
    <w:p>
      <w:pPr>
        <w:pStyle w:val="yIndenta"/>
        <w:rPr>
          <w:snapToGrid w:val="0"/>
        </w:rPr>
      </w:pPr>
      <w:r>
        <w:rPr>
          <w:snapToGrid w:val="0"/>
        </w:rPr>
        <w:tab/>
        <w:t>(f)</w:t>
      </w:r>
      <w:r>
        <w:rPr>
          <w:snapToGrid w:val="0"/>
        </w:rPr>
        <w:tab/>
        <w:t xml:space="preserve">a deputy’s (open cut)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 and</w:t>
      </w:r>
    </w:p>
    <w:p>
      <w:pPr>
        <w:pStyle w:val="yIndenta"/>
        <w:rPr>
          <w:snapToGrid w:val="0"/>
        </w:rPr>
      </w:pPr>
      <w:r>
        <w:rPr>
          <w:snapToGrid w:val="0"/>
        </w:rPr>
        <w:tab/>
        <w:t>(g)</w:t>
      </w:r>
      <w:r>
        <w:rPr>
          <w:snapToGrid w:val="0"/>
        </w:rPr>
        <w:tab/>
        <w:t xml:space="preserve">a third class certificate of competency issued under the </w:t>
      </w:r>
      <w:r>
        <w:rPr>
          <w:i/>
          <w:snapToGrid w:val="0"/>
        </w:rPr>
        <w:t>Coal Mines Regulation Act 1946</w:t>
      </w:r>
      <w:r>
        <w:rPr>
          <w:snapToGrid w:val="0"/>
        </w:rPr>
        <w:t xml:space="preserve"> may be regarded and accepted in all respects as if it were an underground supervisor’s certificate of competency issued under this Act.</w:t>
      </w:r>
    </w:p>
    <w:p>
      <w:pPr>
        <w:pStyle w:val="ySubsection"/>
        <w:rPr>
          <w:snapToGrid w:val="0"/>
        </w:rPr>
      </w:pPr>
      <w:r>
        <w:rPr>
          <w:snapToGrid w:val="0"/>
        </w:rPr>
        <w:tab/>
        <w:t>(2)</w:t>
      </w:r>
      <w:r>
        <w:rPr>
          <w:snapToGrid w:val="0"/>
        </w:rPr>
        <w:tab/>
        <w:t xml:space="preserve">A person who immediately before the commencement of this Act holds a mine under manager’s certificate of competency issued under the </w:t>
      </w:r>
      <w:r>
        <w:rPr>
          <w:i/>
          <w:snapToGrid w:val="0"/>
        </w:rPr>
        <w:t xml:space="preserve">Coal Mines Regulation Act 1946 </w:t>
      </w:r>
      <w:r>
        <w:rPr>
          <w:snapToGrid w:val="0"/>
        </w:rPr>
        <w:t>may, within 2 years after the commencement of this Act, sit the examination for a first class mine manager’s certificate of competency under this Act if that person would not be qualified to do so under the regulations.</w:t>
      </w:r>
    </w:p>
    <w:p>
      <w:pPr>
        <w:pStyle w:val="yHeading5"/>
        <w:outlineLvl w:val="0"/>
        <w:rPr>
          <w:snapToGrid w:val="0"/>
        </w:rPr>
      </w:pPr>
      <w:bookmarkStart w:id="252" w:name="_Toc192041263"/>
      <w:r>
        <w:rPr>
          <w:rStyle w:val="CharSClsNo"/>
        </w:rPr>
        <w:t>8</w:t>
      </w:r>
      <w:r>
        <w:rPr>
          <w:snapToGrid w:val="0"/>
        </w:rPr>
        <w:t>.</w:t>
      </w:r>
      <w:r>
        <w:rPr>
          <w:snapToGrid w:val="0"/>
        </w:rPr>
        <w:tab/>
        <w:t>Exemptions</w:t>
      </w:r>
      <w:bookmarkEnd w:id="252"/>
      <w:r>
        <w:rPr>
          <w:snapToGrid w:val="0"/>
        </w:rPr>
        <w:t xml:space="preserve"> </w:t>
      </w:r>
    </w:p>
    <w:p>
      <w:pPr>
        <w:pStyle w:val="ySubsection"/>
        <w:rPr>
          <w:snapToGrid w:val="0"/>
        </w:rPr>
      </w:pPr>
      <w:r>
        <w:rPr>
          <w:snapToGrid w:val="0"/>
        </w:rPr>
        <w:tab/>
      </w:r>
      <w:r>
        <w:rPr>
          <w:snapToGrid w:val="0"/>
        </w:rPr>
        <w:tab/>
        <w:t>An exemption granted by the Governor under and in respect of a provision of a repealed Act continues to have effect according to its substance as if it had been made under section 8 in respect of an equivalent provision of this Act.</w:t>
      </w:r>
    </w:p>
    <w:p>
      <w:pPr>
        <w:pStyle w:val="yHeading5"/>
        <w:outlineLvl w:val="0"/>
        <w:rPr>
          <w:snapToGrid w:val="0"/>
        </w:rPr>
      </w:pPr>
      <w:bookmarkStart w:id="253" w:name="_Toc192041264"/>
      <w:r>
        <w:rPr>
          <w:rStyle w:val="CharSClsNo"/>
        </w:rPr>
        <w:t>9</w:t>
      </w:r>
      <w:r>
        <w:rPr>
          <w:snapToGrid w:val="0"/>
        </w:rPr>
        <w:t>.</w:t>
      </w:r>
      <w:r>
        <w:rPr>
          <w:snapToGrid w:val="0"/>
        </w:rPr>
        <w:tab/>
        <w:t>Notification of principal employer</w:t>
      </w:r>
      <w:bookmarkEnd w:id="253"/>
      <w:r>
        <w:rPr>
          <w:snapToGrid w:val="0"/>
        </w:rPr>
        <w:t xml:space="preserve"> </w:t>
      </w:r>
    </w:p>
    <w:p>
      <w:pPr>
        <w:pStyle w:val="ySubsection"/>
        <w:rPr>
          <w:snapToGrid w:val="0"/>
        </w:rPr>
      </w:pPr>
      <w:r>
        <w:rPr>
          <w:snapToGrid w:val="0"/>
        </w:rPr>
        <w:tab/>
        <w:t>(1)</w:t>
      </w:r>
      <w:r>
        <w:rPr>
          <w:snapToGrid w:val="0"/>
        </w:rPr>
        <w:tab/>
        <w:t>This clause applies to a mine that is being operated immediately before the commencement of this Act.</w:t>
      </w:r>
    </w:p>
    <w:p>
      <w:pPr>
        <w:pStyle w:val="ySubsection"/>
        <w:rPr>
          <w:snapToGrid w:val="0"/>
        </w:rPr>
      </w:pPr>
      <w:r>
        <w:rPr>
          <w:snapToGrid w:val="0"/>
        </w:rPr>
        <w:tab/>
        <w:t>(2)</w:t>
      </w:r>
      <w:r>
        <w:rPr>
          <w:snapToGrid w:val="0"/>
        </w:rPr>
        <w:tab/>
        <w:t>The name and address of the principal employer at a mine to which this clause applies must be provided in writing to the district inspector for the region where the mine is situated within 3 months after the commencement of this Act.</w:t>
      </w:r>
    </w:p>
    <w:p>
      <w:pPr>
        <w:pStyle w:val="ySubsection"/>
        <w:rPr>
          <w:snapToGrid w:val="0"/>
        </w:rPr>
      </w:pPr>
      <w:r>
        <w:rPr>
          <w:snapToGrid w:val="0"/>
        </w:rPr>
        <w:tab/>
        <w:t>(3)</w:t>
      </w:r>
      <w:r>
        <w:rPr>
          <w:snapToGrid w:val="0"/>
        </w:rPr>
        <w:tab/>
        <w:t>Sections 32(3) and (4) apply, with appropriate changes, to this clause.</w:t>
      </w:r>
    </w:p>
    <w:p>
      <w:pPr>
        <w:pStyle w:val="ySubsection"/>
        <w:rPr>
          <w:snapToGrid w:val="0"/>
        </w:rPr>
      </w:pPr>
      <w:r>
        <w:rPr>
          <w:snapToGrid w:val="0"/>
        </w:rPr>
        <w:tab/>
        <w:t>(4)</w:t>
      </w:r>
      <w:r>
        <w:rPr>
          <w:snapToGrid w:val="0"/>
        </w:rPr>
        <w:tab/>
        <w:t>If this clause is contravened, the principal employer and the manager at the mine commit an offence.</w:t>
      </w:r>
    </w:p>
    <w:p>
      <w:pPr>
        <w:pStyle w:val="yPenstart"/>
        <w:rPr>
          <w:snapToGrid w:val="0"/>
        </w:rPr>
      </w:pPr>
      <w:r>
        <w:rPr>
          <w:snapToGrid w:val="0"/>
        </w:rPr>
        <w:tab/>
        <w:t>Penalty: in the case of a corporation, $25 000 or, in the case of an individual, $5 000.</w:t>
      </w:r>
    </w:p>
    <w:p>
      <w:pPr>
        <w:pStyle w:val="yEdnoteschedule"/>
      </w:pPr>
      <w:r>
        <w:t>[Schedule 2 omitted under the Reprints Act 1984 s. 7(4)(e).]</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outlineLvl w:val="0"/>
      </w:pPr>
      <w:bookmarkStart w:id="254" w:name="_Toc192041265"/>
      <w:r>
        <w:t>Notes</w:t>
      </w:r>
      <w:bookmarkEnd w:id="254"/>
    </w:p>
    <w:p>
      <w:pPr>
        <w:pStyle w:val="nSubsection"/>
        <w:rPr>
          <w:snapToGrid w:val="0"/>
        </w:rPr>
      </w:pPr>
      <w:r>
        <w:rPr>
          <w:snapToGrid w:val="0"/>
          <w:vertAlign w:val="superscript"/>
        </w:rPr>
        <w:t>1</w:t>
      </w:r>
      <w:r>
        <w:rPr>
          <w:snapToGrid w:val="0"/>
        </w:rPr>
        <w:tab/>
        <w:t xml:space="preserve">This is a compilation as at of the </w:t>
      </w:r>
      <w:r>
        <w:rPr>
          <w:i/>
          <w:noProof/>
          <w:snapToGrid w:val="0"/>
        </w:rPr>
        <w:t>Mines Safety and Inspection Act 1994</w:t>
      </w:r>
      <w:r>
        <w:rPr>
          <w:snapToGrid w:val="0"/>
        </w:rPr>
        <w:t xml:space="preserve"> and includes the amendments made by the other written laws referred to in the following table </w:t>
      </w:r>
      <w:r>
        <w:rPr>
          <w:snapToGrid w:val="0"/>
          <w:vertAlign w:val="superscript"/>
        </w:rPr>
        <w:t xml:space="preserve"> 2, 3</w:t>
      </w:r>
      <w:r>
        <w:rPr>
          <w:snapToGrid w:val="0"/>
        </w:rPr>
        <w:t>.  The table also contains information about any reprint.</w:t>
      </w:r>
    </w:p>
    <w:p>
      <w:pPr>
        <w:pStyle w:val="nHeading3"/>
        <w:outlineLvl w:val="0"/>
      </w:pPr>
      <w:bookmarkStart w:id="255" w:name="_Toc192041266"/>
      <w:r>
        <w:t>Compilation table</w:t>
      </w:r>
      <w:bookmarkEnd w:id="255"/>
    </w:p>
    <w:tbl>
      <w:tblPr>
        <w:tblW w:w="0" w:type="auto"/>
        <w:tblInd w:w="20" w:type="dxa"/>
        <w:tblLayout w:type="fixed"/>
        <w:tblCellMar>
          <w:left w:w="56" w:type="dxa"/>
          <w:right w:w="56" w:type="dxa"/>
        </w:tblCellMar>
        <w:tblLook w:val="0000" w:firstRow="0" w:lastRow="0" w:firstColumn="0" w:lastColumn="0" w:noHBand="0" w:noVBand="0"/>
      </w:tblPr>
      <w:tblGrid>
        <w:gridCol w:w="2267"/>
        <w:gridCol w:w="1134"/>
        <w:gridCol w:w="1135"/>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rPr>
                <w:i/>
                <w:color w:val="000000"/>
                <w:sz w:val="19"/>
              </w:rPr>
            </w:pPr>
            <w:r>
              <w:rPr>
                <w:i/>
                <w:color w:val="000000"/>
                <w:sz w:val="19"/>
              </w:rPr>
              <w:t>Mines Safety and Inspection Act 1994</w:t>
            </w:r>
          </w:p>
        </w:tc>
        <w:tc>
          <w:tcPr>
            <w:tcW w:w="1134" w:type="dxa"/>
          </w:tcPr>
          <w:p>
            <w:pPr>
              <w:pStyle w:val="nTable"/>
              <w:spacing w:after="40"/>
              <w:rPr>
                <w:color w:val="000000"/>
                <w:sz w:val="19"/>
              </w:rPr>
            </w:pPr>
            <w:r>
              <w:rPr>
                <w:color w:val="000000"/>
                <w:sz w:val="19"/>
              </w:rPr>
              <w:t>62 of 1994</w:t>
            </w:r>
          </w:p>
        </w:tc>
        <w:tc>
          <w:tcPr>
            <w:tcW w:w="1135" w:type="dxa"/>
          </w:tcPr>
          <w:p>
            <w:pPr>
              <w:pStyle w:val="nTable"/>
              <w:spacing w:after="40"/>
              <w:rPr>
                <w:color w:val="000000"/>
                <w:sz w:val="19"/>
              </w:rPr>
            </w:pPr>
            <w:r>
              <w:rPr>
                <w:color w:val="000000"/>
                <w:sz w:val="19"/>
              </w:rPr>
              <w:t>7 Nov 1994</w:t>
            </w:r>
          </w:p>
        </w:tc>
        <w:tc>
          <w:tcPr>
            <w:tcW w:w="2551" w:type="dxa"/>
          </w:tcPr>
          <w:p>
            <w:pPr>
              <w:pStyle w:val="nTable"/>
              <w:spacing w:after="40"/>
              <w:rPr>
                <w:color w:val="000000"/>
                <w:sz w:val="19"/>
              </w:rPr>
            </w:pPr>
            <w:r>
              <w:rPr>
                <w:color w:val="000000"/>
                <w:sz w:val="19"/>
              </w:rPr>
              <w:t>9 Dec 1995 (see s. 2 and Gazette 8 Dec 1995 p. 5935)</w:t>
            </w:r>
          </w:p>
        </w:tc>
      </w:tr>
      <w:tr>
        <w:trPr>
          <w:cantSplit/>
        </w:trPr>
        <w:tc>
          <w:tcPr>
            <w:tcW w:w="2267" w:type="dxa"/>
          </w:tcPr>
          <w:p>
            <w:pPr>
              <w:pStyle w:val="nTable"/>
              <w:spacing w:after="40"/>
              <w:rPr>
                <w:i/>
                <w:color w:val="000000"/>
                <w:sz w:val="19"/>
              </w:rPr>
            </w:pPr>
            <w:r>
              <w:rPr>
                <w:i/>
                <w:color w:val="000000"/>
                <w:sz w:val="19"/>
              </w:rPr>
              <w:t xml:space="preserve">Occupational Safety and Health Legislation Amendment Act 1995 </w:t>
            </w:r>
            <w:r>
              <w:rPr>
                <w:iCs/>
                <w:color w:val="000000"/>
                <w:sz w:val="19"/>
              </w:rPr>
              <w:t>Pt. 3</w:t>
            </w:r>
            <w:r>
              <w:rPr>
                <w:i/>
                <w:color w:val="000000"/>
                <w:sz w:val="19"/>
              </w:rPr>
              <w:t xml:space="preserve"> </w:t>
            </w:r>
          </w:p>
        </w:tc>
        <w:tc>
          <w:tcPr>
            <w:tcW w:w="1134" w:type="dxa"/>
          </w:tcPr>
          <w:p>
            <w:pPr>
              <w:pStyle w:val="nTable"/>
              <w:spacing w:after="40"/>
              <w:rPr>
                <w:color w:val="000000"/>
                <w:sz w:val="19"/>
              </w:rPr>
            </w:pPr>
            <w:r>
              <w:rPr>
                <w:color w:val="000000"/>
                <w:sz w:val="19"/>
              </w:rPr>
              <w:t>30 of 1995</w:t>
            </w:r>
          </w:p>
        </w:tc>
        <w:tc>
          <w:tcPr>
            <w:tcW w:w="1135" w:type="dxa"/>
          </w:tcPr>
          <w:p>
            <w:pPr>
              <w:pStyle w:val="nTable"/>
              <w:spacing w:after="40"/>
              <w:rPr>
                <w:color w:val="000000"/>
                <w:sz w:val="19"/>
              </w:rPr>
            </w:pPr>
            <w:r>
              <w:rPr>
                <w:color w:val="000000"/>
                <w:sz w:val="19"/>
              </w:rPr>
              <w:t>11 Sep 1995</w:t>
            </w:r>
          </w:p>
        </w:tc>
        <w:tc>
          <w:tcPr>
            <w:tcW w:w="2551" w:type="dxa"/>
          </w:tcPr>
          <w:p>
            <w:pPr>
              <w:pStyle w:val="nTable"/>
              <w:spacing w:after="40"/>
              <w:rPr>
                <w:color w:val="000000"/>
                <w:sz w:val="19"/>
              </w:rPr>
            </w:pPr>
            <w:r>
              <w:rPr>
                <w:color w:val="000000"/>
                <w:sz w:val="19"/>
              </w:rPr>
              <w:t>20 Jan 1996 (see s. 2 and Gazette 19 Jan 1996 p. 201)</w:t>
            </w:r>
          </w:p>
        </w:tc>
      </w:tr>
      <w:tr>
        <w:trPr>
          <w:cantSplit/>
        </w:trPr>
        <w:tc>
          <w:tcPr>
            <w:tcW w:w="2267" w:type="dxa"/>
          </w:tcPr>
          <w:p>
            <w:pPr>
              <w:pStyle w:val="nTable"/>
              <w:spacing w:after="40"/>
              <w:rPr>
                <w:i/>
                <w:color w:val="000000"/>
                <w:sz w:val="19"/>
              </w:rPr>
            </w:pPr>
            <w:r>
              <w:rPr>
                <w:i/>
                <w:color w:val="000000"/>
                <w:sz w:val="19"/>
              </w:rPr>
              <w:t xml:space="preserve">Industrial Relations Legislation Amendment and Repeal Act 1995 </w:t>
            </w:r>
            <w:r>
              <w:rPr>
                <w:iCs/>
                <w:color w:val="000000"/>
                <w:sz w:val="19"/>
              </w:rPr>
              <w:t>s. 67(4)</w:t>
            </w:r>
          </w:p>
        </w:tc>
        <w:tc>
          <w:tcPr>
            <w:tcW w:w="1134" w:type="dxa"/>
          </w:tcPr>
          <w:p>
            <w:pPr>
              <w:pStyle w:val="nTable"/>
              <w:spacing w:after="40"/>
              <w:rPr>
                <w:color w:val="000000"/>
                <w:sz w:val="19"/>
              </w:rPr>
            </w:pPr>
            <w:r>
              <w:rPr>
                <w:color w:val="000000"/>
                <w:sz w:val="19"/>
              </w:rPr>
              <w:t>79 of 1995</w:t>
            </w:r>
          </w:p>
        </w:tc>
        <w:tc>
          <w:tcPr>
            <w:tcW w:w="1135" w:type="dxa"/>
          </w:tcPr>
          <w:p>
            <w:pPr>
              <w:pStyle w:val="nTable"/>
              <w:spacing w:after="40"/>
              <w:rPr>
                <w:color w:val="000000"/>
                <w:sz w:val="19"/>
              </w:rPr>
            </w:pPr>
            <w:r>
              <w:rPr>
                <w:color w:val="000000"/>
                <w:sz w:val="19"/>
              </w:rPr>
              <w:t>16 Jan 1996</w:t>
            </w:r>
          </w:p>
        </w:tc>
        <w:tc>
          <w:tcPr>
            <w:tcW w:w="2551" w:type="dxa"/>
          </w:tcPr>
          <w:p>
            <w:pPr>
              <w:pStyle w:val="nTable"/>
              <w:spacing w:after="40"/>
              <w:rPr>
                <w:color w:val="000000"/>
                <w:sz w:val="19"/>
              </w:rPr>
            </w:pPr>
            <w:r>
              <w:rPr>
                <w:color w:val="000000"/>
                <w:sz w:val="19"/>
              </w:rPr>
              <w:t>16 Jan 1996 (see s. 3(1))</w:t>
            </w:r>
          </w:p>
        </w:tc>
      </w:tr>
      <w:tr>
        <w:trPr>
          <w:cantSplit/>
        </w:trPr>
        <w:tc>
          <w:tcPr>
            <w:tcW w:w="7087" w:type="dxa"/>
            <w:gridSpan w:val="4"/>
          </w:tcPr>
          <w:p>
            <w:pPr>
              <w:pStyle w:val="nTable"/>
              <w:spacing w:after="40"/>
              <w:rPr>
                <w:bCs/>
                <w:sz w:val="19"/>
              </w:rPr>
            </w:pPr>
            <w:r>
              <w:rPr>
                <w:b/>
                <w:sz w:val="19"/>
              </w:rPr>
              <w:t xml:space="preserve">Reprint of the </w:t>
            </w:r>
            <w:r>
              <w:rPr>
                <w:b/>
                <w:bCs/>
                <w:i/>
                <w:color w:val="000000"/>
                <w:sz w:val="19"/>
              </w:rPr>
              <w:t>Mines Safety and Inspection Act 1994</w:t>
            </w:r>
            <w:r>
              <w:rPr>
                <w:b/>
                <w:sz w:val="19"/>
              </w:rPr>
              <w:t xml:space="preserve"> as at 6 Feb 1996</w:t>
            </w:r>
            <w:r>
              <w:rPr>
                <w:bCs/>
                <w:sz w:val="19"/>
              </w:rPr>
              <w:t xml:space="preserve"> (includes amendments listed above)</w:t>
            </w:r>
          </w:p>
        </w:tc>
      </w:tr>
      <w:tr>
        <w:trPr>
          <w:cantSplit/>
        </w:trPr>
        <w:tc>
          <w:tcPr>
            <w:tcW w:w="2267" w:type="dxa"/>
          </w:tcPr>
          <w:p>
            <w:pPr>
              <w:pStyle w:val="nTable"/>
              <w:spacing w:after="40"/>
              <w:rPr>
                <w:i/>
                <w:color w:val="000000"/>
                <w:sz w:val="19"/>
              </w:rPr>
            </w:pPr>
            <w:r>
              <w:rPr>
                <w:i/>
                <w:color w:val="000000"/>
                <w:sz w:val="19"/>
              </w:rPr>
              <w:t xml:space="preserve">Local Government (Consequential Amendments) Act 1996 </w:t>
            </w:r>
            <w:r>
              <w:rPr>
                <w:iCs/>
                <w:color w:val="000000"/>
                <w:sz w:val="19"/>
              </w:rPr>
              <w:t>s. 4</w:t>
            </w:r>
          </w:p>
        </w:tc>
        <w:tc>
          <w:tcPr>
            <w:tcW w:w="1134" w:type="dxa"/>
          </w:tcPr>
          <w:p>
            <w:pPr>
              <w:pStyle w:val="nTable"/>
              <w:spacing w:after="40"/>
              <w:rPr>
                <w:color w:val="000000"/>
                <w:sz w:val="19"/>
              </w:rPr>
            </w:pPr>
            <w:r>
              <w:rPr>
                <w:color w:val="000000"/>
                <w:sz w:val="19"/>
              </w:rPr>
              <w:t>14 of 1996</w:t>
            </w:r>
          </w:p>
        </w:tc>
        <w:tc>
          <w:tcPr>
            <w:tcW w:w="1135" w:type="dxa"/>
          </w:tcPr>
          <w:p>
            <w:pPr>
              <w:pStyle w:val="nTable"/>
              <w:spacing w:after="40"/>
              <w:rPr>
                <w:color w:val="000000"/>
                <w:sz w:val="19"/>
              </w:rPr>
            </w:pPr>
            <w:r>
              <w:rPr>
                <w:color w:val="000000"/>
                <w:sz w:val="19"/>
              </w:rPr>
              <w:t>28 Jun 1996</w:t>
            </w:r>
          </w:p>
        </w:tc>
        <w:tc>
          <w:tcPr>
            <w:tcW w:w="2551" w:type="dxa"/>
          </w:tcPr>
          <w:p>
            <w:pPr>
              <w:pStyle w:val="nTable"/>
              <w:spacing w:after="40"/>
              <w:rPr>
                <w:color w:val="000000"/>
                <w:sz w:val="19"/>
              </w:rPr>
            </w:pPr>
            <w:r>
              <w:rPr>
                <w:color w:val="000000"/>
                <w:sz w:val="19"/>
              </w:rPr>
              <w:t>1 Jul 1996 (see s. 2)</w:t>
            </w:r>
          </w:p>
        </w:tc>
      </w:tr>
      <w:tr>
        <w:trPr>
          <w:cantSplit/>
        </w:trPr>
        <w:tc>
          <w:tcPr>
            <w:tcW w:w="2267" w:type="dxa"/>
          </w:tcPr>
          <w:p>
            <w:pPr>
              <w:pStyle w:val="nTable"/>
              <w:spacing w:after="40"/>
              <w:rPr>
                <w:i/>
                <w:color w:val="000000"/>
                <w:sz w:val="19"/>
              </w:rPr>
            </w:pPr>
            <w:r>
              <w:rPr>
                <w:i/>
                <w:color w:val="000000"/>
                <w:sz w:val="19"/>
              </w:rPr>
              <w:t>Statutes (Repeals and Minor Amendments) Act 1997</w:t>
            </w:r>
            <w:r>
              <w:rPr>
                <w:iCs/>
                <w:color w:val="000000"/>
                <w:sz w:val="19"/>
              </w:rPr>
              <w:t xml:space="preserve"> s. 88</w:t>
            </w:r>
          </w:p>
        </w:tc>
        <w:tc>
          <w:tcPr>
            <w:tcW w:w="1134" w:type="dxa"/>
          </w:tcPr>
          <w:p>
            <w:pPr>
              <w:pStyle w:val="nTable"/>
              <w:spacing w:after="40"/>
              <w:rPr>
                <w:color w:val="000000"/>
                <w:sz w:val="19"/>
              </w:rPr>
            </w:pPr>
            <w:r>
              <w:rPr>
                <w:color w:val="000000"/>
                <w:sz w:val="19"/>
              </w:rPr>
              <w:t>57 of 1997</w:t>
            </w:r>
          </w:p>
        </w:tc>
        <w:tc>
          <w:tcPr>
            <w:tcW w:w="1135" w:type="dxa"/>
          </w:tcPr>
          <w:p>
            <w:pPr>
              <w:pStyle w:val="nTable"/>
              <w:spacing w:after="40"/>
              <w:rPr>
                <w:color w:val="000000"/>
                <w:sz w:val="19"/>
              </w:rPr>
            </w:pPr>
            <w:r>
              <w:rPr>
                <w:color w:val="000000"/>
                <w:sz w:val="19"/>
              </w:rPr>
              <w:t>15 Dec 1997</w:t>
            </w:r>
          </w:p>
        </w:tc>
        <w:tc>
          <w:tcPr>
            <w:tcW w:w="2551" w:type="dxa"/>
          </w:tcPr>
          <w:p>
            <w:pPr>
              <w:pStyle w:val="nTable"/>
              <w:spacing w:after="40"/>
              <w:rPr>
                <w:color w:val="000000"/>
                <w:sz w:val="19"/>
              </w:rPr>
            </w:pPr>
            <w:r>
              <w:rPr>
                <w:color w:val="000000"/>
                <w:sz w:val="19"/>
              </w:rPr>
              <w:t>15 Dec 1997 (see s. 2(1))</w:t>
            </w:r>
          </w:p>
        </w:tc>
      </w:tr>
      <w:tr>
        <w:trPr>
          <w:cantSplit/>
        </w:trPr>
        <w:tc>
          <w:tcPr>
            <w:tcW w:w="2267" w:type="dxa"/>
          </w:tcPr>
          <w:p>
            <w:pPr>
              <w:pStyle w:val="nTable"/>
              <w:spacing w:after="40"/>
              <w:rPr>
                <w:i/>
                <w:color w:val="000000"/>
                <w:sz w:val="19"/>
              </w:rPr>
            </w:pPr>
            <w:r>
              <w:rPr>
                <w:i/>
                <w:color w:val="000000"/>
                <w:sz w:val="19"/>
              </w:rPr>
              <w:t xml:space="preserve">Statutes (Repeals and Minor Amendments) Act (No. 2) 1998 </w:t>
            </w:r>
            <w:r>
              <w:rPr>
                <w:iCs/>
                <w:color w:val="000000"/>
                <w:sz w:val="19"/>
              </w:rPr>
              <w:t>s. 51</w:t>
            </w:r>
          </w:p>
        </w:tc>
        <w:tc>
          <w:tcPr>
            <w:tcW w:w="1134" w:type="dxa"/>
          </w:tcPr>
          <w:p>
            <w:pPr>
              <w:pStyle w:val="nTable"/>
              <w:spacing w:after="40"/>
              <w:rPr>
                <w:color w:val="000000"/>
                <w:sz w:val="19"/>
              </w:rPr>
            </w:pPr>
            <w:r>
              <w:rPr>
                <w:color w:val="000000"/>
                <w:sz w:val="19"/>
              </w:rPr>
              <w:t>10 of 1998</w:t>
            </w:r>
          </w:p>
        </w:tc>
        <w:tc>
          <w:tcPr>
            <w:tcW w:w="1135" w:type="dxa"/>
          </w:tcPr>
          <w:p>
            <w:pPr>
              <w:pStyle w:val="nTable"/>
              <w:spacing w:after="40"/>
              <w:rPr>
                <w:color w:val="000000"/>
                <w:sz w:val="19"/>
              </w:rPr>
            </w:pPr>
            <w:r>
              <w:rPr>
                <w:color w:val="000000"/>
                <w:sz w:val="19"/>
              </w:rPr>
              <w:t>30 Apr 1998</w:t>
            </w:r>
          </w:p>
        </w:tc>
        <w:tc>
          <w:tcPr>
            <w:tcW w:w="2551" w:type="dxa"/>
          </w:tcPr>
          <w:p>
            <w:pPr>
              <w:pStyle w:val="nTable"/>
              <w:spacing w:after="40"/>
              <w:rPr>
                <w:color w:val="000000"/>
                <w:sz w:val="19"/>
              </w:rPr>
            </w:pPr>
            <w:r>
              <w:rPr>
                <w:color w:val="000000"/>
                <w:sz w:val="19"/>
              </w:rPr>
              <w:t>30 Apr 1998 (see s. 2(1))</w:t>
            </w:r>
          </w:p>
        </w:tc>
      </w:tr>
      <w:tr>
        <w:trPr>
          <w:cantSplit/>
        </w:trPr>
        <w:tc>
          <w:tcPr>
            <w:tcW w:w="2267" w:type="dxa"/>
          </w:tcPr>
          <w:p>
            <w:pPr>
              <w:pStyle w:val="nTable"/>
              <w:spacing w:after="40"/>
              <w:rPr>
                <w:i/>
                <w:color w:val="000000"/>
                <w:sz w:val="19"/>
              </w:rPr>
            </w:pPr>
            <w:r>
              <w:rPr>
                <w:i/>
                <w:color w:val="000000"/>
                <w:sz w:val="19"/>
              </w:rPr>
              <w:t xml:space="preserve">Rail Safety Act 1998 </w:t>
            </w:r>
            <w:r>
              <w:rPr>
                <w:iCs/>
                <w:color w:val="000000"/>
                <w:sz w:val="19"/>
              </w:rPr>
              <w:t>s. 64(2)</w:t>
            </w:r>
          </w:p>
        </w:tc>
        <w:tc>
          <w:tcPr>
            <w:tcW w:w="1134" w:type="dxa"/>
          </w:tcPr>
          <w:p>
            <w:pPr>
              <w:pStyle w:val="nTable"/>
              <w:spacing w:after="40"/>
              <w:rPr>
                <w:color w:val="000000"/>
                <w:sz w:val="19"/>
              </w:rPr>
            </w:pPr>
            <w:r>
              <w:rPr>
                <w:color w:val="000000"/>
                <w:sz w:val="19"/>
              </w:rPr>
              <w:t>32 of 1998</w:t>
            </w:r>
          </w:p>
        </w:tc>
        <w:tc>
          <w:tcPr>
            <w:tcW w:w="1135" w:type="dxa"/>
          </w:tcPr>
          <w:p>
            <w:pPr>
              <w:pStyle w:val="nTable"/>
              <w:spacing w:after="40"/>
              <w:rPr>
                <w:color w:val="000000"/>
                <w:sz w:val="19"/>
              </w:rPr>
            </w:pPr>
            <w:r>
              <w:rPr>
                <w:color w:val="000000"/>
                <w:sz w:val="19"/>
              </w:rPr>
              <w:t>6 Jul 1998</w:t>
            </w:r>
          </w:p>
        </w:tc>
        <w:tc>
          <w:tcPr>
            <w:tcW w:w="2551" w:type="dxa"/>
          </w:tcPr>
          <w:p>
            <w:pPr>
              <w:pStyle w:val="nTable"/>
              <w:spacing w:after="40"/>
              <w:rPr>
                <w:color w:val="000000"/>
                <w:sz w:val="19"/>
              </w:rPr>
            </w:pPr>
            <w:r>
              <w:rPr>
                <w:color w:val="000000"/>
                <w:sz w:val="19"/>
              </w:rPr>
              <w:t>3 Feb 1999 (see s. 2 and Gazette 2 Feb 1999 p. 351)</w:t>
            </w:r>
          </w:p>
        </w:tc>
      </w:tr>
      <w:tr>
        <w:trPr>
          <w:cantSplit/>
        </w:trPr>
        <w:tc>
          <w:tcPr>
            <w:tcW w:w="7087" w:type="dxa"/>
            <w:gridSpan w:val="4"/>
          </w:tcPr>
          <w:p>
            <w:pPr>
              <w:pStyle w:val="nTable"/>
              <w:spacing w:after="40"/>
              <w:rPr>
                <w:sz w:val="19"/>
              </w:rPr>
            </w:pPr>
            <w:r>
              <w:rPr>
                <w:b/>
                <w:sz w:val="19"/>
              </w:rPr>
              <w:t xml:space="preserve">Reprint of the </w:t>
            </w:r>
            <w:r>
              <w:rPr>
                <w:b/>
                <w:bCs/>
                <w:i/>
                <w:color w:val="000000"/>
                <w:sz w:val="19"/>
              </w:rPr>
              <w:t>Mines Safety and Inspection Act 1994</w:t>
            </w:r>
            <w:r>
              <w:rPr>
                <w:b/>
                <w:bCs/>
                <w:iCs/>
                <w:color w:val="000000"/>
                <w:sz w:val="19"/>
              </w:rPr>
              <w:t xml:space="preserve"> </w:t>
            </w:r>
            <w:r>
              <w:rPr>
                <w:b/>
                <w:sz w:val="19"/>
              </w:rPr>
              <w:t>as at 17 Mar 2000</w:t>
            </w:r>
            <w:r>
              <w:rPr>
                <w:bCs/>
                <w:sz w:val="19"/>
              </w:rPr>
              <w:t xml:space="preserve"> (includes amendments listed above)</w:t>
            </w:r>
          </w:p>
        </w:tc>
      </w:tr>
      <w:tr>
        <w:trPr>
          <w:cantSplit/>
        </w:trPr>
        <w:tc>
          <w:tcPr>
            <w:tcW w:w="2267" w:type="dxa"/>
          </w:tcPr>
          <w:p>
            <w:pPr>
              <w:pStyle w:val="nTable"/>
              <w:spacing w:after="40"/>
              <w:rPr>
                <w:i/>
                <w:color w:val="000000"/>
                <w:sz w:val="19"/>
              </w:rPr>
            </w:pPr>
            <w:r>
              <w:rPr>
                <w:i/>
                <w:color w:val="000000"/>
                <w:sz w:val="19"/>
              </w:rPr>
              <w:t xml:space="preserve">Statutes (Repeals and Minor Amendments) Act 2000 </w:t>
            </w:r>
            <w:r>
              <w:rPr>
                <w:iCs/>
                <w:color w:val="000000"/>
                <w:sz w:val="19"/>
              </w:rPr>
              <w:t>s. 25</w:t>
            </w:r>
          </w:p>
        </w:tc>
        <w:tc>
          <w:tcPr>
            <w:tcW w:w="1134" w:type="dxa"/>
          </w:tcPr>
          <w:p>
            <w:pPr>
              <w:pStyle w:val="nTable"/>
              <w:spacing w:after="40"/>
              <w:rPr>
                <w:color w:val="000000"/>
                <w:sz w:val="19"/>
              </w:rPr>
            </w:pPr>
            <w:r>
              <w:rPr>
                <w:color w:val="000000"/>
                <w:sz w:val="19"/>
              </w:rPr>
              <w:t>24 of 2000</w:t>
            </w:r>
          </w:p>
        </w:tc>
        <w:tc>
          <w:tcPr>
            <w:tcW w:w="1135" w:type="dxa"/>
          </w:tcPr>
          <w:p>
            <w:pPr>
              <w:pStyle w:val="nTable"/>
              <w:spacing w:after="40"/>
              <w:rPr>
                <w:color w:val="000000"/>
                <w:sz w:val="19"/>
              </w:rPr>
            </w:pPr>
            <w:r>
              <w:rPr>
                <w:color w:val="000000"/>
                <w:sz w:val="19"/>
              </w:rPr>
              <w:t>4 Jul 2000</w:t>
            </w:r>
          </w:p>
        </w:tc>
        <w:tc>
          <w:tcPr>
            <w:tcW w:w="2551" w:type="dxa"/>
          </w:tcPr>
          <w:p>
            <w:pPr>
              <w:pStyle w:val="nTable"/>
              <w:spacing w:after="40"/>
              <w:rPr>
                <w:color w:val="000000"/>
                <w:sz w:val="19"/>
              </w:rPr>
            </w:pPr>
            <w:r>
              <w:rPr>
                <w:color w:val="000000"/>
                <w:sz w:val="19"/>
              </w:rPr>
              <w:t>4 Jul 2000 (see s. 2)</w:t>
            </w:r>
          </w:p>
        </w:tc>
      </w:tr>
      <w:tr>
        <w:trPr>
          <w:cantSplit/>
        </w:trPr>
        <w:tc>
          <w:tcPr>
            <w:tcW w:w="2267" w:type="dxa"/>
          </w:tcPr>
          <w:p>
            <w:pPr>
              <w:pStyle w:val="nTable"/>
              <w:spacing w:after="40"/>
              <w:rPr>
                <w:i/>
                <w:color w:val="000000"/>
                <w:sz w:val="19"/>
              </w:rPr>
            </w:pPr>
            <w:r>
              <w:rPr>
                <w:i/>
                <w:color w:val="000000"/>
                <w:sz w:val="19"/>
              </w:rPr>
              <w:t>Mines Safety and Inspection Amendment Act 2002</w:t>
            </w:r>
          </w:p>
        </w:tc>
        <w:tc>
          <w:tcPr>
            <w:tcW w:w="1134" w:type="dxa"/>
          </w:tcPr>
          <w:p>
            <w:pPr>
              <w:pStyle w:val="nTable"/>
              <w:spacing w:after="40"/>
              <w:rPr>
                <w:color w:val="000000"/>
                <w:sz w:val="19"/>
              </w:rPr>
            </w:pPr>
            <w:r>
              <w:rPr>
                <w:color w:val="000000"/>
                <w:sz w:val="19"/>
              </w:rPr>
              <w:t>16 of 2002</w:t>
            </w:r>
          </w:p>
        </w:tc>
        <w:tc>
          <w:tcPr>
            <w:tcW w:w="1135" w:type="dxa"/>
          </w:tcPr>
          <w:p>
            <w:pPr>
              <w:pStyle w:val="nTable"/>
              <w:spacing w:after="40"/>
              <w:rPr>
                <w:color w:val="000000"/>
                <w:sz w:val="19"/>
              </w:rPr>
            </w:pPr>
            <w:r>
              <w:rPr>
                <w:color w:val="000000"/>
                <w:sz w:val="19"/>
              </w:rPr>
              <w:t>8 Jul 2002</w:t>
            </w:r>
          </w:p>
        </w:tc>
        <w:tc>
          <w:tcPr>
            <w:tcW w:w="2551" w:type="dxa"/>
          </w:tcPr>
          <w:p>
            <w:pPr>
              <w:pStyle w:val="nTable"/>
              <w:spacing w:after="40"/>
              <w:rPr>
                <w:color w:val="000000"/>
                <w:sz w:val="19"/>
              </w:rPr>
            </w:pPr>
            <w:r>
              <w:rPr>
                <w:color w:val="000000"/>
                <w:sz w:val="19"/>
              </w:rPr>
              <w:t>5 Aug 2002</w:t>
            </w:r>
          </w:p>
        </w:tc>
      </w:tr>
      <w:tr>
        <w:trPr>
          <w:cantSplit/>
        </w:trPr>
        <w:tc>
          <w:tcPr>
            <w:tcW w:w="2267" w:type="dxa"/>
          </w:tcPr>
          <w:p>
            <w:pPr>
              <w:pStyle w:val="nTable"/>
              <w:spacing w:after="40"/>
              <w:rPr>
                <w:i/>
                <w:color w:val="000000"/>
                <w:sz w:val="19"/>
              </w:rPr>
            </w:pPr>
            <w:r>
              <w:rPr>
                <w:i/>
                <w:color w:val="000000"/>
                <w:sz w:val="19"/>
              </w:rPr>
              <w:t xml:space="preserve">Statutes (Repeals and Minor Amendments) Act 2003 </w:t>
            </w:r>
            <w:r>
              <w:rPr>
                <w:iCs/>
                <w:color w:val="000000"/>
                <w:sz w:val="19"/>
              </w:rPr>
              <w:t>s. 83 and 87(7)</w:t>
            </w:r>
          </w:p>
        </w:tc>
        <w:tc>
          <w:tcPr>
            <w:tcW w:w="1134" w:type="dxa"/>
          </w:tcPr>
          <w:p>
            <w:pPr>
              <w:pStyle w:val="nTable"/>
              <w:spacing w:after="40"/>
              <w:rPr>
                <w:color w:val="000000"/>
                <w:sz w:val="19"/>
              </w:rPr>
            </w:pPr>
            <w:r>
              <w:rPr>
                <w:color w:val="000000"/>
                <w:sz w:val="19"/>
              </w:rPr>
              <w:t>74 of 2003</w:t>
            </w:r>
          </w:p>
        </w:tc>
        <w:tc>
          <w:tcPr>
            <w:tcW w:w="1135" w:type="dxa"/>
          </w:tcPr>
          <w:p>
            <w:pPr>
              <w:pStyle w:val="nTable"/>
              <w:spacing w:after="40"/>
              <w:rPr>
                <w:color w:val="000000"/>
                <w:sz w:val="19"/>
              </w:rPr>
            </w:pPr>
            <w:r>
              <w:rPr>
                <w:color w:val="000000"/>
                <w:sz w:val="19"/>
              </w:rPr>
              <w:t>15 Dec 2003</w:t>
            </w:r>
          </w:p>
        </w:tc>
        <w:tc>
          <w:tcPr>
            <w:tcW w:w="2551" w:type="dxa"/>
          </w:tcPr>
          <w:p>
            <w:pPr>
              <w:pStyle w:val="nTable"/>
              <w:spacing w:after="40"/>
              <w:rPr>
                <w:color w:val="000000"/>
                <w:sz w:val="19"/>
              </w:rPr>
            </w:pPr>
            <w:r>
              <w:rPr>
                <w:color w:val="000000"/>
                <w:sz w:val="19"/>
              </w:rPr>
              <w:t>15 Dec 2003 (see s. 2)</w:t>
            </w:r>
          </w:p>
        </w:tc>
      </w:tr>
      <w:tr>
        <w:trPr>
          <w:cantSplit/>
        </w:trPr>
        <w:tc>
          <w:tcPr>
            <w:tcW w:w="2267" w:type="dxa"/>
          </w:tcPr>
          <w:p>
            <w:pPr>
              <w:pStyle w:val="nTable"/>
              <w:spacing w:after="40"/>
              <w:rPr>
                <w:i/>
                <w:color w:val="000000"/>
                <w:sz w:val="19"/>
              </w:rPr>
            </w:pPr>
            <w:r>
              <w:rPr>
                <w:bCs/>
                <w:i/>
                <w:iCs/>
                <w:color w:val="000000"/>
                <w:sz w:val="19"/>
              </w:rPr>
              <w:t>Dangerous Goods Safety Act 2004</w:t>
            </w:r>
            <w:r>
              <w:rPr>
                <w:bCs/>
                <w:i/>
                <w:color w:val="000000"/>
                <w:sz w:val="19"/>
              </w:rPr>
              <w:t xml:space="preserve"> </w:t>
            </w:r>
            <w:r>
              <w:rPr>
                <w:bCs/>
                <w:iCs/>
                <w:color w:val="000000"/>
                <w:sz w:val="19"/>
              </w:rPr>
              <w:t>s. 70</w:t>
            </w:r>
          </w:p>
        </w:tc>
        <w:tc>
          <w:tcPr>
            <w:tcW w:w="1134" w:type="dxa"/>
          </w:tcPr>
          <w:p>
            <w:pPr>
              <w:pStyle w:val="nTable"/>
              <w:spacing w:after="40"/>
              <w:rPr>
                <w:color w:val="000000"/>
                <w:sz w:val="19"/>
              </w:rPr>
            </w:pPr>
            <w:r>
              <w:rPr>
                <w:bCs/>
                <w:color w:val="000000"/>
                <w:sz w:val="19"/>
              </w:rPr>
              <w:t>7 of 2004</w:t>
            </w:r>
          </w:p>
        </w:tc>
        <w:tc>
          <w:tcPr>
            <w:tcW w:w="1135" w:type="dxa"/>
          </w:tcPr>
          <w:p>
            <w:pPr>
              <w:pStyle w:val="nTable"/>
              <w:spacing w:after="40"/>
              <w:rPr>
                <w:color w:val="000000"/>
                <w:sz w:val="19"/>
              </w:rPr>
            </w:pPr>
            <w:r>
              <w:rPr>
                <w:bCs/>
                <w:color w:val="000000"/>
                <w:sz w:val="19"/>
              </w:rPr>
              <w:t>10 Jun 2004</w:t>
            </w:r>
          </w:p>
        </w:tc>
        <w:tc>
          <w:tcPr>
            <w:tcW w:w="2551" w:type="dxa"/>
          </w:tcPr>
          <w:p>
            <w:pPr>
              <w:pStyle w:val="nTable"/>
              <w:spacing w:after="40"/>
              <w:rPr>
                <w:color w:val="000000"/>
                <w:sz w:val="19"/>
              </w:rPr>
            </w:pPr>
            <w:r>
              <w:rPr>
                <w:bCs/>
                <w:color w:val="000000"/>
                <w:sz w:val="19"/>
              </w:rPr>
              <w:t xml:space="preserve">1 Mar 2008 (see s. 2 and </w:t>
            </w:r>
            <w:r>
              <w:rPr>
                <w:bCs/>
                <w:i/>
                <w:iCs/>
                <w:color w:val="000000"/>
                <w:sz w:val="19"/>
              </w:rPr>
              <w:t>Gazette</w:t>
            </w:r>
            <w:r>
              <w:rPr>
                <w:bCs/>
                <w:color w:val="000000"/>
                <w:sz w:val="19"/>
              </w:rPr>
              <w:t xml:space="preserve"> 29 Feb 2008 p. 669)</w:t>
            </w:r>
          </w:p>
        </w:tc>
      </w:tr>
      <w:tr>
        <w:trPr>
          <w:cantSplit/>
        </w:trPr>
        <w:tc>
          <w:tcPr>
            <w:tcW w:w="2267" w:type="dxa"/>
          </w:tcPr>
          <w:p>
            <w:pPr>
              <w:pStyle w:val="nTable"/>
              <w:spacing w:after="40"/>
              <w:rPr>
                <w:i/>
                <w:color w:val="000000"/>
                <w:sz w:val="19"/>
              </w:rPr>
            </w:pPr>
            <w:r>
              <w:rPr>
                <w:i/>
                <w:snapToGrid w:val="0"/>
                <w:sz w:val="19"/>
                <w:lang w:val="en-US"/>
              </w:rPr>
              <w:t>Occupational Safety and Health Legislation Amendment and Repeal Act 2004</w:t>
            </w:r>
            <w:r>
              <w:rPr>
                <w:snapToGrid w:val="0"/>
                <w:sz w:val="19"/>
                <w:lang w:val="en-US"/>
              </w:rPr>
              <w:t xml:space="preserve"> s. 115</w:t>
            </w:r>
            <w:r>
              <w:rPr>
                <w:snapToGrid w:val="0"/>
                <w:sz w:val="19"/>
                <w:vertAlign w:val="superscript"/>
                <w:lang w:val="en-US"/>
              </w:rPr>
              <w:t> 4</w:t>
            </w:r>
          </w:p>
        </w:tc>
        <w:tc>
          <w:tcPr>
            <w:tcW w:w="1134" w:type="dxa"/>
          </w:tcPr>
          <w:p>
            <w:pPr>
              <w:pStyle w:val="nTable"/>
              <w:spacing w:after="40"/>
              <w:rPr>
                <w:color w:val="000000"/>
                <w:sz w:val="19"/>
              </w:rPr>
            </w:pPr>
            <w:r>
              <w:rPr>
                <w:snapToGrid w:val="0"/>
                <w:sz w:val="19"/>
                <w:lang w:val="en-US"/>
              </w:rPr>
              <w:t>51 of 2004</w:t>
            </w:r>
          </w:p>
        </w:tc>
        <w:tc>
          <w:tcPr>
            <w:tcW w:w="1135" w:type="dxa"/>
          </w:tcPr>
          <w:p>
            <w:pPr>
              <w:pStyle w:val="nTable"/>
              <w:spacing w:after="40"/>
              <w:rPr>
                <w:color w:val="000000"/>
                <w:sz w:val="19"/>
              </w:rPr>
            </w:pPr>
            <w:r>
              <w:rPr>
                <w:sz w:val="19"/>
              </w:rPr>
              <w:t>12 Nov 2004</w:t>
            </w:r>
          </w:p>
        </w:tc>
        <w:tc>
          <w:tcPr>
            <w:tcW w:w="2551" w:type="dxa"/>
          </w:tcPr>
          <w:p>
            <w:pPr>
              <w:pStyle w:val="nTable"/>
              <w:spacing w:after="40"/>
              <w:rPr>
                <w:color w:val="000000"/>
                <w:sz w:val="19"/>
              </w:rPr>
            </w:pPr>
            <w:r>
              <w:rPr>
                <w:sz w:val="19"/>
              </w:rPr>
              <w:t xml:space="preserve">4 Apr 2005 (see s. 2 and </w:t>
            </w:r>
            <w:r>
              <w:rPr>
                <w:i/>
                <w:sz w:val="19"/>
              </w:rPr>
              <w:t>Gazette</w:t>
            </w:r>
            <w:r>
              <w:rPr>
                <w:sz w:val="19"/>
              </w:rPr>
              <w:t xml:space="preserve"> 14 Dec 2004 p. 5999</w:t>
            </w:r>
            <w:r>
              <w:rPr>
                <w:sz w:val="19"/>
              </w:rPr>
              <w:noBreakHyphen/>
              <w:t>6000)</w:t>
            </w:r>
          </w:p>
        </w:tc>
      </w:tr>
      <w:tr>
        <w:trPr>
          <w:cantSplit/>
        </w:trPr>
        <w:tc>
          <w:tcPr>
            <w:tcW w:w="2267" w:type="dxa"/>
          </w:tcPr>
          <w:p>
            <w:pPr>
              <w:pStyle w:val="nTable"/>
              <w:spacing w:after="40"/>
              <w:rPr>
                <w:snapToGrid w:val="0"/>
                <w:sz w:val="19"/>
                <w:vertAlign w:val="superscript"/>
                <w:lang w:val="en-US"/>
              </w:rPr>
            </w:pPr>
            <w:r>
              <w:rPr>
                <w:i/>
                <w:snapToGrid w:val="0"/>
                <w:sz w:val="19"/>
                <w:lang w:val="en-US"/>
              </w:rPr>
              <w:t>Mines Safety and Inspection Amendment Act 2004</w:t>
            </w:r>
            <w:r>
              <w:rPr>
                <w:snapToGrid w:val="0"/>
                <w:sz w:val="19"/>
                <w:lang w:val="en-US"/>
              </w:rPr>
              <w:t xml:space="preserve"> </w:t>
            </w:r>
            <w:r>
              <w:rPr>
                <w:snapToGrid w:val="0"/>
                <w:sz w:val="19"/>
                <w:vertAlign w:val="superscript"/>
                <w:lang w:val="en-US"/>
              </w:rPr>
              <w:t>5</w:t>
            </w:r>
            <w:r>
              <w:rPr>
                <w:snapToGrid w:val="0"/>
                <w:sz w:val="19"/>
                <w:vertAlign w:val="superscript"/>
                <w:lang w:val="en-US"/>
              </w:rPr>
              <w:noBreakHyphen/>
              <w:t>11</w:t>
            </w:r>
          </w:p>
        </w:tc>
        <w:tc>
          <w:tcPr>
            <w:tcW w:w="1134" w:type="dxa"/>
          </w:tcPr>
          <w:p>
            <w:pPr>
              <w:pStyle w:val="nTable"/>
              <w:spacing w:after="40"/>
              <w:rPr>
                <w:snapToGrid w:val="0"/>
                <w:sz w:val="19"/>
                <w:lang w:val="en-US"/>
              </w:rPr>
            </w:pPr>
            <w:r>
              <w:rPr>
                <w:snapToGrid w:val="0"/>
                <w:sz w:val="19"/>
                <w:lang w:val="en-US"/>
              </w:rPr>
              <w:t>68 of 2004</w:t>
            </w:r>
          </w:p>
        </w:tc>
        <w:tc>
          <w:tcPr>
            <w:tcW w:w="1135" w:type="dxa"/>
          </w:tcPr>
          <w:p>
            <w:pPr>
              <w:pStyle w:val="nTable"/>
              <w:spacing w:after="40"/>
              <w:rPr>
                <w:sz w:val="19"/>
              </w:rPr>
            </w:pPr>
            <w:r>
              <w:rPr>
                <w:sz w:val="19"/>
              </w:rPr>
              <w:t>8 Dec 2004</w:t>
            </w:r>
          </w:p>
        </w:tc>
        <w:tc>
          <w:tcPr>
            <w:tcW w:w="2551" w:type="dxa"/>
          </w:tcPr>
          <w:p>
            <w:pPr>
              <w:pStyle w:val="nTable"/>
              <w:spacing w:after="40"/>
              <w:rPr>
                <w:sz w:val="19"/>
              </w:rPr>
            </w:pPr>
            <w:r>
              <w:rPr>
                <w:sz w:val="19"/>
              </w:rPr>
              <w:t xml:space="preserve">4 Apr 2005 (see s. 2 and </w:t>
            </w:r>
            <w:r>
              <w:rPr>
                <w:i/>
                <w:sz w:val="19"/>
              </w:rPr>
              <w:t>Gazette</w:t>
            </w:r>
            <w:r>
              <w:rPr>
                <w:sz w:val="19"/>
              </w:rPr>
              <w:t xml:space="preserve"> 14 Dec 2004 p. 5999</w:t>
            </w:r>
            <w:r>
              <w:rPr>
                <w:sz w:val="19"/>
              </w:rPr>
              <w:noBreakHyphen/>
              <w:t xml:space="preserve">6000 and </w:t>
            </w:r>
            <w:r>
              <w:rPr>
                <w:i/>
                <w:sz w:val="19"/>
              </w:rPr>
              <w:t>Gazette</w:t>
            </w:r>
            <w:r>
              <w:rPr>
                <w:sz w:val="19"/>
              </w:rPr>
              <w:t xml:space="preserve"> 11 Feb 2005 p. 695)</w:t>
            </w:r>
          </w:p>
        </w:tc>
      </w:tr>
      <w:tr>
        <w:trPr>
          <w:cantSplit/>
        </w:trPr>
        <w:tc>
          <w:tcPr>
            <w:tcW w:w="2267"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3: The </w:t>
            </w:r>
            <w:r>
              <w:rPr>
                <w:b/>
                <w:bCs/>
                <w:i/>
                <w:color w:val="000000"/>
                <w:sz w:val="19"/>
              </w:rPr>
              <w:t>Mines Safety and Inspection Act 1994</w:t>
            </w:r>
            <w:r>
              <w:rPr>
                <w:b/>
                <w:bCs/>
                <w:iCs/>
                <w:color w:val="000000"/>
                <w:sz w:val="19"/>
              </w:rPr>
              <w:t xml:space="preserve"> </w:t>
            </w:r>
            <w:r>
              <w:rPr>
                <w:b/>
                <w:sz w:val="19"/>
              </w:rPr>
              <w:t>as at 10 Jun 2005</w:t>
            </w:r>
            <w:r>
              <w:rPr>
                <w:bCs/>
                <w:sz w:val="19"/>
              </w:rPr>
              <w:t xml:space="preserve"> (includes amendments listed above, except those in the </w:t>
            </w:r>
            <w:r>
              <w:rPr>
                <w:bCs/>
                <w:i/>
                <w:iCs/>
                <w:color w:val="000000"/>
                <w:sz w:val="19"/>
              </w:rPr>
              <w:t xml:space="preserve">Dangerous Goods Safety Act 2004 </w:t>
            </w:r>
            <w:r>
              <w:rPr>
                <w:bCs/>
                <w:color w:val="000000"/>
                <w:sz w:val="19"/>
              </w:rPr>
              <w:t>s. 70</w:t>
            </w:r>
            <w:r>
              <w:rPr>
                <w:bCs/>
                <w:sz w:val="19"/>
              </w:rPr>
              <w:t>)</w:t>
            </w:r>
          </w:p>
        </w:tc>
      </w:tr>
      <w:tr>
        <w:trPr>
          <w:cantSplit/>
        </w:trPr>
        <w:tc>
          <w:tcPr>
            <w:tcW w:w="2267" w:type="dxa"/>
            <w:tcBorders>
              <w:bottom w:val="single" w:sz="8" w:space="0" w:color="auto"/>
            </w:tcBorders>
          </w:tcPr>
          <w:p>
            <w:pPr>
              <w:pStyle w:val="nTable"/>
              <w:spacing w:after="40"/>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Borders>
              <w:bottom w:val="single" w:sz="8" w:space="0" w:color="auto"/>
            </w:tcBorders>
          </w:tcPr>
          <w:p>
            <w:pPr>
              <w:pStyle w:val="nTable"/>
              <w:spacing w:after="40"/>
              <w:rPr>
                <w:snapToGrid w:val="0"/>
                <w:sz w:val="19"/>
                <w:lang w:val="en-US"/>
              </w:rPr>
            </w:pPr>
            <w:r>
              <w:rPr>
                <w:snapToGrid w:val="0"/>
                <w:sz w:val="19"/>
                <w:lang w:val="en-US"/>
              </w:rPr>
              <w:t>38 of 2005</w:t>
            </w:r>
          </w:p>
        </w:tc>
        <w:tc>
          <w:tcPr>
            <w:tcW w:w="1135" w:type="dxa"/>
            <w:tcBorders>
              <w:bottom w:val="single" w:sz="8" w:space="0" w:color="auto"/>
            </w:tcBorders>
          </w:tcPr>
          <w:p>
            <w:pPr>
              <w:pStyle w:val="nTable"/>
              <w:spacing w:after="40"/>
              <w:rPr>
                <w:sz w:val="19"/>
              </w:rPr>
            </w:pPr>
            <w:r>
              <w:rPr>
                <w:sz w:val="19"/>
              </w:rPr>
              <w:t>12 Dec 2005</w:t>
            </w:r>
          </w:p>
        </w:tc>
        <w:tc>
          <w:tcPr>
            <w:tcW w:w="2551" w:type="dxa"/>
            <w:tcBorders>
              <w:bottom w:val="single" w:sz="8" w:space="0" w:color="auto"/>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bl>
    <w:p>
      <w:pPr>
        <w:pStyle w:val="nSubsection"/>
      </w:pPr>
      <w:r>
        <w:rPr>
          <w:vertAlign w:val="superscript"/>
        </w:rPr>
        <w:t>2</w:t>
      </w:r>
      <w:r>
        <w:tab/>
        <w:t xml:space="preserve">The amendment in the </w:t>
      </w:r>
      <w:r>
        <w:rPr>
          <w:i/>
          <w:iCs/>
        </w:rPr>
        <w:t>Coroners Act 1996</w:t>
      </w:r>
      <w:r>
        <w:t xml:space="preserve"> s. 61 is not included because of an error in the reference to the provision to be amended.</w:t>
      </w:r>
    </w:p>
    <w:p>
      <w:pPr>
        <w:pStyle w:val="nSubsection"/>
        <w:rPr>
          <w:snapToGrid w:val="0"/>
        </w:rPr>
      </w:pPr>
      <w:r>
        <w:rPr>
          <w:snapToGrid w:val="0"/>
          <w:vertAlign w:val="superscript"/>
        </w:rPr>
        <w:t>3</w:t>
      </w:r>
      <w:r>
        <w:rPr>
          <w:snapToGrid w:val="0"/>
        </w:rPr>
        <w:tab/>
        <w:t xml:space="preserve">The amendment in the </w:t>
      </w:r>
      <w:r>
        <w:rPr>
          <w:i/>
          <w:snapToGrid w:val="0"/>
        </w:rPr>
        <w:t>Courts Legislation Amendment and Repeal Act 2004</w:t>
      </w:r>
      <w:r>
        <w:rPr>
          <w:snapToGrid w:val="0"/>
        </w:rPr>
        <w:t xml:space="preserve"> Sch. 1 cl. 100 is not included because the section it sought to amend had been amended by the </w:t>
      </w:r>
      <w:r>
        <w:rPr>
          <w:i/>
          <w:noProof/>
          <w:snapToGrid w:val="0"/>
        </w:rPr>
        <w:t>Mines Safety and Inspection Amendment Act 2004</w:t>
      </w:r>
      <w:r>
        <w:rPr>
          <w:noProof/>
          <w:snapToGrid w:val="0"/>
        </w:rPr>
        <w:t xml:space="preserve"> s. 76.</w:t>
      </w:r>
    </w:p>
    <w:p>
      <w:pPr>
        <w:pStyle w:val="nSubsection"/>
        <w:rPr>
          <w:snapToGrid w:val="0"/>
        </w:rPr>
      </w:pPr>
      <w:r>
        <w:rPr>
          <w:vertAlign w:val="superscript"/>
        </w:rPr>
        <w:t>4</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MiscOpen"/>
        <w:rPr>
          <w:snapToGrid w:val="0"/>
        </w:rPr>
      </w:pPr>
      <w:r>
        <w:rPr>
          <w:snapToGrid w:val="0"/>
        </w:rPr>
        <w:t>“</w:t>
      </w: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MiscClose"/>
      </w:pPr>
      <w:r>
        <w:t>”.</w:t>
      </w:r>
    </w:p>
    <w:p>
      <w:pPr>
        <w:pStyle w:val="nSubsection"/>
      </w:pPr>
      <w:r>
        <w:rPr>
          <w:vertAlign w:val="superscript"/>
        </w:rPr>
        <w:t>5</w:t>
      </w:r>
      <w:r>
        <w:tab/>
        <w:t xml:space="preserve">The </w:t>
      </w:r>
      <w:r>
        <w:rPr>
          <w:i/>
        </w:rPr>
        <w:t>Mines Safety and Inspection Amendment Act 2004</w:t>
      </w:r>
      <w:r>
        <w:t xml:space="preserve"> s. 31(2) reads as follows:</w:t>
      </w:r>
    </w:p>
    <w:p>
      <w:pPr>
        <w:pStyle w:val="nSubsection"/>
      </w:pPr>
      <w:r>
        <w:t>“</w:t>
      </w: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MiscClose"/>
        <w:rPr>
          <w:snapToGrid w:val="0"/>
        </w:rPr>
      </w:pPr>
      <w:r>
        <w:rPr>
          <w:snapToGrid w:val="0"/>
        </w:rPr>
        <w:t>”.</w:t>
      </w:r>
    </w:p>
    <w:p>
      <w:pPr>
        <w:pStyle w:val="nSubsection"/>
      </w:pPr>
      <w:r>
        <w:rPr>
          <w:vertAlign w:val="superscript"/>
        </w:rPr>
        <w:t>6</w:t>
      </w:r>
      <w:r>
        <w:tab/>
        <w:t xml:space="preserve">The </w:t>
      </w:r>
      <w:r>
        <w:rPr>
          <w:i/>
        </w:rPr>
        <w:t>Mines Safety and Inspection Amendment Act 2004</w:t>
      </w:r>
      <w:r>
        <w:t xml:space="preserve"> s. 57 reads as follows:</w:t>
      </w:r>
    </w:p>
    <w:p>
      <w:pPr>
        <w:pStyle w:val="nSubsection"/>
      </w:pPr>
      <w:r>
        <w:t>“</w:t>
      </w: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MiscClose"/>
      </w:pPr>
      <w:r>
        <w:t>”.</w:t>
      </w:r>
    </w:p>
    <w:p>
      <w:pPr>
        <w:pStyle w:val="nSubsection"/>
      </w:pPr>
      <w:r>
        <w:rPr>
          <w:vertAlign w:val="superscript"/>
        </w:rPr>
        <w:t>7</w:t>
      </w:r>
      <w:r>
        <w:tab/>
        <w:t xml:space="preserve">The </w:t>
      </w:r>
      <w:r>
        <w:rPr>
          <w:i/>
        </w:rPr>
        <w:t>Mines Safety and Inspection Amendment Act 2004</w:t>
      </w:r>
      <w:r>
        <w:t xml:space="preserve"> s. 65 reads as follows:</w:t>
      </w:r>
    </w:p>
    <w:p>
      <w:pPr>
        <w:pStyle w:val="nSubsection"/>
      </w:pPr>
      <w:r>
        <w:t>“</w:t>
      </w:r>
    </w:p>
    <w:p>
      <w:pPr>
        <w:pStyle w:val="nzHeading5"/>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rPr>
        <w:t>“</w:t>
      </w:r>
      <w:r>
        <w:rPr>
          <w:rStyle w:val="CharDefText"/>
        </w:rPr>
        <w:t>MSI Act</w:t>
      </w:r>
      <w:r>
        <w:rPr>
          <w:b/>
        </w:rPr>
        <w:t>”</w:t>
      </w:r>
      <w:r>
        <w:t>)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pPr>
      <w:r>
        <w:tab/>
        <w:t>(3)</w:t>
      </w:r>
      <w:r>
        <w:tab/>
        <w:t xml:space="preserve">If before the commencement of section 64 —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w:t>
      </w:r>
      <w:r>
        <w:rPr>
          <w:i/>
        </w:rPr>
        <w:t xml:space="preserve"> </w:t>
      </w:r>
      <w:r>
        <w:t>so repealed,</w:t>
      </w:r>
    </w:p>
    <w:p>
      <w:pPr>
        <w:pStyle w:val="nzSubsection"/>
      </w:pPr>
      <w:r>
        <w:tab/>
      </w:r>
      <w:r>
        <w:tab/>
        <w:t>the duty of the employer under section 65 of the MSI Act to establish a safety and health committee for the mine lapses on that commencement.</w:t>
      </w:r>
    </w:p>
    <w:p>
      <w:pPr>
        <w:pStyle w:val="MiscClose"/>
      </w:pPr>
      <w:r>
        <w:t>”.</w:t>
      </w:r>
    </w:p>
    <w:p>
      <w:pPr>
        <w:pStyle w:val="nSubsection"/>
      </w:pPr>
      <w:r>
        <w:rPr>
          <w:vertAlign w:val="superscript"/>
        </w:rPr>
        <w:t>8</w:t>
      </w:r>
      <w:r>
        <w:tab/>
        <w:t xml:space="preserve">The </w:t>
      </w:r>
      <w:r>
        <w:rPr>
          <w:i/>
        </w:rPr>
        <w:t>Mines Safety and Inspection Amendment Act 2004</w:t>
      </w:r>
      <w:r>
        <w:t xml:space="preserve"> s. 77 reads as follows:</w:t>
      </w:r>
    </w:p>
    <w:p>
      <w:pPr>
        <w:pStyle w:val="nSubsection"/>
      </w:pPr>
      <w:r>
        <w:t>“</w:t>
      </w: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MiscClose"/>
      </w:pPr>
      <w:r>
        <w:t>”.</w:t>
      </w:r>
    </w:p>
    <w:p>
      <w:pPr>
        <w:pStyle w:val="nSubsection"/>
      </w:pPr>
      <w:r>
        <w:rPr>
          <w:vertAlign w:val="superscript"/>
        </w:rPr>
        <w:t>9</w:t>
      </w:r>
      <w:r>
        <w:tab/>
        <w:t xml:space="preserve">The </w:t>
      </w:r>
      <w:r>
        <w:rPr>
          <w:i/>
        </w:rPr>
        <w:t>Mines Safety and Inspection Amendment Act 2004</w:t>
      </w:r>
      <w:r>
        <w:t xml:space="preserve"> s. 83(2) and (3) read as follows:</w:t>
      </w:r>
    </w:p>
    <w:p>
      <w:pPr>
        <w:pStyle w:val="nSubsection"/>
      </w:pPr>
      <w:r>
        <w:t>“</w:t>
      </w: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 xml:space="preserve">A determination or decision of a safety and health magistrate made before the commencement of subsection (1) may be the subject of —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MiscClose"/>
      </w:pPr>
      <w:r>
        <w:t>”.</w:t>
      </w:r>
    </w:p>
    <w:p>
      <w:pPr>
        <w:pStyle w:val="nSubsection"/>
      </w:pPr>
      <w:r>
        <w:rPr>
          <w:vertAlign w:val="superscript"/>
        </w:rPr>
        <w:t>10</w:t>
      </w:r>
      <w:r>
        <w:tab/>
        <w:t xml:space="preserve">The </w:t>
      </w:r>
      <w:r>
        <w:rPr>
          <w:i/>
        </w:rPr>
        <w:t>Mines Safety and Inspection Amendment Act 2004</w:t>
      </w:r>
      <w:r>
        <w:t xml:space="preserve"> s. 85(2) reads as follows:</w:t>
      </w:r>
    </w:p>
    <w:p>
      <w:pPr>
        <w:pStyle w:val="nSubsection"/>
      </w:pPr>
      <w:r>
        <w:t>“</w:t>
      </w:r>
    </w:p>
    <w:p>
      <w:pPr>
        <w:pStyle w:val="nzSubsection"/>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MiscClose"/>
      </w:pPr>
      <w:r>
        <w:t>”.</w:t>
      </w:r>
    </w:p>
    <w:p>
      <w:pPr>
        <w:pStyle w:val="nSubsection"/>
      </w:pPr>
      <w:r>
        <w:rPr>
          <w:vertAlign w:val="superscript"/>
        </w:rPr>
        <w:t>11</w:t>
      </w:r>
      <w:r>
        <w:tab/>
        <w:t xml:space="preserve">The </w:t>
      </w:r>
      <w:r>
        <w:rPr>
          <w:i/>
        </w:rPr>
        <w:t>Mines Safety and Inspection Amendment Act 2004</w:t>
      </w:r>
      <w:r>
        <w:t xml:space="preserve"> s. 86(2) reads as follows:</w:t>
      </w:r>
    </w:p>
    <w:p>
      <w:pPr>
        <w:pStyle w:val="nSubsection"/>
      </w:pPr>
      <w:r>
        <w:t>“</w:t>
      </w: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Mines Safety and Inspection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Mines Safety and Inspection Act 1994</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Mines Safety and Inspection Act 1994</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rPr>
              <w:b/>
              <w:bCs/>
            </w:rPr>
            <w:fldChar w:fldCharType="begin"/>
          </w:r>
          <w:r>
            <w:rPr>
              <w:b/>
              <w:bCs/>
            </w:rPr>
            <w:instrText xml:space="preserve"> STYLEREF CharSchText \* MERGEFORMAT </w:instrText>
          </w:r>
          <w:r>
            <w:rPr>
              <w:b/>
              <w:bCs/>
            </w:rPr>
            <w:fldChar w:fldCharType="separate"/>
          </w:r>
          <w:r>
            <w:rPr>
              <w:b/>
              <w:bCs/>
              <w:noProof/>
            </w:rPr>
            <w:t>Savings and transitional provisions</w:t>
          </w:r>
          <w:r>
            <w:rPr>
              <w:b/>
              <w:bCs/>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Mines Safety and Inspection Act 1994</w:t>
            </w:r>
          </w:fldSimple>
        </w:p>
      </w:tc>
    </w:tr>
    <w:tr>
      <w:tc>
        <w:tcPr>
          <w:tcW w:w="5742" w:type="dxa"/>
          <w:vAlign w:val="bottom"/>
        </w:tcPr>
        <w:p>
          <w:pPr>
            <w:pStyle w:val="HeaderTextRight"/>
          </w:pPr>
          <w:r>
            <w:rPr>
              <w:b/>
            </w:rPr>
            <w:fldChar w:fldCharType="begin"/>
          </w:r>
          <w:r>
            <w:rPr>
              <w:b/>
            </w:rPr>
            <w:instrText xml:space="preserve"> STYLEREF CharSchText \* MERGEFORMAT </w:instrText>
          </w:r>
          <w:r>
            <w:rPr>
              <w:b/>
            </w:rPr>
            <w:fldChar w:fldCharType="separate"/>
          </w:r>
          <w:r>
            <w:rPr>
              <w:b/>
              <w:noProof/>
            </w:rPr>
            <w:t>Savings and transitional provisions</w:t>
          </w:r>
          <w:r>
            <w:rPr>
              <w:b/>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Mines Safety and Inspection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Mines Safety and Inspection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466E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BC95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B4822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7E3A9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2960A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50862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A1C8A7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1C899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A88DDE"/>
    <w:lvl w:ilvl="0">
      <w:start w:val="1"/>
      <w:numFmt w:val="decimal"/>
      <w:pStyle w:val="ListNumber"/>
      <w:lvlText w:val="%1."/>
      <w:lvlJc w:val="left"/>
      <w:pPr>
        <w:tabs>
          <w:tab w:val="num" w:pos="360"/>
        </w:tabs>
        <w:ind w:left="360" w:hanging="360"/>
      </w:pPr>
    </w:lvl>
  </w:abstractNum>
  <w:abstractNum w:abstractNumId="9">
    <w:nsid w:val="FFFFFF89"/>
    <w:multiLevelType w:val="singleLevel"/>
    <w:tmpl w:val="E0ACD8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B5232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D801B8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105"/>
    <w:docVar w:name="WAFER_20151208135105" w:val="RemoveTrackChanges"/>
    <w:docVar w:name="WAFER_20151208135105_GUID" w:val="943eb731-77eb-4d87-84ad-541c167be7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200</Pages>
  <Words>48573</Words>
  <Characters>234610</Characters>
  <Application>Microsoft Office Word</Application>
  <DocSecurity>0</DocSecurity>
  <Lines>6173</Lines>
  <Paragraphs>3539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279644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1994 - 03-d0-02</dc:title>
  <dc:subject/>
  <dc:creator/>
  <cp:keywords/>
  <dc:description/>
  <cp:lastModifiedBy>svcMRProcess</cp:lastModifiedBy>
  <cp:revision>4</cp:revision>
  <cp:lastPrinted>2005-05-30T02:57:00Z</cp:lastPrinted>
  <dcterms:created xsi:type="dcterms:W3CDTF">2019-05-11T06:56:00Z</dcterms:created>
  <dcterms:modified xsi:type="dcterms:W3CDTF">2019-05-11T06:56:00Z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CommencementDate">
    <vt:lpwstr>20080301</vt:lpwstr>
  </property>
  <property fmtid="{D5CDD505-2E9C-101B-9397-08002B2CF9AE}" pid="4" name="DocumentType">
    <vt:lpwstr>Act</vt:lpwstr>
  </property>
  <property fmtid="{D5CDD505-2E9C-101B-9397-08002B2CF9AE}" pid="5" name="OwlsUID">
    <vt:i4>515</vt:i4>
  </property>
  <property fmtid="{D5CDD505-2E9C-101B-9397-08002B2CF9AE}" pid="6" name="AsAtDate">
    <vt:lpwstr>01 Mar 2008</vt:lpwstr>
  </property>
  <property fmtid="{D5CDD505-2E9C-101B-9397-08002B2CF9AE}" pid="7" name="Suffix">
    <vt:lpwstr>03-d0-02</vt:lpwstr>
  </property>
</Properties>
</file>