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Children’s Court (Fees)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_Toc193167412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_Toc193167413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_Toc193167414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_Toc193167415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_Toc193167416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_Toc193167417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_Toc193167418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_Toc193167419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_Toc193167420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_Toc193167421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_Toc193167422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_Toc193167428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_Toc193167429 \h </w:instrText>
      </w:r>
      <w:r>
        <w:fldChar w:fldCharType="separate"/>
      </w:r>
      <w:r>
        <w:t>14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_Toc193167431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Children’s Court of Western Australia Act 1988</w:t>
      </w:r>
    </w:p>
    <w:p>
      <w:pPr>
        <w:pStyle w:val="NameofActReg"/>
      </w:pPr>
      <w:r>
        <w:t>Children’s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4711"/>
      <w:bookmarkStart w:id="9" w:name="_Toc138836650"/>
      <w:bookmarkStart w:id="10" w:name="_Toc193167412"/>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1931674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20" w:name="_Toc96402830"/>
      <w:bookmarkStart w:id="21" w:name="_Toc100634713"/>
      <w:bookmarkStart w:id="22" w:name="_Toc138836652"/>
      <w:bookmarkStart w:id="23" w:name="_Toc193167414"/>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4714"/>
      <w:bookmarkStart w:id="33" w:name="_Toc138836653"/>
      <w:bookmarkStart w:id="34" w:name="_Toc193167415"/>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w:t>
      </w:r>
      <w:bookmarkStart w:id="35" w:name="_Hlt533230123"/>
      <w:r>
        <w:rPr>
          <w:snapToGrid w:val="0"/>
        </w:rPr>
        <w:t>1</w:t>
      </w:r>
      <w:bookmarkEnd w:id="35"/>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bookmarkStart w:id="47" w:name="_Toc193167416"/>
      <w:r>
        <w:rPr>
          <w:rStyle w:val="CharSectno"/>
        </w:rPr>
        <w:t>5</w:t>
      </w:r>
      <w:r>
        <w:t>.</w:t>
      </w:r>
      <w:r>
        <w:tab/>
      </w:r>
      <w:r>
        <w:rPr>
          <w:snapToGrid w:val="0"/>
        </w:rPr>
        <w:t>Exemptions</w:t>
      </w:r>
      <w:bookmarkEnd w:id="36"/>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8" w:name="_Toc96756226"/>
      <w:bookmarkStart w:id="49" w:name="_Toc100634716"/>
      <w:bookmarkStart w:id="50" w:name="_Toc138836655"/>
      <w:bookmarkStart w:id="51" w:name="_Toc193167417"/>
      <w:r>
        <w:rPr>
          <w:rStyle w:val="CharSectno"/>
        </w:rPr>
        <w:t>6</w:t>
      </w:r>
      <w:r>
        <w:t>.</w:t>
      </w:r>
      <w:r>
        <w:tab/>
        <w:t>Fees subject to conditions or waiver</w:t>
      </w:r>
      <w:bookmarkEnd w:id="48"/>
      <w:bookmarkEnd w:id="49"/>
      <w:bookmarkEnd w:id="50"/>
      <w:bookmarkEnd w:id="5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52" w:name="_Toc437922208"/>
      <w:bookmarkStart w:id="53" w:name="_Toc483972643"/>
      <w:bookmarkStart w:id="54" w:name="_Toc506018774"/>
      <w:bookmarkStart w:id="55" w:name="_Toc519738593"/>
      <w:bookmarkStart w:id="56" w:name="_Toc520868381"/>
      <w:bookmarkStart w:id="57" w:name="_Toc533482758"/>
      <w:bookmarkStart w:id="58" w:name="_Toc61252561"/>
      <w:bookmarkStart w:id="59" w:name="_Toc96402833"/>
      <w:bookmarkStart w:id="60" w:name="_Toc100634717"/>
      <w:bookmarkStart w:id="61" w:name="_Toc138836656"/>
      <w:bookmarkStart w:id="62" w:name="_Toc193167418"/>
      <w:r>
        <w:rPr>
          <w:rStyle w:val="CharSectno"/>
        </w:rPr>
        <w:t>7</w:t>
      </w:r>
      <w:r>
        <w:t>.</w:t>
      </w:r>
      <w:r>
        <w:tab/>
      </w:r>
      <w:r>
        <w:rPr>
          <w:rStyle w:val="CharSectno"/>
        </w:rPr>
        <w:t>F</w:t>
      </w:r>
      <w:r>
        <w:rPr>
          <w:snapToGrid w:val="0"/>
        </w:rPr>
        <w:t>ees to be paid before documents etc. filed</w:t>
      </w:r>
      <w:bookmarkEnd w:id="52"/>
      <w:bookmarkEnd w:id="53"/>
      <w:bookmarkEnd w:id="54"/>
      <w:bookmarkEnd w:id="55"/>
      <w:bookmarkEnd w:id="56"/>
      <w:bookmarkEnd w:id="57"/>
      <w:bookmarkEnd w:id="58"/>
      <w:bookmarkEnd w:id="59"/>
      <w:bookmarkEnd w:id="60"/>
      <w:bookmarkEnd w:id="61"/>
      <w:bookmarkEnd w:id="6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63" w:name="_Toc437922210"/>
      <w:bookmarkStart w:id="64" w:name="_Toc483972645"/>
      <w:bookmarkStart w:id="65" w:name="_Toc506018776"/>
      <w:bookmarkStart w:id="66" w:name="_Toc519738594"/>
      <w:bookmarkStart w:id="67" w:name="_Toc520868382"/>
      <w:bookmarkStart w:id="68" w:name="_Toc533482759"/>
      <w:bookmarkStart w:id="69" w:name="_Toc61252562"/>
      <w:bookmarkStart w:id="70" w:name="_Toc96402834"/>
      <w:bookmarkStart w:id="71" w:name="_Toc100634718"/>
      <w:bookmarkStart w:id="72" w:name="_Toc138836657"/>
      <w:bookmarkStart w:id="73" w:name="_Toc193167419"/>
      <w:r>
        <w:rPr>
          <w:rStyle w:val="CharSectno"/>
        </w:rPr>
        <w:t>8</w:t>
      </w:r>
      <w:r>
        <w:t>.</w:t>
      </w:r>
      <w:r>
        <w:tab/>
      </w:r>
      <w:r>
        <w:rPr>
          <w:snapToGrid w:val="0"/>
        </w:rPr>
        <w:t>Court, registrar or deputy registrar may remit fees</w:t>
      </w:r>
      <w:bookmarkEnd w:id="63"/>
      <w:bookmarkEnd w:id="64"/>
      <w:bookmarkEnd w:id="65"/>
      <w:bookmarkEnd w:id="66"/>
      <w:bookmarkEnd w:id="67"/>
      <w:bookmarkEnd w:id="68"/>
      <w:bookmarkEnd w:id="69"/>
      <w:bookmarkEnd w:id="70"/>
      <w:bookmarkEnd w:id="71"/>
      <w:bookmarkEnd w:id="72"/>
      <w:bookmarkEnd w:id="73"/>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4" w:name="_Toc437922211"/>
      <w:bookmarkStart w:id="75" w:name="_Toc483972646"/>
      <w:bookmarkStart w:id="76" w:name="_Toc506018777"/>
      <w:bookmarkStart w:id="77" w:name="_Toc519738595"/>
      <w:bookmarkStart w:id="78" w:name="_Toc520868383"/>
      <w:bookmarkStart w:id="79" w:name="_Toc533482760"/>
      <w:r>
        <w:tab/>
        <w:t>(12)</w:t>
      </w:r>
      <w:r>
        <w:tab/>
        <w:t>Despite the provisions of these regulations, a fee is not to be charged in respect of an application under subregulation (2).</w:t>
      </w:r>
    </w:p>
    <w:p>
      <w:pPr>
        <w:pStyle w:val="Heading5"/>
        <w:rPr>
          <w:snapToGrid w:val="0"/>
        </w:rPr>
      </w:pPr>
      <w:bookmarkStart w:id="80" w:name="_Toc61252563"/>
      <w:bookmarkStart w:id="81" w:name="_Toc96402835"/>
      <w:bookmarkStart w:id="82" w:name="_Toc100634719"/>
      <w:bookmarkStart w:id="83" w:name="_Toc138836658"/>
      <w:bookmarkStart w:id="84" w:name="_Toc193167420"/>
      <w:r>
        <w:rPr>
          <w:rStyle w:val="CharSectno"/>
        </w:rPr>
        <w:t>9</w:t>
      </w:r>
      <w:r>
        <w:t>.</w:t>
      </w:r>
      <w:r>
        <w:tab/>
      </w:r>
      <w:r>
        <w:rPr>
          <w:snapToGrid w:val="0"/>
        </w:rPr>
        <w:t>Conventions</w:t>
      </w:r>
      <w:bookmarkEnd w:id="74"/>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5" w:name="_Toc96398500"/>
      <w:bookmarkStart w:id="86" w:name="_Toc100634720"/>
      <w:bookmarkStart w:id="87" w:name="_Toc138836659"/>
      <w:bookmarkStart w:id="88" w:name="_Toc193167421"/>
      <w:r>
        <w:rPr>
          <w:rStyle w:val="CharSectno"/>
        </w:rPr>
        <w:t>10</w:t>
      </w:r>
      <w:r>
        <w:t>.</w:t>
      </w:r>
      <w:r>
        <w:tab/>
        <w:t>Resolution of disputes as to fees</w:t>
      </w:r>
      <w:bookmarkEnd w:id="85"/>
      <w:bookmarkEnd w:id="86"/>
      <w:bookmarkEnd w:id="87"/>
      <w:bookmarkEnd w:id="8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9" w:name="_Toc97609766"/>
      <w:bookmarkStart w:id="90" w:name="_Toc100634721"/>
      <w:bookmarkStart w:id="91" w:name="_Toc138836660"/>
      <w:bookmarkStart w:id="92" w:name="_Toc193167422"/>
      <w:r>
        <w:rPr>
          <w:rStyle w:val="CharSectno"/>
        </w:rPr>
        <w:t>11</w:t>
      </w:r>
      <w:r>
        <w:t>.</w:t>
      </w:r>
      <w:r>
        <w:tab/>
        <w:t>Recovery of unpaid fees</w:t>
      </w:r>
      <w:bookmarkEnd w:id="89"/>
      <w:bookmarkEnd w:id="90"/>
      <w:bookmarkEnd w:id="91"/>
      <w:bookmarkEnd w:id="92"/>
    </w:p>
    <w:p>
      <w:pPr>
        <w:pStyle w:val="Subsection"/>
      </w:pPr>
      <w:r>
        <w:tab/>
      </w:r>
      <w:r>
        <w:tab/>
        <w:t>Any unpaid fee is a debt due to the State and may be recovered by action in a court of competent jurisdiction.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 w:name="_Toc100634722"/>
    </w:p>
    <w:p>
      <w:pPr>
        <w:pStyle w:val="yScheduleHeading"/>
      </w:pPr>
      <w:bookmarkStart w:id="94" w:name="_Toc138836661"/>
      <w:bookmarkStart w:id="95" w:name="_Toc138836729"/>
      <w:bookmarkStart w:id="96" w:name="_Toc139270566"/>
      <w:bookmarkStart w:id="97" w:name="_Toc171051333"/>
      <w:bookmarkStart w:id="98" w:name="_Toc193167423"/>
      <w:r>
        <w:rPr>
          <w:rStyle w:val="CharSchNo"/>
        </w:rPr>
        <w:t>Schedule 1</w:t>
      </w:r>
      <w:r>
        <w:t> — </w:t>
      </w:r>
      <w:r>
        <w:rPr>
          <w:rStyle w:val="CharSchText"/>
        </w:rPr>
        <w:t>Fees</w:t>
      </w:r>
      <w:bookmarkEnd w:id="93"/>
      <w:bookmarkEnd w:id="94"/>
      <w:bookmarkEnd w:id="95"/>
      <w:bookmarkEnd w:id="96"/>
      <w:bookmarkEnd w:id="97"/>
      <w:bookmarkEnd w:id="98"/>
    </w:p>
    <w:p>
      <w:pPr>
        <w:pStyle w:val="yShoulderClause"/>
      </w:pPr>
      <w:r>
        <w:t>[r. 4]</w:t>
      </w:r>
    </w:p>
    <w:p>
      <w:pPr>
        <w:pStyle w:val="yHeading3"/>
        <w:spacing w:after="120"/>
      </w:pPr>
      <w:bookmarkStart w:id="99" w:name="_Toc96756237"/>
      <w:bookmarkStart w:id="100" w:name="_Toc100634723"/>
      <w:bookmarkStart w:id="101" w:name="_Toc138836662"/>
      <w:bookmarkStart w:id="102" w:name="_Toc138836730"/>
      <w:bookmarkStart w:id="103" w:name="_Toc139270567"/>
      <w:bookmarkStart w:id="104" w:name="_Toc171051334"/>
      <w:bookmarkStart w:id="105" w:name="_Toc193167424"/>
      <w:r>
        <w:rPr>
          <w:rStyle w:val="CharSDivNo"/>
        </w:rPr>
        <w:t>Division 1</w:t>
      </w:r>
      <w:r>
        <w:rPr>
          <w:b w:val="0"/>
        </w:rPr>
        <w:t> — </w:t>
      </w:r>
      <w:r>
        <w:rPr>
          <w:rStyle w:val="CharSDivText"/>
        </w:rPr>
        <w:t>General</w:t>
      </w:r>
      <w:bookmarkEnd w:id="99"/>
      <w:bookmarkEnd w:id="100"/>
      <w:bookmarkEnd w:id="101"/>
      <w:bookmarkEnd w:id="102"/>
      <w:bookmarkEnd w:id="103"/>
      <w:bookmarkEnd w:id="104"/>
      <w:bookmarkEnd w:id="105"/>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t>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r>
              <w:rPr>
                <w:sz w:val="20"/>
              </w:rPr>
              <w:br/>
              <w:t>1.05</w:t>
            </w:r>
            <w:r>
              <w:rPr>
                <w:sz w:val="20"/>
              </w:rPr>
              <w:br/>
            </w:r>
            <w:r>
              <w:rPr>
                <w:sz w:val="20"/>
              </w:rPr>
              <w:br/>
              <w:t>1.15</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t>24.00</w:t>
            </w:r>
          </w:p>
          <w:p>
            <w:pPr>
              <w:pStyle w:val="yTable"/>
              <w:spacing w:before="0"/>
              <w:jc w:val="center"/>
              <w:rPr>
                <w:sz w:val="20"/>
              </w:rPr>
            </w:pPr>
            <w:r>
              <w:rPr>
                <w:sz w:val="20"/>
              </w:rPr>
              <w:br/>
            </w:r>
            <w:r>
              <w:rPr>
                <w:sz w:val="20"/>
              </w:rPr>
              <w:br/>
            </w:r>
            <w:r>
              <w:rPr>
                <w:sz w:val="20"/>
              </w:rPr>
              <w:br/>
              <w:t>24.00</w:t>
            </w:r>
          </w:p>
          <w:p>
            <w:pPr>
              <w:pStyle w:val="yTable"/>
              <w:jc w:val="center"/>
              <w:rPr>
                <w:sz w:val="20"/>
              </w:rPr>
            </w:pPr>
            <w:r>
              <w:rPr>
                <w:sz w:val="20"/>
              </w:rPr>
              <w:br/>
              <w:t>59.50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t>35.50</w:t>
            </w:r>
          </w:p>
          <w:p>
            <w:pPr>
              <w:pStyle w:val="yTable"/>
              <w:jc w:val="center"/>
              <w:rPr>
                <w:sz w:val="20"/>
              </w:rPr>
            </w:pPr>
            <w:r>
              <w:rPr>
                <w:sz w:val="20"/>
              </w:rPr>
              <w:br/>
            </w:r>
            <w:r>
              <w:rPr>
                <w:sz w:val="20"/>
              </w:rPr>
              <w:br/>
            </w:r>
            <w:r>
              <w:rPr>
                <w:sz w:val="20"/>
              </w:rPr>
              <w:br/>
            </w:r>
            <w:r>
              <w:rPr>
                <w:sz w:val="20"/>
              </w:rPr>
              <w:br/>
            </w:r>
            <w:r>
              <w:rPr>
                <w:sz w:val="20"/>
              </w:rPr>
              <w:br/>
            </w:r>
            <w:r>
              <w:rPr>
                <w:sz w:val="20"/>
              </w:rPr>
              <w:br/>
              <w:t>59.50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8.35</w:t>
            </w:r>
          </w:p>
          <w:p>
            <w:pPr>
              <w:pStyle w:val="yTable"/>
              <w:jc w:val="center"/>
              <w:rPr>
                <w:sz w:val="20"/>
              </w:rPr>
            </w:pPr>
            <w:r>
              <w:rPr>
                <w:sz w:val="20"/>
              </w:rPr>
              <w:br/>
            </w:r>
            <w:r>
              <w:rPr>
                <w:sz w:val="20"/>
              </w:rPr>
              <w:br/>
              <w:t>1.05</w:t>
            </w:r>
          </w:p>
          <w:p>
            <w:pPr>
              <w:pStyle w:val="yTable"/>
              <w:jc w:val="center"/>
              <w:rPr>
                <w:sz w:val="20"/>
              </w:rPr>
            </w:pPr>
            <w:r>
              <w:rPr>
                <w:sz w:val="20"/>
              </w:rPr>
              <w:br/>
              <w:t>11.50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4.70</w:t>
            </w:r>
          </w:p>
          <w:p>
            <w:pPr>
              <w:pStyle w:val="yTable"/>
              <w:jc w:val="center"/>
              <w:rPr>
                <w:sz w:val="20"/>
              </w:rPr>
            </w:pPr>
            <w:r>
              <w:rPr>
                <w:sz w:val="20"/>
              </w:rPr>
              <w:br/>
            </w:r>
            <w:r>
              <w:rPr>
                <w:sz w:val="20"/>
              </w:rPr>
              <w:br/>
            </w:r>
            <w:r>
              <w:rPr>
                <w:sz w:val="20"/>
              </w:rPr>
              <w:br/>
            </w:r>
            <w:r>
              <w:rPr>
                <w:sz w:val="20"/>
              </w:rPr>
              <w:br/>
              <w:t>11.50</w:t>
            </w:r>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$16.70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06" w:name="_Toc96756238"/>
      <w:bookmarkStart w:id="107" w:name="_Toc100634724"/>
      <w:r>
        <w:tab/>
        <w:t>[Division 1 amended in Gazette 23 Jun 2006 p. 2182; 26 Jun 2007 p. 3040-1.]</w:t>
      </w:r>
    </w:p>
    <w:p>
      <w:pPr>
        <w:pStyle w:val="yHeading3"/>
        <w:spacing w:after="240"/>
      </w:pPr>
      <w:bookmarkStart w:id="108" w:name="_Toc138836663"/>
      <w:bookmarkStart w:id="109" w:name="_Toc138836731"/>
      <w:bookmarkStart w:id="110" w:name="_Toc139270568"/>
      <w:bookmarkStart w:id="111" w:name="_Toc171051335"/>
      <w:bookmarkStart w:id="112" w:name="_Toc193167425"/>
      <w:r>
        <w:rPr>
          <w:rStyle w:val="CharSDivNo"/>
        </w:rPr>
        <w:t>Division 2</w:t>
      </w:r>
      <w:r>
        <w:rPr>
          <w:b w:val="0"/>
        </w:rPr>
        <w:t> — </w:t>
      </w:r>
      <w:r>
        <w:rPr>
          <w:rStyle w:val="CharSDivText"/>
        </w:rPr>
        <w:t>Civil jurisdiction</w:t>
      </w:r>
      <w:bookmarkEnd w:id="106"/>
      <w:bookmarkEnd w:id="107"/>
      <w:bookmarkEnd w:id="108"/>
      <w:bookmarkEnd w:id="109"/>
      <w:bookmarkEnd w:id="110"/>
      <w:bookmarkEnd w:id="111"/>
      <w:bookmarkEnd w:id="112"/>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851" w:type="dxa"/>
          </w:tcPr>
          <w:p>
            <w:pPr>
              <w:pStyle w:val="yTable"/>
            </w:pPr>
            <w:r>
              <w:rPr>
                <w:sz w:val="20"/>
              </w:rPr>
              <w:br/>
              <w:t>69.00</w:t>
            </w:r>
          </w:p>
        </w:tc>
      </w:tr>
      <w:tr>
        <w:trPr>
          <w:gridAfter w:val="1"/>
          <w:wAfter w:w="14" w:type="dxa"/>
        </w:trPr>
        <w:tc>
          <w:tcPr>
            <w:tcW w:w="567" w:type="dxa"/>
            <w:gridSpan w:val="4"/>
          </w:tcPr>
          <w:p>
            <w:pPr>
              <w:pStyle w:val="yTable"/>
            </w:pPr>
            <w:r>
              <w:rPr>
                <w:sz w:val="20"/>
              </w:rPr>
              <w:t>2.</w:t>
            </w:r>
          </w:p>
        </w:tc>
        <w:tc>
          <w:tcPr>
            <w:tcW w:w="5670" w:type="dxa"/>
          </w:tcPr>
          <w:p>
            <w:pPr>
              <w:pStyle w:val="yTable"/>
            </w:pPr>
            <w:r>
              <w:rPr>
                <w:sz w:val="20"/>
              </w:rPr>
              <w:t xml:space="preserve">On the execution of an arrest warrant of any kind — </w:t>
            </w:r>
          </w:p>
        </w:tc>
        <w:tc>
          <w:tcPr>
            <w:tcW w:w="851" w:type="dxa"/>
          </w:tcPr>
          <w:p>
            <w:pPr>
              <w:pStyle w:val="yTable"/>
            </w:pP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(a)</w:t>
            </w:r>
            <w:r>
              <w:rPr>
                <w:sz w:val="20"/>
              </w:rPr>
              <w:tab/>
              <w:t>for arresting the person …………………………………...</w:t>
            </w:r>
          </w:p>
        </w:tc>
        <w:tc>
          <w:tcPr>
            <w:tcW w:w="851" w:type="dxa"/>
          </w:tcPr>
          <w:p>
            <w:pPr>
              <w:pStyle w:val="yTable"/>
            </w:pPr>
            <w:r>
              <w:rPr>
                <w:sz w:val="20"/>
              </w:rP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851" w:type="dxa"/>
          </w:tcPr>
          <w:p>
            <w:pPr>
              <w:pStyle w:val="yTable"/>
            </w:pPr>
            <w:r>
              <w:rPr>
                <w:sz w:val="20"/>
              </w:rPr>
              <w:br/>
              <w:t>75.50</w:t>
            </w:r>
          </w:p>
        </w:tc>
      </w:tr>
      <w:tr>
        <w:trPr>
          <w:gridAfter w:val="1"/>
          <w:wAfter w:w="14" w:type="dxa"/>
        </w:trPr>
        <w:tc>
          <w:tcPr>
            <w:tcW w:w="567" w:type="dxa"/>
            <w:gridSpan w:val="4"/>
          </w:tcPr>
          <w:p>
            <w:pPr>
              <w:pStyle w:val="zytable"/>
              <w:ind w:left="0"/>
              <w:rPr>
                <w:sz w:val="20"/>
              </w:rPr>
            </w:pPr>
          </w:p>
        </w:tc>
        <w:tc>
          <w:tcPr>
            <w:tcW w:w="567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851" w:type="dxa"/>
          </w:tcPr>
          <w:p>
            <w:pPr>
              <w:pStyle w:val="yTable"/>
            </w:pPr>
            <w:r>
              <w:rPr>
                <w:sz w:val="20"/>
              </w:rPr>
              <w:br/>
            </w:r>
            <w:r>
              <w:rPr>
                <w:sz w:val="20"/>
              </w:rPr>
              <w:br/>
              <w:t>20.00</w:t>
            </w:r>
          </w:p>
        </w:tc>
      </w:tr>
      <w:tr>
        <w:trPr>
          <w:gridAfter w:val="1"/>
          <w:wAfter w:w="14" w:type="dxa"/>
          <w:cantSplit/>
        </w:trPr>
        <w:tc>
          <w:tcPr>
            <w:tcW w:w="7088" w:type="dxa"/>
            <w:gridSpan w:val="6"/>
          </w:tcPr>
          <w:p>
            <w:pPr>
              <w:pStyle w:val="yTable"/>
              <w:rPr>
                <w:sz w:val="16"/>
              </w:rPr>
            </w:pPr>
            <w:r>
              <w:rPr>
                <w:sz w:val="16"/>
              </w:rPr>
              <w:t>NOTE 1</w:t>
            </w:r>
          </w:p>
          <w:p>
            <w:pPr>
              <w:pStyle w:val="yTable"/>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7088" w:type="dxa"/>
            <w:gridSpan w:val="6"/>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rPr>
                <w:sz w:val="16"/>
              </w:rPr>
            </w:pPr>
            <w:r>
              <w:rPr>
                <w:sz w:val="16"/>
              </w:rPr>
              <w:t>(d)</w:t>
            </w:r>
            <w:r>
              <w:rPr>
                <w:sz w:val="16"/>
              </w:rPr>
              <w:tab/>
              <w:t>making any report.</w:t>
            </w:r>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For an application for an extraordinary drivers licence ……………..</w:t>
            </w:r>
          </w:p>
        </w:tc>
        <w:tc>
          <w:tcPr>
            <w:tcW w:w="865" w:type="dxa"/>
            <w:gridSpan w:val="2"/>
            <w:tcBorders>
              <w:bottom w:val="single" w:sz="4" w:space="0" w:color="auto"/>
            </w:tcBorders>
          </w:tcPr>
          <w:p>
            <w:pPr>
              <w:pStyle w:val="yTable"/>
              <w:jc w:val="center"/>
              <w:rPr>
                <w:sz w:val="20"/>
              </w:rPr>
            </w:pPr>
            <w:r>
              <w:rPr>
                <w:sz w:val="20"/>
              </w:rPr>
              <w:t>177.00</w:t>
            </w:r>
          </w:p>
        </w:tc>
      </w:tr>
    </w:tbl>
    <w:p>
      <w:pPr>
        <w:pStyle w:val="yFootnotesection"/>
      </w:pPr>
      <w:bookmarkStart w:id="113" w:name="_Toc96756239"/>
      <w:bookmarkStart w:id="114" w:name="_Toc100634725"/>
      <w:r>
        <w:tab/>
        <w:t>[Division 2 amended in Gazette 30 Aug 2005 p. 4054; 23 Jun 2006 p. 2183; 26 Jun 2007 p. 3041.]</w:t>
      </w:r>
    </w:p>
    <w:p>
      <w:pPr>
        <w:pStyle w:val="yHeading3"/>
        <w:spacing w:after="240"/>
      </w:pPr>
      <w:bookmarkStart w:id="115" w:name="_Toc138836664"/>
      <w:bookmarkStart w:id="116" w:name="_Toc138836732"/>
      <w:bookmarkStart w:id="117" w:name="_Toc139270569"/>
      <w:bookmarkStart w:id="118" w:name="_Toc171051336"/>
      <w:bookmarkStart w:id="119" w:name="_Toc193167426"/>
      <w:r>
        <w:rPr>
          <w:rStyle w:val="CharSDivNo"/>
        </w:rPr>
        <w:t>Division 3</w:t>
      </w:r>
      <w:r>
        <w:rPr>
          <w:b w:val="0"/>
        </w:rPr>
        <w:t> — </w:t>
      </w:r>
      <w:r>
        <w:rPr>
          <w:rStyle w:val="CharSDivText"/>
        </w:rPr>
        <w:t>Criminal jurisdiction</w:t>
      </w:r>
      <w:bookmarkEnd w:id="113"/>
      <w:bookmarkEnd w:id="114"/>
      <w:bookmarkEnd w:id="115"/>
      <w:bookmarkEnd w:id="116"/>
      <w:bookmarkEnd w:id="117"/>
      <w:bookmarkEnd w:id="118"/>
      <w:bookmarkEnd w:id="119"/>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58.00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11.00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58.00</w:t>
            </w:r>
          </w:p>
          <w:p>
            <w:pPr>
              <w:pStyle w:val="yTable"/>
              <w:jc w:val="center"/>
              <w:rPr>
                <w:sz w:val="20"/>
              </w:rPr>
            </w:pPr>
            <w:r>
              <w:rPr>
                <w:sz w:val="20"/>
              </w:rPr>
              <w:t>75.50</w:t>
            </w:r>
          </w:p>
        </w:tc>
      </w:tr>
    </w:tbl>
    <w:p>
      <w:pPr>
        <w:pStyle w:val="yFootnotesection"/>
      </w:pPr>
      <w:bookmarkStart w:id="120" w:name="_Toc100634726"/>
      <w:r>
        <w:tab/>
        <w:t>[Division 3 amended in Gazette 23 Jun 2006 p. 2183; 26 Jun 2007 p. 3041.]</w:t>
      </w:r>
    </w:p>
    <w:p>
      <w:pPr>
        <w:pStyle w:val="yScheduleHeading"/>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bookmarkStart w:id="121" w:name="_Toc138836665"/>
      <w:bookmarkStart w:id="122" w:name="_Toc138836733"/>
      <w:bookmarkStart w:id="123" w:name="_Toc139270570"/>
      <w:bookmarkStart w:id="124" w:name="_Toc171051337"/>
    </w:p>
    <w:p>
      <w:pPr>
        <w:pStyle w:val="yScheduleHeading"/>
      </w:pPr>
      <w:bookmarkStart w:id="125" w:name="_Toc193167427"/>
      <w:r>
        <w:rPr>
          <w:rStyle w:val="CharSchNo"/>
        </w:rPr>
        <w:t>Schedule 2</w:t>
      </w:r>
      <w:r>
        <w:rPr>
          <w:rStyle w:val="CharSDivNo"/>
        </w:rPr>
        <w:t> </w:t>
      </w:r>
      <w:r>
        <w:t>—</w:t>
      </w:r>
      <w:r>
        <w:rPr>
          <w:rStyle w:val="CharSDivText"/>
        </w:rPr>
        <w:t> </w:t>
      </w:r>
      <w:r>
        <w:rPr>
          <w:rStyle w:val="CharSchText"/>
        </w:rPr>
        <w:t>Forms</w:t>
      </w:r>
      <w:bookmarkEnd w:id="120"/>
      <w:bookmarkEnd w:id="121"/>
      <w:bookmarkEnd w:id="122"/>
      <w:bookmarkEnd w:id="123"/>
      <w:bookmarkEnd w:id="124"/>
      <w:bookmarkEnd w:id="125"/>
    </w:p>
    <w:p>
      <w:pPr>
        <w:pStyle w:val="yShoulderClause"/>
      </w:pPr>
      <w:r>
        <w:t>[r. 8(6), 10(2)]</w:t>
      </w:r>
    </w:p>
    <w:p>
      <w:pPr>
        <w:pStyle w:val="yHeading5"/>
        <w:spacing w:after="120"/>
      </w:pPr>
      <w:bookmarkStart w:id="126" w:name="_Toc96398511"/>
      <w:bookmarkStart w:id="127" w:name="_Toc100634727"/>
      <w:bookmarkStart w:id="128" w:name="_Toc138836666"/>
      <w:bookmarkStart w:id="129" w:name="_Toc193167428"/>
      <w:r>
        <w:rPr>
          <w:rStyle w:val="CharSClsNo"/>
        </w:rPr>
        <w:t>1</w:t>
      </w:r>
      <w:r>
        <w:t>.</w:t>
      </w:r>
      <w:r>
        <w:tab/>
        <w:t>Application to remit fees</w:t>
      </w:r>
      <w:bookmarkEnd w:id="126"/>
      <w:bookmarkEnd w:id="127"/>
      <w:bookmarkEnd w:id="128"/>
      <w:bookmarkEnd w:id="12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130" w:name="_Toc97609776"/>
      <w:bookmarkStart w:id="131" w:name="_Toc100634728"/>
      <w:bookmarkStart w:id="132" w:name="_Toc138836667"/>
      <w:bookmarkStart w:id="133" w:name="_Toc193167429"/>
      <w:r>
        <w:rPr>
          <w:rStyle w:val="CharSClsNo"/>
        </w:rPr>
        <w:t>2</w:t>
      </w:r>
      <w:r>
        <w:t>.</w:t>
      </w:r>
      <w:r>
        <w:tab/>
        <w:t>Application for determination of dispute about fees</w:t>
      </w:r>
      <w:bookmarkEnd w:id="130"/>
      <w:bookmarkEnd w:id="131"/>
      <w:bookmarkEnd w:id="132"/>
      <w:bookmarkEnd w:id="1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r>
        <w:tab/>
        <w:t>[Form 2 amended in Gazette 11 Mar 2008 p. 817.]</w:t>
      </w:r>
    </w:p>
    <w:p>
      <w:pPr>
        <w:pStyle w:val="nHeading2"/>
      </w:pPr>
      <w:bookmarkStart w:id="134" w:name="_Toc102453637"/>
      <w:bookmarkStart w:id="135" w:name="_Toc102453907"/>
      <w:bookmarkStart w:id="136" w:name="_Toc113162208"/>
      <w:bookmarkStart w:id="137" w:name="_Toc138836668"/>
      <w:bookmarkStart w:id="138" w:name="_Toc138836736"/>
      <w:bookmarkStart w:id="139" w:name="_Toc139270573"/>
      <w:bookmarkStart w:id="140" w:name="_Toc171051340"/>
      <w:bookmarkStart w:id="141" w:name="_Toc193167430"/>
      <w:r>
        <w:t>Notes</w:t>
      </w:r>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rPr>
        <w:t>Children’s Court (Fees) Regulations 2005</w:t>
      </w:r>
      <w:r>
        <w:t xml:space="preserve"> and includes the amendments made by the other written laws referred to in the following table</w:t>
      </w:r>
      <w:r>
        <w:rPr>
          <w:snapToGrid w:val="0"/>
        </w:rPr>
        <w:t>.</w:t>
      </w:r>
    </w:p>
    <w:p>
      <w:pPr>
        <w:pStyle w:val="nHeading3"/>
      </w:pPr>
      <w:bookmarkStart w:id="142" w:name="_Toc70311430"/>
      <w:bookmarkStart w:id="143" w:name="_Toc138836669"/>
      <w:bookmarkStart w:id="144" w:name="_Toc193167431"/>
      <w:r>
        <w:t>Compilation table</w:t>
      </w:r>
      <w:bookmarkEnd w:id="142"/>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c>
          <w:tcPr>
            <w:tcW w:w="3118" w:type="dxa"/>
          </w:tcPr>
          <w:p>
            <w:pPr>
              <w:pStyle w:val="nTable"/>
              <w:rPr>
                <w:i/>
                <w:sz w:val="19"/>
              </w:rPr>
            </w:pPr>
            <w:r>
              <w:rPr>
                <w:i/>
                <w:sz w:val="19"/>
              </w:rPr>
              <w:t>Children’s Court (Fees) Amendment Regulations 2006</w:t>
            </w:r>
          </w:p>
        </w:tc>
        <w:tc>
          <w:tcPr>
            <w:tcW w:w="1276" w:type="dxa"/>
          </w:tcPr>
          <w:p>
            <w:pPr>
              <w:pStyle w:val="nTable"/>
              <w:rPr>
                <w:sz w:val="19"/>
              </w:rPr>
            </w:pPr>
            <w:r>
              <w:rPr>
                <w:sz w:val="19"/>
              </w:rPr>
              <w:t>23 Jun 2006 p. 2181</w:t>
            </w:r>
            <w:r>
              <w:rPr>
                <w:sz w:val="19"/>
              </w:rPr>
              <w:noBreakHyphen/>
              <w:t>3</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Children’s Court (Fees) Amendment Regulations 2007</w:t>
            </w:r>
          </w:p>
        </w:tc>
        <w:tc>
          <w:tcPr>
            <w:tcW w:w="1276" w:type="dxa"/>
          </w:tcPr>
          <w:p>
            <w:pPr>
              <w:pStyle w:val="nTable"/>
              <w:rPr>
                <w:sz w:val="19"/>
              </w:rPr>
            </w:pPr>
            <w:r>
              <w:rPr>
                <w:sz w:val="19"/>
              </w:rPr>
              <w:t>26 Jun 2007 p. 3040-1</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Children’s Court (Fees) Amendment Regulations 2008</w:t>
            </w:r>
          </w:p>
        </w:tc>
        <w:tc>
          <w:tcPr>
            <w:tcW w:w="1276" w:type="dxa"/>
            <w:tcBorders>
              <w:bottom w:val="single" w:sz="4" w:space="0" w:color="auto"/>
            </w:tcBorders>
          </w:tcPr>
          <w:p>
            <w:pPr>
              <w:pStyle w:val="nTable"/>
              <w:rPr>
                <w:sz w:val="19"/>
              </w:rPr>
            </w:pPr>
            <w:r>
              <w:rPr>
                <w:sz w:val="19"/>
              </w:rPr>
              <w:t>11 Mar 2008 p. 817</w:t>
            </w:r>
          </w:p>
        </w:tc>
        <w:tc>
          <w:tcPr>
            <w:tcW w:w="2693" w:type="dxa"/>
            <w:tcBorders>
              <w:bottom w:val="single" w:sz="4" w:space="0" w:color="auto"/>
            </w:tcBorders>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bl>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3397</Words>
  <Characters>18176</Characters>
  <Application>Microsoft Office Word</Application>
  <DocSecurity>0</DocSecurity>
  <Lines>790</Lines>
  <Paragraphs>490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Fees</vt:lpstr>
      <vt:lpstr>        Division 1 — General</vt:lpstr>
      <vt:lpstr>        Division 2 — Civil jurisdiction</vt:lpstr>
      <vt:lpstr>        Division 3 — Criminal jurisdiction</vt:lpstr>
      <vt:lpstr>    </vt:lpstr>
      <vt:lpstr>    Schedule 2 — Forms</vt:lpstr>
      <vt:lpstr>    Notes</vt:lpstr>
    </vt:vector>
  </TitlesOfParts>
  <Manager/>
  <Company/>
  <LinksUpToDate>false</LinksUpToDate>
  <CharactersWithSpaces>21083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2005 - 00-e0-02</dc:title>
  <dc:subject/>
  <dc:creator/>
  <cp:keywords/>
  <dc:description/>
  <cp:lastModifiedBy>svcMRProcess</cp:lastModifiedBy>
  <cp:revision>4</cp:revision>
  <cp:lastPrinted>2005-04-07T02:11:00Z</cp:lastPrinted>
  <dcterms:created xsi:type="dcterms:W3CDTF">2018-09-10T05:48:00Z</dcterms:created>
  <dcterms:modified xsi:type="dcterms:W3CDTF">2018-09-10T05:48:00Z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34705</vt:i4>
  </property>
  <property fmtid="{D5CDD505-2E9C-101B-9397-08002B2CF9AE}" pid="6" name="AsAtDate">
    <vt:lpwstr>12 Mar 2008</vt:lpwstr>
  </property>
  <property fmtid="{D5CDD505-2E9C-101B-9397-08002B2CF9AE}" pid="7" name="Suffix">
    <vt:lpwstr>00-e0-02</vt:lpwstr>
  </property>
</Properties>
</file>