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Prosthetists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Dental Prosthetists Act 1985</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_Toc139701948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_Toc139701949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_Toc139701950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_Toc139701951 \h </w:instrText>
      </w:r>
      <w:r>
        <w:fldChar w:fldCharType="separate"/>
      </w:r>
      <w:r>
        <w:t>3</w:t>
      </w:r>
      <w:r>
        <w:fldChar w:fldCharType="end"/>
      </w:r>
    </w:p>
    <w:p>
      <w:pPr>
        <w:pStyle w:val="TOC2"/>
        <w:tabs>
          <w:tab w:val="right" w:leader="dot" w:pos="7078"/>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Dental Prosthetists Advisory Committee</w:t>
      </w:r>
      <w:r>
        <w:tab/>
      </w:r>
      <w:r>
        <w:fldChar w:fldCharType="begin"/>
      </w:r>
      <w:r>
        <w:instrText xml:space="preserve"> PAGEREF _Toc139701953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Deputies</w:t>
      </w:r>
      <w:r>
        <w:tab/>
      </w:r>
      <w:r>
        <w:fldChar w:fldCharType="begin"/>
      </w:r>
      <w:r>
        <w:instrText xml:space="preserve"> PAGEREF _Toc139701954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Nominations</w:t>
      </w:r>
      <w:r>
        <w:tab/>
      </w:r>
      <w:r>
        <w:fldChar w:fldCharType="begin"/>
      </w:r>
      <w:r>
        <w:instrText xml:space="preserve"> PAGEREF _Toc139701955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_Toc139701956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Remuneration and allowances</w:t>
      </w:r>
      <w:r>
        <w:tab/>
      </w:r>
      <w:r>
        <w:fldChar w:fldCharType="begin"/>
      </w:r>
      <w:r>
        <w:instrText xml:space="preserve"> PAGEREF _Toc139701957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_Toc139701958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Saving</w:t>
      </w:r>
      <w:r>
        <w:tab/>
      </w:r>
      <w:r>
        <w:fldChar w:fldCharType="begin"/>
      </w:r>
      <w:r>
        <w:instrText xml:space="preserve"> PAGEREF _Toc139701959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Functions and powers</w:t>
      </w:r>
      <w:r>
        <w:tab/>
      </w:r>
      <w:r>
        <w:fldChar w:fldCharType="begin"/>
      </w:r>
      <w:r>
        <w:instrText xml:space="preserve"> PAGEREF _Toc139701960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Subcommittees</w:t>
      </w:r>
      <w:r>
        <w:tab/>
      </w:r>
      <w:r>
        <w:fldChar w:fldCharType="begin"/>
      </w:r>
      <w:r>
        <w:instrText xml:space="preserve"> PAGEREF _Toc139701961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Delegation</w:t>
      </w:r>
      <w:r>
        <w:tab/>
      </w:r>
      <w:r>
        <w:fldChar w:fldCharType="begin"/>
      </w:r>
      <w:r>
        <w:instrText xml:space="preserve"> PAGEREF _Toc139701962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Directions and references</w:t>
      </w:r>
      <w:r>
        <w:tab/>
      </w:r>
      <w:r>
        <w:fldChar w:fldCharType="begin"/>
      </w:r>
      <w:r>
        <w:instrText xml:space="preserve"> PAGEREF _Toc139701963 \h </w:instrText>
      </w:r>
      <w:r>
        <w:fldChar w:fldCharType="separate"/>
      </w:r>
      <w:r>
        <w:t>12</w:t>
      </w:r>
      <w:r>
        <w:fldChar w:fldCharType="end"/>
      </w:r>
    </w:p>
    <w:p>
      <w:pPr>
        <w:pStyle w:val="TOC2"/>
        <w:tabs>
          <w:tab w:val="right" w:leader="dot" w:pos="7078"/>
        </w:tabs>
        <w:rPr>
          <w:b w:val="0"/>
          <w:sz w:val="24"/>
          <w:szCs w:val="24"/>
        </w:rPr>
      </w:pPr>
      <w:r>
        <w:rPr>
          <w:szCs w:val="30"/>
        </w:rPr>
        <w:t>Part III — Practice of dental prosthetics</w:t>
      </w:r>
    </w:p>
    <w:p>
      <w:pPr>
        <w:pStyle w:val="TOC8"/>
        <w:rPr>
          <w:sz w:val="24"/>
          <w:szCs w:val="24"/>
        </w:rPr>
      </w:pPr>
      <w:r>
        <w:rPr>
          <w:szCs w:val="24"/>
        </w:rPr>
        <w:t>16</w:t>
      </w:r>
      <w:r>
        <w:rPr>
          <w:snapToGrid w:val="0"/>
          <w:szCs w:val="24"/>
        </w:rPr>
        <w:t>.</w:t>
      </w:r>
      <w:r>
        <w:rPr>
          <w:snapToGrid w:val="0"/>
          <w:szCs w:val="24"/>
        </w:rPr>
        <w:tab/>
        <w:t>Licensed persons may practise dental prosthetics</w:t>
      </w:r>
      <w:r>
        <w:tab/>
      </w:r>
      <w:r>
        <w:fldChar w:fldCharType="begin"/>
      </w:r>
      <w:r>
        <w:instrText xml:space="preserve"> PAGEREF _Toc139701965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Application for licence</w:t>
      </w:r>
      <w:r>
        <w:tab/>
      </w:r>
      <w:r>
        <w:fldChar w:fldCharType="begin"/>
      </w:r>
      <w:r>
        <w:instrText xml:space="preserve"> PAGEREF _Toc139701966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licence</w:t>
      </w:r>
      <w:r>
        <w:tab/>
      </w:r>
      <w:r>
        <w:fldChar w:fldCharType="begin"/>
      </w:r>
      <w:r>
        <w:instrText xml:space="preserve"> PAGEREF _Toc139701967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Effect of licence</w:t>
      </w:r>
      <w:r>
        <w:tab/>
      </w:r>
      <w:r>
        <w:fldChar w:fldCharType="begin"/>
      </w:r>
      <w:r>
        <w:instrText xml:space="preserve"> PAGEREF _Toc139701968 \h </w:instrText>
      </w:r>
      <w:r>
        <w:fldChar w:fldCharType="separate"/>
      </w:r>
      <w:r>
        <w:t>14</w:t>
      </w:r>
      <w:r>
        <w:fldChar w:fldCharType="end"/>
      </w:r>
    </w:p>
    <w:p>
      <w:pPr>
        <w:pStyle w:val="TOC8"/>
        <w:rPr>
          <w:sz w:val="24"/>
          <w:szCs w:val="24"/>
        </w:rPr>
      </w:pPr>
      <w:r>
        <w:rPr>
          <w:szCs w:val="24"/>
        </w:rPr>
        <w:t>19A.</w:t>
      </w:r>
      <w:r>
        <w:rPr>
          <w:szCs w:val="24"/>
        </w:rPr>
        <w:tab/>
        <w:t>Investigator</w:t>
      </w:r>
      <w:r>
        <w:tab/>
      </w:r>
      <w:r>
        <w:fldChar w:fldCharType="begin"/>
      </w:r>
      <w:r>
        <w:instrText xml:space="preserve"> PAGEREF _Toc139701969 \h </w:instrText>
      </w:r>
      <w:r>
        <w:fldChar w:fldCharType="separate"/>
      </w:r>
      <w:r>
        <w:t>14</w:t>
      </w:r>
      <w:r>
        <w:fldChar w:fldCharType="end"/>
      </w:r>
    </w:p>
    <w:p>
      <w:pPr>
        <w:pStyle w:val="TOC8"/>
        <w:rPr>
          <w:sz w:val="24"/>
          <w:szCs w:val="24"/>
        </w:rPr>
      </w:pPr>
      <w:r>
        <w:rPr>
          <w:szCs w:val="24"/>
        </w:rPr>
        <w:t>19B.</w:t>
      </w:r>
      <w:r>
        <w:rPr>
          <w:szCs w:val="24"/>
        </w:rPr>
        <w:tab/>
        <w:t>Report of investigator</w:t>
      </w:r>
      <w:r>
        <w:tab/>
      </w:r>
      <w:r>
        <w:fldChar w:fldCharType="begin"/>
      </w:r>
      <w:r>
        <w:instrText xml:space="preserve"> PAGEREF _Toc139701970 \h </w:instrText>
      </w:r>
      <w:r>
        <w:fldChar w:fldCharType="separate"/>
      </w:r>
      <w:r>
        <w:t>14</w:t>
      </w:r>
      <w:r>
        <w:fldChar w:fldCharType="end"/>
      </w:r>
    </w:p>
    <w:p>
      <w:pPr>
        <w:pStyle w:val="TOC8"/>
        <w:rPr>
          <w:sz w:val="24"/>
          <w:szCs w:val="24"/>
        </w:rPr>
      </w:pPr>
      <w:r>
        <w:rPr>
          <w:szCs w:val="24"/>
        </w:rPr>
        <w:lastRenderedPageBreak/>
        <w:t>19C.</w:t>
      </w:r>
      <w:r>
        <w:rPr>
          <w:szCs w:val="24"/>
        </w:rPr>
        <w:tab/>
        <w:t>Powers of investigator</w:t>
      </w:r>
      <w:r>
        <w:tab/>
      </w:r>
      <w:r>
        <w:fldChar w:fldCharType="begin"/>
      </w:r>
      <w:r>
        <w:instrText xml:space="preserve"> PAGEREF _Toc139701971 \h </w:instrText>
      </w:r>
      <w:r>
        <w:fldChar w:fldCharType="separate"/>
      </w:r>
      <w:r>
        <w:t>15</w:t>
      </w:r>
      <w:r>
        <w:fldChar w:fldCharType="end"/>
      </w:r>
    </w:p>
    <w:p>
      <w:pPr>
        <w:pStyle w:val="TOC8"/>
        <w:rPr>
          <w:sz w:val="24"/>
          <w:szCs w:val="24"/>
        </w:rPr>
      </w:pPr>
      <w:r>
        <w:rPr>
          <w:szCs w:val="24"/>
        </w:rPr>
        <w:t>19D.</w:t>
      </w:r>
      <w:r>
        <w:rPr>
          <w:szCs w:val="24"/>
        </w:rPr>
        <w:tab/>
        <w:t>Warrant to enter premises</w:t>
      </w:r>
      <w:r>
        <w:tab/>
      </w:r>
      <w:r>
        <w:fldChar w:fldCharType="begin"/>
      </w:r>
      <w:r>
        <w:instrText xml:space="preserve"> PAGEREF _Toc139701972 \h </w:instrText>
      </w:r>
      <w:r>
        <w:fldChar w:fldCharType="separate"/>
      </w:r>
      <w:r>
        <w:t>17</w:t>
      </w:r>
      <w:r>
        <w:fldChar w:fldCharType="end"/>
      </w:r>
    </w:p>
    <w:p>
      <w:pPr>
        <w:pStyle w:val="TOC8"/>
        <w:rPr>
          <w:sz w:val="24"/>
          <w:szCs w:val="24"/>
        </w:rPr>
      </w:pPr>
      <w:r>
        <w:rPr>
          <w:szCs w:val="24"/>
        </w:rPr>
        <w:t>19E.</w:t>
      </w:r>
      <w:r>
        <w:rPr>
          <w:szCs w:val="24"/>
        </w:rPr>
        <w:tab/>
        <w:t>Issue of warrant</w:t>
      </w:r>
      <w:r>
        <w:tab/>
      </w:r>
      <w:r>
        <w:fldChar w:fldCharType="begin"/>
      </w:r>
      <w:r>
        <w:instrText xml:space="preserve"> PAGEREF _Toc139701973 \h </w:instrText>
      </w:r>
      <w:r>
        <w:fldChar w:fldCharType="separate"/>
      </w:r>
      <w:r>
        <w:t>18</w:t>
      </w:r>
      <w:r>
        <w:fldChar w:fldCharType="end"/>
      </w:r>
    </w:p>
    <w:p>
      <w:pPr>
        <w:pStyle w:val="TOC8"/>
        <w:rPr>
          <w:sz w:val="24"/>
          <w:szCs w:val="24"/>
        </w:rPr>
      </w:pPr>
      <w:r>
        <w:rPr>
          <w:szCs w:val="24"/>
        </w:rPr>
        <w:t>19F.</w:t>
      </w:r>
      <w:r>
        <w:rPr>
          <w:szCs w:val="24"/>
        </w:rPr>
        <w:tab/>
        <w:t>Execution of warrant</w:t>
      </w:r>
      <w:r>
        <w:tab/>
      </w:r>
      <w:r>
        <w:fldChar w:fldCharType="begin"/>
      </w:r>
      <w:r>
        <w:instrText xml:space="preserve"> PAGEREF _Toc139701974 \h </w:instrText>
      </w:r>
      <w:r>
        <w:fldChar w:fldCharType="separate"/>
      </w:r>
      <w:r>
        <w:t>18</w:t>
      </w:r>
      <w:r>
        <w:fldChar w:fldCharType="end"/>
      </w:r>
    </w:p>
    <w:p>
      <w:pPr>
        <w:pStyle w:val="TOC8"/>
        <w:rPr>
          <w:sz w:val="24"/>
          <w:szCs w:val="24"/>
        </w:rPr>
      </w:pPr>
      <w:r>
        <w:rPr>
          <w:szCs w:val="24"/>
        </w:rPr>
        <w:t>19G.</w:t>
      </w:r>
      <w:r>
        <w:rPr>
          <w:szCs w:val="24"/>
        </w:rPr>
        <w:tab/>
        <w:t>Incriminating information, questions, or documents</w:t>
      </w:r>
      <w:r>
        <w:tab/>
      </w:r>
      <w:r>
        <w:fldChar w:fldCharType="begin"/>
      </w:r>
      <w:r>
        <w:instrText xml:space="preserve"> PAGEREF _Toc139701975 \h </w:instrText>
      </w:r>
      <w:r>
        <w:fldChar w:fldCharType="separate"/>
      </w:r>
      <w:r>
        <w:t>19</w:t>
      </w:r>
      <w:r>
        <w:fldChar w:fldCharType="end"/>
      </w:r>
    </w:p>
    <w:p>
      <w:pPr>
        <w:pStyle w:val="TOC8"/>
        <w:rPr>
          <w:sz w:val="24"/>
          <w:szCs w:val="24"/>
        </w:rPr>
      </w:pPr>
      <w:r>
        <w:rPr>
          <w:szCs w:val="24"/>
        </w:rPr>
        <w:t>19H.</w:t>
      </w:r>
      <w:r>
        <w:rPr>
          <w:szCs w:val="24"/>
        </w:rPr>
        <w:tab/>
        <w:t>Failure to comply with investigation</w:t>
      </w:r>
      <w:r>
        <w:tab/>
      </w:r>
      <w:r>
        <w:fldChar w:fldCharType="begin"/>
      </w:r>
      <w:r>
        <w:instrText xml:space="preserve"> PAGEREF _Toc139701976 \h </w:instrText>
      </w:r>
      <w:r>
        <w:fldChar w:fldCharType="separate"/>
      </w:r>
      <w:r>
        <w:t>19</w:t>
      </w:r>
      <w:r>
        <w:fldChar w:fldCharType="end"/>
      </w:r>
    </w:p>
    <w:p>
      <w:pPr>
        <w:pStyle w:val="TOC8"/>
        <w:rPr>
          <w:sz w:val="24"/>
          <w:szCs w:val="24"/>
        </w:rPr>
      </w:pPr>
      <w:r>
        <w:rPr>
          <w:szCs w:val="24"/>
        </w:rPr>
        <w:t>19I.</w:t>
      </w:r>
      <w:r>
        <w:rPr>
          <w:szCs w:val="24"/>
        </w:rPr>
        <w:tab/>
        <w:t>Obstruction of investigator</w:t>
      </w:r>
      <w:r>
        <w:tab/>
      </w:r>
      <w:r>
        <w:fldChar w:fldCharType="begin"/>
      </w:r>
      <w:r>
        <w:instrText xml:space="preserve"> PAGEREF _Toc139701977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Revocation of licence and cancellation of endorsement</w:t>
      </w:r>
      <w:r>
        <w:tab/>
      </w:r>
      <w:r>
        <w:fldChar w:fldCharType="begin"/>
      </w:r>
      <w:r>
        <w:instrText xml:space="preserve"> PAGEREF _Toc139701978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Suspension of licence or endorsement</w:t>
      </w:r>
      <w:r>
        <w:tab/>
      </w:r>
      <w:r>
        <w:fldChar w:fldCharType="begin"/>
      </w:r>
      <w:r>
        <w:instrText xml:space="preserve"> PAGEREF _Toc139701979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Review</w:t>
      </w:r>
      <w:r>
        <w:tab/>
      </w:r>
      <w:r>
        <w:fldChar w:fldCharType="begin"/>
      </w:r>
      <w:r>
        <w:instrText xml:space="preserve"> PAGEREF _Toc139701980 \h </w:instrText>
      </w:r>
      <w:r>
        <w:fldChar w:fldCharType="separate"/>
      </w:r>
      <w:r>
        <w:t>22</w:t>
      </w:r>
      <w:r>
        <w:fldChar w:fldCharType="end"/>
      </w:r>
    </w:p>
    <w:p>
      <w:pPr>
        <w:pStyle w:val="TOC2"/>
        <w:tabs>
          <w:tab w:val="right" w:leader="dot" w:pos="7078"/>
        </w:tabs>
        <w:rPr>
          <w:b w:val="0"/>
          <w:sz w:val="24"/>
          <w:szCs w:val="24"/>
        </w:rPr>
      </w:pPr>
      <w:r>
        <w:rPr>
          <w:szCs w:val="30"/>
        </w:rPr>
        <w:t>Part IV — General</w:t>
      </w:r>
    </w:p>
    <w:p>
      <w:pPr>
        <w:pStyle w:val="TOC8"/>
        <w:rPr>
          <w:sz w:val="24"/>
          <w:szCs w:val="24"/>
        </w:rPr>
      </w:pPr>
      <w:r>
        <w:rPr>
          <w:szCs w:val="24"/>
        </w:rPr>
        <w:t>23</w:t>
      </w:r>
      <w:r>
        <w:rPr>
          <w:snapToGrid w:val="0"/>
          <w:szCs w:val="24"/>
        </w:rPr>
        <w:t>.</w:t>
      </w:r>
      <w:r>
        <w:rPr>
          <w:snapToGrid w:val="0"/>
          <w:szCs w:val="24"/>
        </w:rPr>
        <w:tab/>
        <w:t>Records to be kept</w:t>
      </w:r>
      <w:r>
        <w:tab/>
      </w:r>
      <w:r>
        <w:fldChar w:fldCharType="begin"/>
      </w:r>
      <w:r>
        <w:instrText xml:space="preserve"> PAGEREF _Toc139701982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Offences as to licensing</w:t>
      </w:r>
      <w:r>
        <w:tab/>
      </w:r>
      <w:r>
        <w:fldChar w:fldCharType="begin"/>
      </w:r>
      <w:r>
        <w:instrText xml:space="preserve"> PAGEREF _Toc139701983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Offences relating to the practice of dental prosthetics</w:t>
      </w:r>
      <w:r>
        <w:tab/>
      </w:r>
      <w:r>
        <w:fldChar w:fldCharType="begin"/>
      </w:r>
      <w:r>
        <w:instrText xml:space="preserve"> PAGEREF _Toc139701984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Notice of business name</w:t>
      </w:r>
      <w:r>
        <w:tab/>
      </w:r>
      <w:r>
        <w:fldChar w:fldCharType="begin"/>
      </w:r>
      <w:r>
        <w:instrText xml:space="preserve"> PAGEREF _Toc139701985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_Toc139701986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Publication</w:t>
      </w:r>
      <w:r>
        <w:tab/>
      </w:r>
      <w:r>
        <w:fldChar w:fldCharType="begin"/>
      </w:r>
      <w:r>
        <w:instrText xml:space="preserve"> PAGEREF _Toc139701987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Return of licences and endorsements upon suspension or revocation</w:t>
      </w:r>
      <w:r>
        <w:tab/>
      </w:r>
      <w:r>
        <w:fldChar w:fldCharType="begin"/>
      </w:r>
      <w:r>
        <w:instrText xml:space="preserve"> PAGEREF _Toc139701988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Indemnity</w:t>
      </w:r>
      <w:r>
        <w:tab/>
      </w:r>
      <w:r>
        <w:fldChar w:fldCharType="begin"/>
      </w:r>
      <w:r>
        <w:instrText xml:space="preserve"> PAGEREF _Toc139701989 \h </w:instrText>
      </w:r>
      <w:r>
        <w:fldChar w:fldCharType="separate"/>
      </w:r>
      <w:r>
        <w:t>28</w:t>
      </w:r>
      <w:r>
        <w:fldChar w:fldCharType="end"/>
      </w:r>
    </w:p>
    <w:p>
      <w:pPr>
        <w:pStyle w:val="TOC8"/>
        <w:rPr>
          <w:sz w:val="24"/>
          <w:szCs w:val="24"/>
        </w:rPr>
      </w:pPr>
      <w:r>
        <w:rPr>
          <w:szCs w:val="24"/>
        </w:rPr>
        <w:t>30A</w:t>
      </w:r>
      <w:r>
        <w:rPr>
          <w:snapToGrid w:val="0"/>
          <w:szCs w:val="24"/>
        </w:rPr>
        <w:t>.</w:t>
      </w:r>
      <w:r>
        <w:rPr>
          <w:snapToGrid w:val="0"/>
          <w:szCs w:val="24"/>
        </w:rPr>
        <w:tab/>
        <w:t>Report</w:t>
      </w:r>
      <w:r>
        <w:tab/>
      </w:r>
      <w:r>
        <w:fldChar w:fldCharType="begin"/>
      </w:r>
      <w:r>
        <w:instrText xml:space="preserve"> PAGEREF _Toc139701990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_Toc139701991 \h </w:instrText>
      </w:r>
      <w:r>
        <w:fldChar w:fldCharType="separate"/>
      </w:r>
      <w:r>
        <w:t>29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_Toc139701993 \h </w:instrText>
      </w:r>
      <w:r>
        <w:fldChar w:fldCharType="separate"/>
      </w:r>
      <w:r>
        <w:t>30</w:t>
      </w:r>
      <w:r>
        <w:fldChar w:fldCharType="end"/>
      </w:r>
    </w:p>
    <w:p>
      <w:pPr>
        <w:pStyle w:val="TOC8"/>
        <w:rPr>
          <w:sz w:val="24"/>
        </w:rPr>
      </w:pPr>
      <w:r>
        <w:rPr>
          <w:snapToGrid w:val="0"/>
        </w:rPr>
        <w:tab/>
        <w:t>Provisions that have not come into operation</w:t>
      </w:r>
      <w:r>
        <w:tab/>
      </w:r>
      <w:r>
        <w:fldChar w:fldCharType="begin"/>
      </w:r>
      <w:r>
        <w:instrText xml:space="preserve"> PAGEREF _Toc139701994 \h </w:instrText>
      </w:r>
      <w:r>
        <w:fldChar w:fldCharType="separate"/>
      </w:r>
      <w:r>
        <w:t>31</w:t>
      </w:r>
      <w:r>
        <w:fldChar w:fldCharType="end"/>
      </w:r>
    </w:p>
    <w:p>
      <w:pPr>
        <w:tabs>
          <w:tab w:val="right" w:leader="dot" w:pos="7078"/>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pacing w:before="960" w:after="1200"/>
      </w:pPr>
      <w:r>
        <w:t xml:space="preserve">Dental Prosthetists Act 1985 </w:t>
      </w:r>
    </w:p>
    <w:p>
      <w:pPr>
        <w:pStyle w:val="LongTitle"/>
        <w:rPr>
          <w:snapToGrid w:val="0"/>
        </w:rPr>
      </w:pPr>
      <w:r>
        <w:rPr>
          <w:snapToGrid w:val="0"/>
        </w:rPr>
        <w:t xml:space="preserve">An Act relating to the licensing of dental prosthetists and for incidental and other purposes. </w:t>
      </w:r>
    </w:p>
    <w:p>
      <w:pPr>
        <w:pStyle w:val="Heading2"/>
      </w:pPr>
      <w:bookmarkStart w:id="1" w:name="_Toc89162125"/>
      <w:bookmarkStart w:id="2" w:name="_Toc89162525"/>
      <w:bookmarkStart w:id="3" w:name="_Toc92516967"/>
      <w:bookmarkStart w:id="4" w:name="_Toc97010039"/>
      <w:bookmarkStart w:id="5" w:name="_Toc102274111"/>
      <w:bookmarkStart w:id="6" w:name="_Toc102814301"/>
      <w:bookmarkStart w:id="7" w:name="_Toc139363592"/>
      <w:bookmarkStart w:id="8" w:name="_Toc139365527"/>
      <w:bookmarkStart w:id="9" w:name="_Toc13970194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9550469"/>
      <w:bookmarkStart w:id="11" w:name="_Toc39550555"/>
      <w:bookmarkStart w:id="12" w:name="_Toc102814302"/>
      <w:bookmarkStart w:id="13" w:name="_Toc139701948"/>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14" w:name="_Toc39550470"/>
      <w:bookmarkStart w:id="15" w:name="_Toc39550556"/>
      <w:bookmarkStart w:id="16" w:name="_Toc102814303"/>
      <w:bookmarkStart w:id="17" w:name="_Toc139701949"/>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8" w:name="_Toc39550471"/>
      <w:bookmarkStart w:id="19" w:name="_Toc39550557"/>
      <w:bookmarkStart w:id="20" w:name="_Toc102814304"/>
      <w:bookmarkStart w:id="21" w:name="_Toc139701950"/>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day</w:t>
      </w:r>
      <w:r>
        <w:rPr>
          <w:b/>
        </w:rPr>
        <w:t>”</w:t>
      </w:r>
      <w:r>
        <w:t xml:space="preserve"> means the day fixed by the Minister under subsection (2);</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dental prosthetist</w:t>
      </w:r>
      <w:r>
        <w:rPr>
          <w:b/>
        </w:rPr>
        <w:t>”</w:t>
      </w:r>
      <w:r>
        <w:t xml:space="preserve"> means a person to whom a licence is issued under this Act;</w:t>
      </w:r>
    </w:p>
    <w:p>
      <w:pPr>
        <w:pStyle w:val="Defstart"/>
      </w:pPr>
      <w:r>
        <w:rPr>
          <w:b/>
        </w:rPr>
        <w:tab/>
        <w:t>“</w:t>
      </w:r>
      <w:r>
        <w:rPr>
          <w:rStyle w:val="CharDefText"/>
        </w:rPr>
        <w:t>dentist</w:t>
      </w:r>
      <w:r>
        <w:rPr>
          <w:b/>
        </w:rPr>
        <w:t>”</w:t>
      </w:r>
      <w:r>
        <w:t xml:space="preserve"> has the same meaning as the expression has in the </w:t>
      </w:r>
      <w:r>
        <w:rPr>
          <w:i/>
        </w:rPr>
        <w:t>Dental Act 1939</w:t>
      </w:r>
      <w:r>
        <w:t>;</w:t>
      </w:r>
    </w:p>
    <w:p>
      <w:pPr>
        <w:pStyle w:val="Defstart"/>
      </w:pPr>
      <w:r>
        <w:rPr>
          <w:b/>
        </w:rPr>
        <w:tab/>
        <w:t>“</w:t>
      </w:r>
      <w:r>
        <w:rPr>
          <w:rStyle w:val="CharDefText"/>
        </w:rPr>
        <w:t>full artificial denture</w:t>
      </w:r>
      <w:r>
        <w:rPr>
          <w:b/>
        </w:rPr>
        <w:t>”</w:t>
      </w:r>
      <w:r>
        <w:t xml:space="preserve"> means a removable dental prosthesis that replaces all of the natural dentition of the upper jaw or the lower jaw;</w:t>
      </w:r>
    </w:p>
    <w:p>
      <w:pPr>
        <w:pStyle w:val="Defstart"/>
      </w:pPr>
      <w:r>
        <w:rPr>
          <w:b/>
        </w:rPr>
        <w:tab/>
        <w:t>“</w:t>
      </w:r>
      <w:r>
        <w:rPr>
          <w:rStyle w:val="CharDefText"/>
        </w:rPr>
        <w:t>licence</w:t>
      </w:r>
      <w:r>
        <w:rPr>
          <w:b/>
        </w:rPr>
        <w:t>”</w:t>
      </w:r>
      <w:r>
        <w:t xml:space="preserve"> means a licence under section 18 for the time being in force;</w:t>
      </w:r>
    </w:p>
    <w:p>
      <w:pPr>
        <w:pStyle w:val="Defstart"/>
      </w:pPr>
      <w:r>
        <w:rPr>
          <w:b/>
        </w:rPr>
        <w:tab/>
        <w:t>“</w:t>
      </w:r>
      <w:r>
        <w:rPr>
          <w:rStyle w:val="CharDefText"/>
        </w:rPr>
        <w:t>subcommittee</w:t>
      </w:r>
      <w:r>
        <w:rPr>
          <w:b/>
        </w:rPr>
        <w:t>”</w:t>
      </w:r>
      <w:r>
        <w:t xml:space="preserve"> means a subcommittee constituted under section 13;</w:t>
      </w:r>
    </w:p>
    <w:p>
      <w:pPr>
        <w:pStyle w:val="Defstart"/>
      </w:pPr>
      <w:r>
        <w:rPr>
          <w:b/>
        </w:rPr>
        <w:tab/>
        <w:t>“</w:t>
      </w:r>
      <w:r>
        <w:rPr>
          <w:rStyle w:val="CharDefText"/>
        </w:rPr>
        <w:t>the Committee</w:t>
      </w:r>
      <w:r>
        <w:rPr>
          <w:b/>
        </w:rPr>
        <w:t>”</w:t>
      </w:r>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lastRenderedPageBreak/>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2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Footnotesection"/>
      </w:pPr>
      <w:r>
        <w:tab/>
        <w:t>[Section 3 amended by No. 28 of 2006 s. 244.]</w:t>
      </w:r>
    </w:p>
    <w:p>
      <w:pPr>
        <w:pStyle w:val="Heading5"/>
        <w:rPr>
          <w:snapToGrid w:val="0"/>
        </w:rPr>
      </w:pPr>
      <w:bookmarkStart w:id="22" w:name="_Toc39550472"/>
      <w:bookmarkStart w:id="23" w:name="_Toc39550558"/>
      <w:bookmarkStart w:id="24" w:name="_Toc102814305"/>
      <w:bookmarkStart w:id="25" w:name="_Toc139701951"/>
      <w:r>
        <w:rPr>
          <w:rStyle w:val="CharSectno"/>
        </w:rPr>
        <w:t>4</w:t>
      </w:r>
      <w:r>
        <w:rPr>
          <w:snapToGrid w:val="0"/>
        </w:rPr>
        <w:t>.</w:t>
      </w:r>
      <w:r>
        <w:rPr>
          <w:snapToGrid w:val="0"/>
        </w:rPr>
        <w:tab/>
        <w:t>Application</w:t>
      </w:r>
      <w:bookmarkEnd w:id="22"/>
      <w:bookmarkEnd w:id="23"/>
      <w:bookmarkEnd w:id="24"/>
      <w:bookmarkEnd w:id="25"/>
      <w:r>
        <w:rPr>
          <w:snapToGrid w:val="0"/>
        </w:rPr>
        <w:t xml:space="preserve"> </w:t>
      </w:r>
    </w:p>
    <w:p>
      <w:pPr>
        <w:pStyle w:val="Subsection"/>
        <w:spacing w:before="12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2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r>
      <w:r>
        <w:rPr>
          <w:snapToGrid w:val="0"/>
          <w:spacing w:val="-4"/>
        </w:rPr>
        <w:t xml:space="preserve">subject to section 55(1)(d) of the </w:t>
      </w:r>
      <w:r>
        <w:rPr>
          <w:i/>
          <w:snapToGrid w:val="0"/>
          <w:spacing w:val="-4"/>
        </w:rPr>
        <w:t>Dental Act 1939</w:t>
      </w:r>
      <w:r>
        <w:rPr>
          <w:snapToGrid w:val="0"/>
          <w:spacing w:val="-4"/>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26" w:name="_Toc89162130"/>
      <w:bookmarkStart w:id="27" w:name="_Toc89162530"/>
      <w:bookmarkStart w:id="28" w:name="_Toc92516972"/>
      <w:bookmarkStart w:id="29" w:name="_Toc97010044"/>
      <w:bookmarkStart w:id="30" w:name="_Toc102274116"/>
      <w:bookmarkStart w:id="31" w:name="_Toc102814306"/>
      <w:bookmarkStart w:id="32" w:name="_Toc139363597"/>
      <w:bookmarkStart w:id="33" w:name="_Toc139365532"/>
      <w:bookmarkStart w:id="34" w:name="_Toc139701952"/>
      <w:r>
        <w:rPr>
          <w:rStyle w:val="CharPartNo"/>
        </w:rPr>
        <w:t>Part II</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39550473"/>
      <w:bookmarkStart w:id="36" w:name="_Toc39550559"/>
      <w:bookmarkStart w:id="37" w:name="_Toc102814307"/>
      <w:bookmarkStart w:id="38" w:name="_Toc139701953"/>
      <w:r>
        <w:rPr>
          <w:rStyle w:val="CharSectno"/>
        </w:rPr>
        <w:t>5</w:t>
      </w:r>
      <w:r>
        <w:rPr>
          <w:snapToGrid w:val="0"/>
        </w:rPr>
        <w:t>.</w:t>
      </w:r>
      <w:r>
        <w:rPr>
          <w:snapToGrid w:val="0"/>
        </w:rPr>
        <w:tab/>
        <w:t>Dental Prosthetists Advisory Committee</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12; No. 28 of 2006 s. 245 and 247.]</w:t>
      </w:r>
    </w:p>
    <w:p>
      <w:pPr>
        <w:pStyle w:val="Heading5"/>
        <w:rPr>
          <w:snapToGrid w:val="0"/>
        </w:rPr>
      </w:pPr>
      <w:bookmarkStart w:id="39" w:name="_Toc39550474"/>
      <w:bookmarkStart w:id="40" w:name="_Toc39550560"/>
      <w:bookmarkStart w:id="41" w:name="_Toc102814308"/>
      <w:bookmarkStart w:id="42" w:name="_Toc139701954"/>
      <w:r>
        <w:rPr>
          <w:rStyle w:val="CharSectno"/>
        </w:rPr>
        <w:t>6</w:t>
      </w:r>
      <w:r>
        <w:rPr>
          <w:snapToGrid w:val="0"/>
        </w:rPr>
        <w:t>.</w:t>
      </w:r>
      <w:r>
        <w:rPr>
          <w:snapToGrid w:val="0"/>
        </w:rPr>
        <w:tab/>
        <w:t>Deputies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43" w:name="_Toc39550475"/>
      <w:bookmarkStart w:id="44" w:name="_Toc39550561"/>
      <w:bookmarkStart w:id="45" w:name="_Toc102814309"/>
      <w:bookmarkStart w:id="46" w:name="_Toc139701955"/>
      <w:r>
        <w:rPr>
          <w:rStyle w:val="CharSectno"/>
        </w:rPr>
        <w:t>7</w:t>
      </w:r>
      <w:r>
        <w:rPr>
          <w:snapToGrid w:val="0"/>
        </w:rPr>
        <w:t>.</w:t>
      </w:r>
      <w:r>
        <w:rPr>
          <w:snapToGrid w:val="0"/>
        </w:rPr>
        <w:tab/>
        <w:t>Nominations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47" w:name="_Toc39550476"/>
      <w:bookmarkStart w:id="48" w:name="_Toc39550562"/>
      <w:bookmarkStart w:id="49" w:name="_Toc102814310"/>
      <w:bookmarkStart w:id="50" w:name="_Toc139701956"/>
      <w:r>
        <w:rPr>
          <w:rStyle w:val="CharSectno"/>
        </w:rPr>
        <w:t>8</w:t>
      </w:r>
      <w:r>
        <w:rPr>
          <w:snapToGrid w:val="0"/>
        </w:rPr>
        <w:t>.</w:t>
      </w:r>
      <w:r>
        <w:rPr>
          <w:snapToGrid w:val="0"/>
        </w:rPr>
        <w:tab/>
        <w:t>Tenure of office</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rPr>
          <w:snapToGrid w:val="0"/>
        </w:rPr>
      </w:pPr>
      <w:r>
        <w:rPr>
          <w:snapToGrid w:val="0"/>
        </w:rPr>
        <w:tab/>
        <w:t>(a)</w:t>
      </w:r>
      <w:r>
        <w:rPr>
          <w:snapToGrid w:val="0"/>
        </w:rPr>
        <w:tab/>
        <w:t>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in the opinion of the Minister permanently incapable of performing the duties of his office;</w:t>
      </w:r>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Heading5"/>
        <w:rPr>
          <w:snapToGrid w:val="0"/>
        </w:rPr>
      </w:pPr>
      <w:bookmarkStart w:id="51" w:name="_Toc39550477"/>
      <w:bookmarkStart w:id="52" w:name="_Toc39550563"/>
      <w:bookmarkStart w:id="53" w:name="_Toc102814311"/>
      <w:bookmarkStart w:id="54" w:name="_Toc139701957"/>
      <w:r>
        <w:rPr>
          <w:rStyle w:val="CharSectno"/>
        </w:rPr>
        <w:t>9</w:t>
      </w:r>
      <w:r>
        <w:rPr>
          <w:snapToGrid w:val="0"/>
        </w:rPr>
        <w:t>.</w:t>
      </w:r>
      <w:r>
        <w:rPr>
          <w:snapToGrid w:val="0"/>
        </w:rPr>
        <w:tab/>
        <w:t>Remuneration and allowances</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55" w:name="_Toc39550478"/>
      <w:bookmarkStart w:id="56" w:name="_Toc39550564"/>
      <w:bookmarkStart w:id="57" w:name="_Toc102814312"/>
      <w:bookmarkStart w:id="58" w:name="_Toc139701958"/>
      <w:r>
        <w:rPr>
          <w:rStyle w:val="CharSectno"/>
        </w:rPr>
        <w:t>10</w:t>
      </w:r>
      <w:r>
        <w:rPr>
          <w:snapToGrid w:val="0"/>
        </w:rPr>
        <w:t>.</w:t>
      </w:r>
      <w:r>
        <w:rPr>
          <w:snapToGrid w:val="0"/>
        </w:rPr>
        <w:tab/>
        <w:t>Meetings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59" w:name="_Toc39550479"/>
      <w:bookmarkStart w:id="60" w:name="_Toc39550565"/>
      <w:bookmarkStart w:id="61" w:name="_Toc102814313"/>
      <w:bookmarkStart w:id="62" w:name="_Toc139701959"/>
      <w:r>
        <w:rPr>
          <w:rStyle w:val="CharSectno"/>
        </w:rPr>
        <w:t>11</w:t>
      </w:r>
      <w:r>
        <w:rPr>
          <w:snapToGrid w:val="0"/>
        </w:rPr>
        <w:t>.</w:t>
      </w:r>
      <w:r>
        <w:rPr>
          <w:snapToGrid w:val="0"/>
        </w:rPr>
        <w:tab/>
        <w:t>Saving</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63" w:name="_Toc39550480"/>
      <w:bookmarkStart w:id="64" w:name="_Toc39550566"/>
      <w:bookmarkStart w:id="65" w:name="_Toc102814314"/>
      <w:bookmarkStart w:id="66" w:name="_Toc139701960"/>
      <w:r>
        <w:rPr>
          <w:rStyle w:val="CharSectno"/>
        </w:rPr>
        <w:t>12</w:t>
      </w:r>
      <w:r>
        <w:rPr>
          <w:snapToGrid w:val="0"/>
        </w:rPr>
        <w:t>.</w:t>
      </w:r>
      <w:r>
        <w:rPr>
          <w:snapToGrid w:val="0"/>
        </w:rPr>
        <w:tab/>
        <w:t>Functions and powers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to advise the CEO in relation to applications for the issue of licences and as to other matters concerning licences; and</w:t>
      </w:r>
    </w:p>
    <w:p>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keepNext/>
        <w:rPr>
          <w:snapToGrid w:val="0"/>
        </w:rPr>
      </w:pPr>
      <w:r>
        <w:rPr>
          <w:snapToGrid w:val="0"/>
        </w:rPr>
        <w:tab/>
        <w:t>(4)</w:t>
      </w:r>
      <w:r>
        <w:rPr>
          <w:snapToGrid w:val="0"/>
        </w:rPr>
        <w:tab/>
        <w:t>The Committee may, by a summons in the prescribed form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spacing w:before="120"/>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 12 amended by No. 55 of 2004 s. 245; No. 28 of 2006 s. 247.]</w:t>
      </w:r>
    </w:p>
    <w:p>
      <w:pPr>
        <w:pStyle w:val="Heading5"/>
        <w:rPr>
          <w:snapToGrid w:val="0"/>
        </w:rPr>
      </w:pPr>
      <w:bookmarkStart w:id="67" w:name="_Toc39550481"/>
      <w:bookmarkStart w:id="68" w:name="_Toc39550567"/>
      <w:bookmarkStart w:id="69" w:name="_Toc102814315"/>
      <w:bookmarkStart w:id="70" w:name="_Toc139701961"/>
      <w:r>
        <w:rPr>
          <w:rStyle w:val="CharSectno"/>
        </w:rPr>
        <w:t>13</w:t>
      </w:r>
      <w:r>
        <w:rPr>
          <w:snapToGrid w:val="0"/>
        </w:rPr>
        <w:t>.</w:t>
      </w:r>
      <w:r>
        <w:rPr>
          <w:snapToGrid w:val="0"/>
        </w:rPr>
        <w:tab/>
        <w:t>Subcommittees</w:t>
      </w:r>
      <w:bookmarkEnd w:id="67"/>
      <w:bookmarkEnd w:id="68"/>
      <w:bookmarkEnd w:id="69"/>
      <w:bookmarkEnd w:id="70"/>
      <w:r>
        <w:rPr>
          <w:snapToGrid w:val="0"/>
        </w:rPr>
        <w:t xml:space="preserve"> </w:t>
      </w:r>
    </w:p>
    <w:p>
      <w:pPr>
        <w:pStyle w:val="Subsection"/>
        <w:spacing w:before="120"/>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pPr>
        <w:pStyle w:val="Subsection"/>
        <w:spacing w:before="120"/>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pPr>
        <w:pStyle w:val="Footnotesection"/>
      </w:pPr>
      <w:r>
        <w:tab/>
        <w:t>[Section 13 amended by No. 28 of 2006 s. 247.]</w:t>
      </w:r>
    </w:p>
    <w:p>
      <w:pPr>
        <w:pStyle w:val="Heading5"/>
        <w:rPr>
          <w:snapToGrid w:val="0"/>
        </w:rPr>
      </w:pPr>
      <w:bookmarkStart w:id="71" w:name="_Toc39550482"/>
      <w:bookmarkStart w:id="72" w:name="_Toc39550568"/>
      <w:bookmarkStart w:id="73" w:name="_Toc102814316"/>
      <w:bookmarkStart w:id="74" w:name="_Toc139701962"/>
      <w:r>
        <w:rPr>
          <w:rStyle w:val="CharSectno"/>
        </w:rPr>
        <w:t>14</w:t>
      </w:r>
      <w:r>
        <w:rPr>
          <w:snapToGrid w:val="0"/>
        </w:rPr>
        <w:t>.</w:t>
      </w:r>
      <w:r>
        <w:rPr>
          <w:snapToGrid w:val="0"/>
        </w:rPr>
        <w:tab/>
        <w:t>Delegation</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pPr>
        <w:pStyle w:val="Footnotesection"/>
      </w:pPr>
      <w:r>
        <w:tab/>
        <w:t>[Section 14 amended by No. 28 of 2006 s. 247.]</w:t>
      </w:r>
    </w:p>
    <w:p>
      <w:pPr>
        <w:pStyle w:val="Heading5"/>
        <w:rPr>
          <w:snapToGrid w:val="0"/>
        </w:rPr>
      </w:pPr>
      <w:bookmarkStart w:id="75" w:name="_Toc39550483"/>
      <w:bookmarkStart w:id="76" w:name="_Toc39550569"/>
      <w:bookmarkStart w:id="77" w:name="_Toc102814317"/>
      <w:bookmarkStart w:id="78" w:name="_Toc139701963"/>
      <w:r>
        <w:rPr>
          <w:rStyle w:val="CharSectno"/>
        </w:rPr>
        <w:t>15</w:t>
      </w:r>
      <w:r>
        <w:rPr>
          <w:snapToGrid w:val="0"/>
        </w:rPr>
        <w:t>.</w:t>
      </w:r>
      <w:r>
        <w:rPr>
          <w:snapToGrid w:val="0"/>
        </w:rPr>
        <w:tab/>
        <w:t>Directions and references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pPr>
        <w:pStyle w:val="Footnotesection"/>
      </w:pPr>
      <w:r>
        <w:tab/>
        <w:t>[Section 15 amended by No. 28 of 2006 s. 247.]</w:t>
      </w:r>
    </w:p>
    <w:p>
      <w:pPr>
        <w:pStyle w:val="Heading2"/>
      </w:pPr>
      <w:bookmarkStart w:id="79" w:name="_Toc89162142"/>
      <w:bookmarkStart w:id="80" w:name="_Toc89162542"/>
      <w:bookmarkStart w:id="81" w:name="_Toc92516984"/>
      <w:bookmarkStart w:id="82" w:name="_Toc97010056"/>
      <w:bookmarkStart w:id="83" w:name="_Toc102274128"/>
      <w:bookmarkStart w:id="84" w:name="_Toc102814318"/>
      <w:bookmarkStart w:id="85" w:name="_Toc139363609"/>
      <w:bookmarkStart w:id="86" w:name="_Toc139365544"/>
      <w:bookmarkStart w:id="87" w:name="_Toc139701964"/>
      <w:r>
        <w:rPr>
          <w:rStyle w:val="CharPartNo"/>
        </w:rPr>
        <w:t>Part III</w:t>
      </w:r>
      <w:r>
        <w:rPr>
          <w:rStyle w:val="CharDivNo"/>
        </w:rPr>
        <w:t> </w:t>
      </w:r>
      <w:r>
        <w:t>—</w:t>
      </w:r>
      <w:r>
        <w:rPr>
          <w:rStyle w:val="CharDivText"/>
        </w:rPr>
        <w:t> </w:t>
      </w:r>
      <w:r>
        <w:rPr>
          <w:rStyle w:val="CharPartText"/>
        </w:rPr>
        <w:t>Practice of dental prosthetics</w:t>
      </w:r>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39550484"/>
      <w:bookmarkStart w:id="89" w:name="_Toc39550570"/>
      <w:bookmarkStart w:id="90" w:name="_Toc102814319"/>
      <w:bookmarkStart w:id="91" w:name="_Toc139701965"/>
      <w:r>
        <w:rPr>
          <w:rStyle w:val="CharSectno"/>
        </w:rPr>
        <w:t>16</w:t>
      </w:r>
      <w:r>
        <w:rPr>
          <w:snapToGrid w:val="0"/>
        </w:rPr>
        <w:t>.</w:t>
      </w:r>
      <w:r>
        <w:rPr>
          <w:snapToGrid w:val="0"/>
        </w:rPr>
        <w:tab/>
        <w:t>Licensed persons may practise dental prosthetics</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rPr>
          <w:snapToGrid w:val="0"/>
        </w:rPr>
      </w:pPr>
      <w:bookmarkStart w:id="92" w:name="_Toc39550485"/>
      <w:bookmarkStart w:id="93" w:name="_Toc39550571"/>
      <w:bookmarkStart w:id="94" w:name="_Toc102814320"/>
      <w:bookmarkStart w:id="95" w:name="_Toc139701966"/>
      <w:r>
        <w:rPr>
          <w:rStyle w:val="CharSectno"/>
        </w:rPr>
        <w:t>17</w:t>
      </w:r>
      <w:r>
        <w:rPr>
          <w:snapToGrid w:val="0"/>
        </w:rPr>
        <w:t>.</w:t>
      </w:r>
      <w:r>
        <w:rPr>
          <w:snapToGrid w:val="0"/>
        </w:rPr>
        <w:tab/>
        <w:t>Application for licence</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pPr>
        <w:pStyle w:val="Footnotesection"/>
      </w:pPr>
      <w:r>
        <w:tab/>
        <w:t>[Section 17 amended by No. 28 of 2006 s. 247.]</w:t>
      </w:r>
    </w:p>
    <w:p>
      <w:pPr>
        <w:pStyle w:val="Heading5"/>
        <w:rPr>
          <w:snapToGrid w:val="0"/>
        </w:rPr>
      </w:pPr>
      <w:bookmarkStart w:id="96" w:name="_Toc39550486"/>
      <w:bookmarkStart w:id="97" w:name="_Toc39550572"/>
      <w:bookmarkStart w:id="98" w:name="_Toc102814321"/>
      <w:bookmarkStart w:id="99" w:name="_Toc139701967"/>
      <w:r>
        <w:rPr>
          <w:rStyle w:val="CharSectno"/>
        </w:rPr>
        <w:t>18</w:t>
      </w:r>
      <w:r>
        <w:rPr>
          <w:snapToGrid w:val="0"/>
        </w:rPr>
        <w:t>.</w:t>
      </w:r>
      <w:r>
        <w:rPr>
          <w:snapToGrid w:val="0"/>
        </w:rPr>
        <w:tab/>
        <w:t>Issue of licence</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pPr>
        <w:pStyle w:val="Subsection"/>
        <w:rPr>
          <w:snapToGrid w:val="0"/>
        </w:rPr>
      </w:pPr>
      <w:r>
        <w:rPr>
          <w:snapToGrid w:val="0"/>
        </w:rPr>
        <w:tab/>
      </w:r>
      <w:r>
        <w:rPr>
          <w:snapToGrid w:val="0"/>
        </w:rPr>
        <w:tab/>
        <w:t xml:space="preserve">the </w:t>
      </w:r>
      <w:r>
        <w:t xml:space="preserve">CEO </w:t>
      </w:r>
      <w:r>
        <w:rPr>
          <w:snapToGrid w:val="0"/>
        </w:rPr>
        <w:t>shall issue to the applicant a licence in the prescribed form.</w:t>
      </w:r>
    </w:p>
    <w:p>
      <w:pPr>
        <w:pStyle w:val="Subsection"/>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4</w:t>
      </w:r>
      <w:r>
        <w:rPr>
          <w:snapToGrid w:val="0"/>
        </w:rPr>
        <w:t xml:space="preserve"> established under the </w:t>
      </w:r>
      <w:r>
        <w:rPr>
          <w:i/>
          <w:snapToGrid w:val="0"/>
        </w:rPr>
        <w:t>Public Sector Management Act 1994 </w:t>
      </w:r>
      <w:r>
        <w:rPr>
          <w:snapToGrid w:val="0"/>
          <w:vertAlign w:val="superscript"/>
        </w:rPr>
        <w:t>5</w:t>
      </w:r>
      <w:r>
        <w:rPr>
          <w:snapToGrid w:val="0"/>
        </w:rPr>
        <w:t>, and performs to the satisfaction of that person in that assessment.</w:t>
      </w:r>
    </w:p>
    <w:p>
      <w:pPr>
        <w:pStyle w:val="Footnotesection"/>
      </w:pPr>
      <w:r>
        <w:tab/>
        <w:t>[Section 18 amended by No. 28 of 2006 s. 247.]</w:t>
      </w:r>
    </w:p>
    <w:p>
      <w:pPr>
        <w:pStyle w:val="Heading5"/>
        <w:rPr>
          <w:snapToGrid w:val="0"/>
        </w:rPr>
      </w:pPr>
      <w:bookmarkStart w:id="100" w:name="_Toc39550487"/>
      <w:bookmarkStart w:id="101" w:name="_Toc39550573"/>
      <w:bookmarkStart w:id="102" w:name="_Toc102814322"/>
      <w:bookmarkStart w:id="103" w:name="_Toc139701968"/>
      <w:r>
        <w:rPr>
          <w:rStyle w:val="CharSectno"/>
        </w:rPr>
        <w:t>19</w:t>
      </w:r>
      <w:r>
        <w:rPr>
          <w:snapToGrid w:val="0"/>
        </w:rPr>
        <w:t>.</w:t>
      </w:r>
      <w:r>
        <w:rPr>
          <w:snapToGrid w:val="0"/>
        </w:rPr>
        <w:tab/>
        <w:t>Effect of licence</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pPr>
      <w:bookmarkStart w:id="104" w:name="_Toc102814323"/>
      <w:bookmarkStart w:id="105" w:name="_Toc139701969"/>
      <w:bookmarkStart w:id="106" w:name="_Toc39550488"/>
      <w:bookmarkStart w:id="107" w:name="_Toc39550574"/>
      <w:r>
        <w:rPr>
          <w:rStyle w:val="CharSectno"/>
        </w:rPr>
        <w:t>19A</w:t>
      </w:r>
      <w:r>
        <w:t>.</w:t>
      </w:r>
      <w:r>
        <w:tab/>
        <w:t>Investigator</w:t>
      </w:r>
      <w:bookmarkEnd w:id="104"/>
      <w:bookmarkEnd w:id="105"/>
    </w:p>
    <w:p>
      <w:pPr>
        <w:pStyle w:val="Subsection"/>
      </w:pPr>
      <w:r>
        <w:tab/>
        <w:t>(1)</w:t>
      </w:r>
      <w:r>
        <w:tab/>
        <w:t xml:space="preserve">The CEO may appoint a person to investigate — </w:t>
      </w:r>
    </w:p>
    <w:p>
      <w:pPr>
        <w:pStyle w:val="Indenta"/>
      </w:pPr>
      <w:r>
        <w:tab/>
        <w:t>(a)</w:t>
      </w:r>
      <w:r>
        <w:tab/>
        <w:t>a complaint in relation to a dental prosthetist; or</w:t>
      </w:r>
    </w:p>
    <w:p>
      <w:pPr>
        <w:pStyle w:val="Indenta"/>
      </w:pPr>
      <w:r>
        <w:tab/>
        <w:t>(b)</w:t>
      </w:r>
      <w:r>
        <w:tab/>
      </w:r>
      <w:r>
        <w:rPr>
          <w:snapToGrid w:val="0"/>
        </w:rPr>
        <w:t xml:space="preserve">any other matter relevant to the </w:t>
      </w:r>
      <w:r>
        <w:t xml:space="preserve">CEO’s </w:t>
      </w:r>
      <w:r>
        <w:rPr>
          <w:snapToGrid w:val="0"/>
        </w:rPr>
        <w:t>functions</w:t>
      </w:r>
      <w:r>
        <w:t>,</w:t>
      </w:r>
    </w:p>
    <w:p>
      <w:pPr>
        <w:pStyle w:val="Subsection"/>
      </w:pPr>
      <w:r>
        <w:tab/>
      </w:r>
      <w:r>
        <w:tab/>
        <w:t>and report to the CEO.</w:t>
      </w:r>
    </w:p>
    <w:p>
      <w:pPr>
        <w:pStyle w:val="Subsection"/>
      </w:pPr>
      <w:r>
        <w:tab/>
        <w:t>(2)</w:t>
      </w:r>
      <w:r>
        <w:tab/>
        <w:t>The CEO is to issue to each investigator the CEO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19A inserted by No. 55 of 2004 s. 246; amended by No. 28 of 2006 s. 246 and 247.]</w:t>
      </w:r>
    </w:p>
    <w:p>
      <w:pPr>
        <w:pStyle w:val="Heading5"/>
      </w:pPr>
      <w:bookmarkStart w:id="108" w:name="_Toc102814324"/>
      <w:bookmarkStart w:id="109" w:name="_Toc139701970"/>
      <w:r>
        <w:rPr>
          <w:rStyle w:val="CharSectno"/>
        </w:rPr>
        <w:t>19B</w:t>
      </w:r>
      <w:r>
        <w:t>.</w:t>
      </w:r>
      <w:r>
        <w:tab/>
        <w:t>Report of investigator</w:t>
      </w:r>
      <w:bookmarkEnd w:id="108"/>
      <w:bookmarkEnd w:id="109"/>
      <w:r>
        <w:t xml:space="preserve"> </w:t>
      </w:r>
    </w:p>
    <w:p>
      <w:pPr>
        <w:pStyle w:val="Subsection"/>
      </w:pPr>
      <w:r>
        <w:tab/>
        <w:t>(1)</w:t>
      </w:r>
      <w:r>
        <w:tab/>
        <w:t xml:space="preserve">An investigator must — </w:t>
      </w:r>
    </w:p>
    <w:p>
      <w:pPr>
        <w:pStyle w:val="Indenta"/>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pPr>
        <w:pStyle w:val="Subsection"/>
      </w:pPr>
      <w:r>
        <w:tab/>
        <w:t>(2)</w:t>
      </w:r>
      <w:r>
        <w:tab/>
        <w:t>The investigator must return his certificate of appointment at the time the CEO is provided with a copy of the report.</w:t>
      </w:r>
    </w:p>
    <w:p>
      <w:pPr>
        <w:pStyle w:val="Footnotesection"/>
      </w:pPr>
      <w:r>
        <w:tab/>
        <w:t>[Section 19B inserted by No. 55 of 2004 s. 246; amended by No. 28 of 2006 s. 247.]</w:t>
      </w:r>
    </w:p>
    <w:p>
      <w:pPr>
        <w:pStyle w:val="Heading5"/>
      </w:pPr>
      <w:bookmarkStart w:id="110" w:name="_Toc102814325"/>
      <w:bookmarkStart w:id="111" w:name="_Toc139701971"/>
      <w:r>
        <w:rPr>
          <w:rStyle w:val="CharSectno"/>
        </w:rPr>
        <w:t>19C</w:t>
      </w:r>
      <w:r>
        <w:t>.</w:t>
      </w:r>
      <w:r>
        <w:tab/>
        <w:t>Powers of investigator</w:t>
      </w:r>
      <w:bookmarkEnd w:id="110"/>
      <w:bookmarkEnd w:id="111"/>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 19C inserted by No. 55 of 2004 s. 246.]</w:t>
      </w:r>
    </w:p>
    <w:p>
      <w:pPr>
        <w:pStyle w:val="Heading5"/>
      </w:pPr>
      <w:bookmarkStart w:id="112" w:name="_Toc102814326"/>
      <w:bookmarkStart w:id="113" w:name="_Toc139701972"/>
      <w:r>
        <w:rPr>
          <w:rStyle w:val="CharSectno"/>
        </w:rPr>
        <w:t>19D</w:t>
      </w:r>
      <w:r>
        <w:t>.</w:t>
      </w:r>
      <w:r>
        <w:tab/>
        <w:t>Warrant to enter premises</w:t>
      </w:r>
      <w:bookmarkEnd w:id="112"/>
      <w:bookmarkEnd w:id="113"/>
      <w:r>
        <w:t xml:space="preserve"> </w:t>
      </w:r>
    </w:p>
    <w:p>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19D inserted by No. 55 of 2004 s. 246; amended by No. 28 of 2006 s. 247.]</w:t>
      </w:r>
    </w:p>
    <w:p>
      <w:pPr>
        <w:pStyle w:val="Heading5"/>
      </w:pPr>
      <w:bookmarkStart w:id="114" w:name="_Toc102814327"/>
      <w:bookmarkStart w:id="115" w:name="_Toc139701973"/>
      <w:r>
        <w:rPr>
          <w:rStyle w:val="CharSectno"/>
        </w:rPr>
        <w:t>19E</w:t>
      </w:r>
      <w:r>
        <w:t>.</w:t>
      </w:r>
      <w:r>
        <w:tab/>
        <w:t>Issue of warrant</w:t>
      </w:r>
      <w:bookmarkEnd w:id="114"/>
      <w:bookmarkEnd w:id="115"/>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19E inserted by No. 55 of 2004 s. 246.]</w:t>
      </w:r>
    </w:p>
    <w:p>
      <w:pPr>
        <w:pStyle w:val="Heading5"/>
      </w:pPr>
      <w:bookmarkStart w:id="116" w:name="_Toc102814328"/>
      <w:bookmarkStart w:id="117" w:name="_Toc139701974"/>
      <w:r>
        <w:rPr>
          <w:rStyle w:val="CharSectno"/>
        </w:rPr>
        <w:t>19F</w:t>
      </w:r>
      <w:r>
        <w:t>.</w:t>
      </w:r>
      <w:r>
        <w:tab/>
        <w:t>Execution of warrant</w:t>
      </w:r>
      <w:bookmarkEnd w:id="116"/>
      <w:bookmarkEnd w:id="117"/>
      <w:r>
        <w:t xml:space="preserve"> </w:t>
      </w:r>
    </w:p>
    <w:p>
      <w:pPr>
        <w:pStyle w:val="Subsection"/>
      </w:pPr>
      <w:r>
        <w:tab/>
        <w:t>(1)</w:t>
      </w:r>
      <w:r>
        <w:tab/>
        <w:t>If asked by the occupier or a person in charge of the premises, the person executing a warrant must produce it for inspection.</w:t>
      </w:r>
    </w:p>
    <w:p>
      <w:pPr>
        <w:pStyle w:val="Subsection"/>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 19F inserted by No. 55 of 2004 s. 246.]</w:t>
      </w:r>
    </w:p>
    <w:p>
      <w:pPr>
        <w:pStyle w:val="Heading5"/>
      </w:pPr>
      <w:bookmarkStart w:id="118" w:name="_Toc102814329"/>
      <w:bookmarkStart w:id="119" w:name="_Toc139701975"/>
      <w:r>
        <w:rPr>
          <w:rStyle w:val="CharSectno"/>
        </w:rPr>
        <w:t>19G</w:t>
      </w:r>
      <w:r>
        <w:t>.</w:t>
      </w:r>
      <w:r>
        <w:tab/>
        <w:t>Incriminating information, questions, or documents</w:t>
      </w:r>
      <w:bookmarkEnd w:id="118"/>
      <w:bookmarkEnd w:id="119"/>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pPr>
      <w:r>
        <w:tab/>
        <w:t>[Section 19G inserted by No. 55 of 2004 s. 246.]</w:t>
      </w:r>
    </w:p>
    <w:p>
      <w:pPr>
        <w:pStyle w:val="Heading5"/>
      </w:pPr>
      <w:bookmarkStart w:id="120" w:name="_Toc102814330"/>
      <w:bookmarkStart w:id="121" w:name="_Toc139701976"/>
      <w:r>
        <w:rPr>
          <w:rStyle w:val="CharSectno"/>
        </w:rPr>
        <w:t>19H</w:t>
      </w:r>
      <w:r>
        <w:t>.</w:t>
      </w:r>
      <w:r>
        <w:tab/>
        <w:t>Failure to comply with investigation</w:t>
      </w:r>
      <w:bookmarkEnd w:id="120"/>
      <w:bookmarkEnd w:id="121"/>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19H inserted by No. 55 of 2004 s. 246.]</w:t>
      </w:r>
    </w:p>
    <w:p>
      <w:pPr>
        <w:pStyle w:val="Heading5"/>
      </w:pPr>
      <w:bookmarkStart w:id="122" w:name="_Toc102814331"/>
      <w:bookmarkStart w:id="123" w:name="_Toc139701977"/>
      <w:r>
        <w:rPr>
          <w:rStyle w:val="CharSectno"/>
        </w:rPr>
        <w:t>19I</w:t>
      </w:r>
      <w:r>
        <w:t>.</w:t>
      </w:r>
      <w:r>
        <w:tab/>
        <w:t>Obstruction of investigator</w:t>
      </w:r>
      <w:bookmarkEnd w:id="122"/>
      <w:bookmarkEnd w:id="123"/>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 19I inserted by No. 55 of 2004 s. 246.]</w:t>
      </w:r>
    </w:p>
    <w:p>
      <w:pPr>
        <w:pStyle w:val="Heading5"/>
        <w:rPr>
          <w:snapToGrid w:val="0"/>
        </w:rPr>
      </w:pPr>
      <w:bookmarkStart w:id="124" w:name="_Toc102814332"/>
      <w:bookmarkStart w:id="125" w:name="_Toc139701978"/>
      <w:r>
        <w:rPr>
          <w:rStyle w:val="CharSectno"/>
        </w:rPr>
        <w:t>20</w:t>
      </w:r>
      <w:r>
        <w:rPr>
          <w:snapToGrid w:val="0"/>
        </w:rPr>
        <w:t>.</w:t>
      </w:r>
      <w:r>
        <w:rPr>
          <w:snapToGrid w:val="0"/>
        </w:rPr>
        <w:tab/>
        <w:t>Revocation of licence and cancellation of endorsement</w:t>
      </w:r>
      <w:bookmarkEnd w:id="106"/>
      <w:bookmarkEnd w:id="107"/>
      <w:bookmarkEnd w:id="124"/>
      <w:bookmarkEnd w:id="125"/>
      <w:r>
        <w:rPr>
          <w:snapToGrid w:val="0"/>
        </w:rPr>
        <w:t xml:space="preserve"> </w:t>
      </w:r>
    </w:p>
    <w:p>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bookmarkStart w:id="126" w:name="_Toc39550489"/>
      <w:bookmarkStart w:id="127"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pPr>
        <w:pStyle w:val="Footnotesection"/>
      </w:pPr>
      <w:r>
        <w:tab/>
        <w:t>[Section 20 amended by No. 55 of 2004 s. 247; No. 28 of 2006 s. 247.]</w:t>
      </w:r>
    </w:p>
    <w:p>
      <w:pPr>
        <w:pStyle w:val="Heading5"/>
        <w:rPr>
          <w:snapToGrid w:val="0"/>
        </w:rPr>
      </w:pPr>
      <w:bookmarkStart w:id="128" w:name="_Toc102814333"/>
      <w:bookmarkStart w:id="129" w:name="_Toc139701979"/>
      <w:r>
        <w:rPr>
          <w:rStyle w:val="CharSectno"/>
        </w:rPr>
        <w:t>21</w:t>
      </w:r>
      <w:r>
        <w:rPr>
          <w:snapToGrid w:val="0"/>
        </w:rPr>
        <w:t>.</w:t>
      </w:r>
      <w:r>
        <w:rPr>
          <w:snapToGrid w:val="0"/>
        </w:rPr>
        <w:tab/>
        <w:t>Suspension of licence or endorsement</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bookmarkStart w:id="130" w:name="_Toc39550490"/>
      <w:bookmarkStart w:id="131" w:name="_Toc39550576"/>
      <w:r>
        <w:tab/>
        <w:t>[Section 21 amended by No. 55 of 2004 s. 248.]</w:t>
      </w:r>
    </w:p>
    <w:p>
      <w:pPr>
        <w:pStyle w:val="Heading5"/>
        <w:rPr>
          <w:snapToGrid w:val="0"/>
        </w:rPr>
      </w:pPr>
      <w:bookmarkStart w:id="132" w:name="_Toc102814334"/>
      <w:bookmarkStart w:id="133" w:name="_Toc139701980"/>
      <w:bookmarkStart w:id="134" w:name="_Toc89162150"/>
      <w:bookmarkStart w:id="135" w:name="_Toc89162550"/>
      <w:bookmarkEnd w:id="130"/>
      <w:bookmarkEnd w:id="131"/>
      <w:r>
        <w:rPr>
          <w:rStyle w:val="CharSectno"/>
        </w:rPr>
        <w:t>22</w:t>
      </w:r>
      <w:r>
        <w:rPr>
          <w:snapToGrid w:val="0"/>
        </w:rPr>
        <w:t>.</w:t>
      </w:r>
      <w:r>
        <w:rPr>
          <w:snapToGrid w:val="0"/>
        </w:rPr>
        <w:tab/>
        <w:t>Review</w:t>
      </w:r>
      <w:bookmarkEnd w:id="132"/>
      <w:bookmarkEnd w:id="133"/>
    </w:p>
    <w:p>
      <w:pPr>
        <w:pStyle w:val="Subsection"/>
        <w:rPr>
          <w:snapToGrid w:val="0"/>
        </w:rPr>
      </w:pPr>
      <w:r>
        <w:rPr>
          <w:snapToGrid w:val="0"/>
        </w:rPr>
        <w:tab/>
        <w:t>(1)</w:t>
      </w:r>
      <w:r>
        <w:rPr>
          <w:snapToGrid w:val="0"/>
        </w:rPr>
        <w:tab/>
        <w:t xml:space="preserve">Where the </w:t>
      </w:r>
      <w:r>
        <w:t xml:space="preserve">CEO </w:t>
      </w:r>
      <w:r>
        <w:rPr>
          <w:snapToGrid w:val="0"/>
        </w:rPr>
        <w:t>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 22 inserted by No. 55 of 2004 s. 249; amended by No. 28 of 2006 s. 247.]</w:t>
      </w:r>
    </w:p>
    <w:p>
      <w:pPr>
        <w:pStyle w:val="Heading2"/>
      </w:pPr>
      <w:bookmarkStart w:id="136" w:name="_Toc92517001"/>
      <w:bookmarkStart w:id="137" w:name="_Toc97010073"/>
      <w:bookmarkStart w:id="138" w:name="_Toc102274145"/>
      <w:bookmarkStart w:id="139" w:name="_Toc102814335"/>
      <w:bookmarkStart w:id="140" w:name="_Toc139363626"/>
      <w:bookmarkStart w:id="141" w:name="_Toc139365561"/>
      <w:bookmarkStart w:id="142" w:name="_Toc139701981"/>
      <w:r>
        <w:rPr>
          <w:rStyle w:val="CharPartNo"/>
        </w:rPr>
        <w:t>Part IV</w:t>
      </w:r>
      <w:r>
        <w:rPr>
          <w:rStyle w:val="CharDivNo"/>
        </w:rPr>
        <w:t> </w:t>
      </w:r>
      <w:r>
        <w:t>—</w:t>
      </w:r>
      <w:r>
        <w:rPr>
          <w:rStyle w:val="CharDivText"/>
        </w:rPr>
        <w:t> </w:t>
      </w:r>
      <w:r>
        <w:rPr>
          <w:rStyle w:val="CharPartText"/>
        </w:rPr>
        <w:t>General</w:t>
      </w:r>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39550491"/>
      <w:bookmarkStart w:id="144" w:name="_Toc39550577"/>
      <w:bookmarkStart w:id="145" w:name="_Toc102814336"/>
      <w:bookmarkStart w:id="146" w:name="_Toc139701982"/>
      <w:r>
        <w:rPr>
          <w:rStyle w:val="CharSectno"/>
        </w:rPr>
        <w:t>23</w:t>
      </w:r>
      <w:r>
        <w:rPr>
          <w:snapToGrid w:val="0"/>
        </w:rPr>
        <w:t>.</w:t>
      </w:r>
      <w:r>
        <w:rPr>
          <w:snapToGrid w:val="0"/>
        </w:rPr>
        <w:tab/>
        <w:t>Records to be kept</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Footnotesection"/>
      </w:pPr>
      <w:r>
        <w:tab/>
        <w:t>[Section 23 amended by No. 28 of 2006 s. 247.]</w:t>
      </w:r>
    </w:p>
    <w:p>
      <w:pPr>
        <w:pStyle w:val="Heading5"/>
        <w:rPr>
          <w:snapToGrid w:val="0"/>
        </w:rPr>
      </w:pPr>
      <w:bookmarkStart w:id="147" w:name="_Toc39550492"/>
      <w:bookmarkStart w:id="148" w:name="_Toc39550578"/>
      <w:bookmarkStart w:id="149" w:name="_Toc102814337"/>
      <w:bookmarkStart w:id="150" w:name="_Toc139701983"/>
      <w:r>
        <w:rPr>
          <w:rStyle w:val="CharSectno"/>
        </w:rPr>
        <w:t>24</w:t>
      </w:r>
      <w:r>
        <w:rPr>
          <w:snapToGrid w:val="0"/>
        </w:rPr>
        <w:t>.</w:t>
      </w:r>
      <w:r>
        <w:rPr>
          <w:snapToGrid w:val="0"/>
        </w:rPr>
        <w:tab/>
        <w:t>Offences as to licensing</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24 amended by No. 28 of 2006 s. 247.]</w:t>
      </w:r>
    </w:p>
    <w:p>
      <w:pPr>
        <w:pStyle w:val="Heading5"/>
        <w:rPr>
          <w:snapToGrid w:val="0"/>
        </w:rPr>
      </w:pPr>
      <w:bookmarkStart w:id="151" w:name="_Toc39550493"/>
      <w:bookmarkStart w:id="152" w:name="_Toc39550579"/>
      <w:bookmarkStart w:id="153" w:name="_Toc102814338"/>
      <w:bookmarkStart w:id="154" w:name="_Toc139701984"/>
      <w:r>
        <w:rPr>
          <w:rStyle w:val="CharSectno"/>
        </w:rPr>
        <w:t>25</w:t>
      </w:r>
      <w:r>
        <w:rPr>
          <w:snapToGrid w:val="0"/>
        </w:rPr>
        <w:t>.</w:t>
      </w:r>
      <w:r>
        <w:rPr>
          <w:snapToGrid w:val="0"/>
        </w:rPr>
        <w:tab/>
        <w:t>Offences relating to the practice of dental prosthetics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155" w:name="_Toc39550494"/>
      <w:bookmarkStart w:id="156" w:name="_Toc39550580"/>
      <w:bookmarkStart w:id="157" w:name="_Toc102814339"/>
      <w:bookmarkStart w:id="158" w:name="_Toc139701985"/>
      <w:r>
        <w:rPr>
          <w:rStyle w:val="CharSectno"/>
        </w:rPr>
        <w:t>26</w:t>
      </w:r>
      <w:r>
        <w:rPr>
          <w:snapToGrid w:val="0"/>
        </w:rPr>
        <w:t>.</w:t>
      </w:r>
      <w:r>
        <w:rPr>
          <w:snapToGrid w:val="0"/>
        </w:rPr>
        <w:tab/>
        <w:t>Notice of business name</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pPr>
        <w:pStyle w:val="Penstart"/>
        <w:rPr>
          <w:snapToGrid w:val="0"/>
        </w:rPr>
      </w:pPr>
      <w:r>
        <w:rPr>
          <w:snapToGrid w:val="0"/>
        </w:rPr>
        <w:tab/>
        <w:t>Penalty: $100.</w:t>
      </w:r>
    </w:p>
    <w:p>
      <w:pPr>
        <w:pStyle w:val="Footnotesection"/>
      </w:pPr>
      <w:r>
        <w:tab/>
        <w:t>[Section 26 amended by No. 28 of 2006 s. 247.]</w:t>
      </w:r>
    </w:p>
    <w:p>
      <w:pPr>
        <w:pStyle w:val="Heading5"/>
        <w:rPr>
          <w:snapToGrid w:val="0"/>
        </w:rPr>
      </w:pPr>
      <w:bookmarkStart w:id="159" w:name="_Toc39550495"/>
      <w:bookmarkStart w:id="160" w:name="_Toc39550581"/>
      <w:bookmarkStart w:id="161" w:name="_Toc102814340"/>
      <w:bookmarkStart w:id="162" w:name="_Toc139701986"/>
      <w:r>
        <w:rPr>
          <w:rStyle w:val="CharSectno"/>
        </w:rPr>
        <w:t>27</w:t>
      </w:r>
      <w:r>
        <w:rPr>
          <w:snapToGrid w:val="0"/>
        </w:rPr>
        <w:t>.</w:t>
      </w:r>
      <w:r>
        <w:rPr>
          <w:snapToGrid w:val="0"/>
        </w:rPr>
        <w:tab/>
        <w:t>Legal proceedings</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27 amended by No. 59 of 2004 s. 141; No. 84 of 2004 s. 80 and 82; No. 28 of 2006 s. 247.] </w:t>
      </w:r>
    </w:p>
    <w:p>
      <w:pPr>
        <w:pStyle w:val="Heading5"/>
        <w:rPr>
          <w:snapToGrid w:val="0"/>
        </w:rPr>
      </w:pPr>
      <w:bookmarkStart w:id="163" w:name="_Toc39550496"/>
      <w:bookmarkStart w:id="164" w:name="_Toc39550582"/>
      <w:bookmarkStart w:id="165" w:name="_Toc102814341"/>
      <w:bookmarkStart w:id="166" w:name="_Toc139701987"/>
      <w:r>
        <w:rPr>
          <w:rStyle w:val="CharSectno"/>
        </w:rPr>
        <w:t>28</w:t>
      </w:r>
      <w:r>
        <w:rPr>
          <w:snapToGrid w:val="0"/>
        </w:rPr>
        <w:t>.</w:t>
      </w:r>
      <w:r>
        <w:rPr>
          <w:snapToGrid w:val="0"/>
        </w:rPr>
        <w:tab/>
        <w:t>Publication</w:t>
      </w:r>
      <w:bookmarkEnd w:id="163"/>
      <w:bookmarkEnd w:id="164"/>
      <w:bookmarkEnd w:id="165"/>
      <w:bookmarkEnd w:id="166"/>
    </w:p>
    <w:p>
      <w:pPr>
        <w:pStyle w:val="Subsection"/>
        <w:rPr>
          <w:snapToGrid w:val="0"/>
        </w:rPr>
      </w:pPr>
      <w:r>
        <w:rPr>
          <w:snapToGrid w:val="0"/>
        </w:rPr>
        <w:tab/>
        <w:t>(1)</w:t>
      </w:r>
      <w:r>
        <w:rPr>
          <w:snapToGrid w:val="0"/>
        </w:rPr>
        <w:tab/>
        <w:t>Without limiting the operation of section 30, no action, claim or demand lies against — </w:t>
      </w:r>
    </w:p>
    <w:p>
      <w:pPr>
        <w:pStyle w:val="Indenta"/>
        <w:rPr>
          <w:snapToGrid w:val="0"/>
        </w:rPr>
      </w:pPr>
      <w:r>
        <w:rPr>
          <w:snapToGrid w:val="0"/>
        </w:rPr>
        <w:tab/>
        <w:t>(a)</w:t>
      </w:r>
      <w:r>
        <w:rPr>
          <w:snapToGrid w:val="0"/>
        </w:rPr>
        <w:tab/>
        <w:t>the proprietor, editor, printer or publisher of any newspaper, journal or periodical; or</w:t>
      </w:r>
    </w:p>
    <w:p>
      <w:pPr>
        <w:pStyle w:val="Indenta"/>
        <w:rPr>
          <w:snapToGrid w:val="0"/>
        </w:rPr>
      </w:pPr>
      <w:r>
        <w:rPr>
          <w:snapToGrid w:val="0"/>
        </w:rPr>
        <w:tab/>
        <w:t>(b)</w:t>
      </w:r>
      <w:r>
        <w:rPr>
          <w:snapToGrid w:val="0"/>
        </w:rPr>
        <w:tab/>
        <w:t>the</w:t>
      </w:r>
      <w:r>
        <w:t xml:space="preserve"> CEO</w:t>
      </w:r>
      <w:r>
        <w:rPr>
          <w:snapToGrid w:val="0"/>
        </w:rPr>
        <w:t>, any member of the Committee or a subcommittee, or any other person,</w:t>
      </w:r>
    </w:p>
    <w:p>
      <w:pPr>
        <w:pStyle w:val="Subsection"/>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pPr>
        <w:pStyle w:val="Indenta"/>
        <w:rPr>
          <w:snapToGrid w:val="0"/>
        </w:rPr>
      </w:pPr>
      <w:r>
        <w:rPr>
          <w:snapToGrid w:val="0"/>
        </w:rPr>
        <w:tab/>
        <w:t>(a)</w:t>
      </w:r>
      <w:r>
        <w:rPr>
          <w:snapToGrid w:val="0"/>
        </w:rPr>
        <w:tab/>
        <w:t>any board or authority outside the State by which the person is licensed or registered as a dental prosthetist;</w:t>
      </w:r>
    </w:p>
    <w:p>
      <w:pPr>
        <w:pStyle w:val="Indenta"/>
        <w:rPr>
          <w:snapToGrid w:val="0"/>
        </w:rPr>
      </w:pPr>
      <w:r>
        <w:rPr>
          <w:snapToGrid w:val="0"/>
        </w:rPr>
        <w:tab/>
        <w:t>(b)</w:t>
      </w:r>
      <w:r>
        <w:rPr>
          <w:snapToGrid w:val="0"/>
        </w:rPr>
        <w:tab/>
        <w:t>any body that has granted him a qualification that is recorded under section 23;</w:t>
      </w:r>
    </w:p>
    <w:p>
      <w:pPr>
        <w:pStyle w:val="Indenta"/>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pPr>
        <w:pStyle w:val="Footnotesection"/>
      </w:pPr>
      <w:r>
        <w:tab/>
        <w:t>[Section 28 amended by No. 28 of 2006 s. 247.]</w:t>
      </w:r>
    </w:p>
    <w:p>
      <w:pPr>
        <w:pStyle w:val="Heading5"/>
        <w:rPr>
          <w:snapToGrid w:val="0"/>
        </w:rPr>
      </w:pPr>
      <w:bookmarkStart w:id="167" w:name="_Toc39550497"/>
      <w:bookmarkStart w:id="168" w:name="_Toc39550583"/>
      <w:bookmarkStart w:id="169" w:name="_Toc102814342"/>
      <w:bookmarkStart w:id="170" w:name="_Toc139701988"/>
      <w:r>
        <w:rPr>
          <w:rStyle w:val="CharSectno"/>
        </w:rPr>
        <w:t>29</w:t>
      </w:r>
      <w:r>
        <w:rPr>
          <w:snapToGrid w:val="0"/>
        </w:rPr>
        <w:t>.</w:t>
      </w:r>
      <w:r>
        <w:rPr>
          <w:snapToGrid w:val="0"/>
        </w:rPr>
        <w:tab/>
        <w:t>Return of licences and endorsements upon suspension or revocation</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pPr>
        <w:pStyle w:val="Footnotesection"/>
      </w:pPr>
      <w:bookmarkStart w:id="171" w:name="_Toc39550498"/>
      <w:bookmarkStart w:id="172" w:name="_Toc39550584"/>
      <w:r>
        <w:tab/>
        <w:t xml:space="preserve">[Section 29 amended by No. 84 of 2004 s. 82; No. 28 of 2006 s. 247.] </w:t>
      </w:r>
    </w:p>
    <w:p>
      <w:pPr>
        <w:pStyle w:val="Heading5"/>
        <w:spacing w:before="180"/>
        <w:rPr>
          <w:snapToGrid w:val="0"/>
        </w:rPr>
      </w:pPr>
      <w:bookmarkStart w:id="173" w:name="_Toc102814343"/>
      <w:bookmarkStart w:id="174" w:name="_Toc139701989"/>
      <w:r>
        <w:rPr>
          <w:rStyle w:val="CharSectno"/>
        </w:rPr>
        <w:t>30</w:t>
      </w:r>
      <w:r>
        <w:rPr>
          <w:snapToGrid w:val="0"/>
        </w:rPr>
        <w:t>.</w:t>
      </w:r>
      <w:r>
        <w:rPr>
          <w:snapToGrid w:val="0"/>
        </w:rPr>
        <w:tab/>
        <w:t>Indemnity</w:t>
      </w:r>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Footnotesection"/>
      </w:pPr>
      <w:bookmarkStart w:id="175" w:name="_Toc102814344"/>
      <w:bookmarkStart w:id="176" w:name="_Toc39550499"/>
      <w:bookmarkStart w:id="177" w:name="_Toc39550585"/>
      <w:r>
        <w:tab/>
        <w:t xml:space="preserve">[Section 30 amended by No. 28 of 2006 s. 247.] </w:t>
      </w:r>
    </w:p>
    <w:p>
      <w:pPr>
        <w:pStyle w:val="Heading5"/>
        <w:rPr>
          <w:snapToGrid w:val="0"/>
        </w:rPr>
      </w:pPr>
      <w:bookmarkStart w:id="178" w:name="_Toc139701990"/>
      <w:r>
        <w:rPr>
          <w:rStyle w:val="CharSectno"/>
        </w:rPr>
        <w:t>30A</w:t>
      </w:r>
      <w:r>
        <w:rPr>
          <w:snapToGrid w:val="0"/>
        </w:rPr>
        <w:t>.</w:t>
      </w:r>
      <w:r>
        <w:rPr>
          <w:snapToGrid w:val="0"/>
        </w:rPr>
        <w:tab/>
        <w:t>Report</w:t>
      </w:r>
      <w:bookmarkEnd w:id="175"/>
      <w:bookmarkEnd w:id="178"/>
    </w:p>
    <w:p>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w:t>
      </w:r>
      <w:r>
        <w:t xml:space="preserve"> CEO</w:t>
      </w:r>
      <w:r>
        <w:rPr>
          <w:snapToGrid w:val="0"/>
        </w:rPr>
        <w:t>; and</w:t>
      </w:r>
    </w:p>
    <w:p>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forecasts of the workload of the CEO under this Act in the year after the year to which the report relates.</w:t>
      </w:r>
    </w:p>
    <w:p>
      <w:pPr>
        <w:pStyle w:val="Footnotesection"/>
      </w:pPr>
      <w:r>
        <w:tab/>
        <w:t>[Section 30A inserted by No. 55 of 2004 s. 250; amended by No. 28 of 2006 s. 246 and 247.]</w:t>
      </w:r>
    </w:p>
    <w:p>
      <w:pPr>
        <w:pStyle w:val="Heading5"/>
        <w:spacing w:before="180"/>
        <w:rPr>
          <w:snapToGrid w:val="0"/>
        </w:rPr>
      </w:pPr>
      <w:bookmarkStart w:id="179" w:name="_Toc102814345"/>
      <w:bookmarkStart w:id="180" w:name="_Toc139701991"/>
      <w:r>
        <w:rPr>
          <w:rStyle w:val="CharSectno"/>
        </w:rPr>
        <w:t>31</w:t>
      </w:r>
      <w:r>
        <w:rPr>
          <w:snapToGrid w:val="0"/>
        </w:rPr>
        <w:t>.</w:t>
      </w:r>
      <w:r>
        <w:rPr>
          <w:snapToGrid w:val="0"/>
        </w:rPr>
        <w:tab/>
        <w:t>Regulations</w:t>
      </w:r>
      <w:bookmarkEnd w:id="176"/>
      <w:bookmarkEnd w:id="177"/>
      <w:bookmarkEnd w:id="179"/>
      <w:bookmarkEnd w:id="180"/>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81" w:name="_Toc89162160"/>
      <w:bookmarkStart w:id="182" w:name="_Toc89162560"/>
      <w:bookmarkStart w:id="183" w:name="_Toc92517012"/>
      <w:bookmarkStart w:id="184" w:name="_Toc97010084"/>
      <w:bookmarkStart w:id="185" w:name="_Toc102274156"/>
      <w:bookmarkStart w:id="186" w:name="_Toc102814346"/>
      <w:bookmarkStart w:id="187" w:name="_Toc139363637"/>
      <w:bookmarkStart w:id="188" w:name="_Toc139365572"/>
      <w:bookmarkStart w:id="189" w:name="_Toc139701992"/>
      <w:r>
        <w:t>Notes</w:t>
      </w:r>
      <w:bookmarkEnd w:id="181"/>
      <w:bookmarkEnd w:id="182"/>
      <w:bookmarkEnd w:id="183"/>
      <w:bookmarkEnd w:id="184"/>
      <w:bookmarkEnd w:id="185"/>
      <w:bookmarkEnd w:id="186"/>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0" w:name="_Toc39550586"/>
      <w:bookmarkStart w:id="191" w:name="_Toc102814347"/>
      <w:bookmarkStart w:id="192" w:name="_Toc139701993"/>
      <w:r>
        <w:rPr>
          <w:snapToGrid w:val="0"/>
        </w:rPr>
        <w:t>Compilation table</w:t>
      </w:r>
      <w:bookmarkEnd w:id="190"/>
      <w:bookmarkEnd w:id="191"/>
      <w:bookmarkEnd w:id="19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80"/>
              <w:rPr>
                <w:sz w:val="19"/>
              </w:rPr>
            </w:pPr>
            <w:r>
              <w:rPr>
                <w:i/>
                <w:sz w:val="19"/>
              </w:rPr>
              <w:t>Dental Prosthetists Act 1985</w:t>
            </w:r>
          </w:p>
        </w:tc>
        <w:tc>
          <w:tcPr>
            <w:tcW w:w="1134" w:type="dxa"/>
          </w:tcPr>
          <w:p>
            <w:pPr>
              <w:pStyle w:val="nTable"/>
              <w:spacing w:before="80"/>
              <w:rPr>
                <w:sz w:val="19"/>
              </w:rPr>
            </w:pPr>
            <w:r>
              <w:rPr>
                <w:sz w:val="19"/>
              </w:rPr>
              <w:t>16 of 1985</w:t>
            </w:r>
          </w:p>
        </w:tc>
        <w:tc>
          <w:tcPr>
            <w:tcW w:w="1134" w:type="dxa"/>
          </w:tcPr>
          <w:p>
            <w:pPr>
              <w:pStyle w:val="nTable"/>
              <w:spacing w:before="80"/>
              <w:rPr>
                <w:sz w:val="19"/>
              </w:rPr>
            </w:pPr>
            <w:r>
              <w:rPr>
                <w:sz w:val="19"/>
              </w:rPr>
              <w:t>19 Apr 1985</w:t>
            </w:r>
          </w:p>
        </w:tc>
        <w:tc>
          <w:tcPr>
            <w:tcW w:w="2551" w:type="dxa"/>
          </w:tcPr>
          <w:p>
            <w:pPr>
              <w:pStyle w:val="nTable"/>
              <w:spacing w:before="80"/>
              <w:rPr>
                <w:sz w:val="19"/>
              </w:rPr>
            </w:pPr>
            <w:r>
              <w:rPr>
                <w:sz w:val="19"/>
              </w:rPr>
              <w:t xml:space="preserve">1 Oct 1986 (see s. 2 and </w:t>
            </w:r>
            <w:r>
              <w:rPr>
                <w:i/>
                <w:sz w:val="19"/>
              </w:rPr>
              <w:t>Gazette</w:t>
            </w:r>
            <w:r>
              <w:rPr>
                <w:sz w:val="19"/>
              </w:rPr>
              <w:t xml:space="preserve"> 26 Sep 1986 p. 3675)</w:t>
            </w:r>
          </w:p>
        </w:tc>
      </w:tr>
      <w:tr>
        <w:tc>
          <w:tcPr>
            <w:tcW w:w="2268" w:type="dxa"/>
          </w:tcPr>
          <w:p>
            <w:pPr>
              <w:pStyle w:val="nTable"/>
              <w:spacing w:before="80"/>
              <w:rPr>
                <w:sz w:val="19"/>
              </w:rPr>
            </w:pPr>
            <w:r>
              <w:rPr>
                <w:i/>
                <w:sz w:val="19"/>
              </w:rPr>
              <w:t>Acts Amendment (Dental Prosthetics Students) Act 1989</w:t>
            </w:r>
            <w:r>
              <w:rPr>
                <w:sz w:val="19"/>
              </w:rPr>
              <w:t xml:space="preserve"> Pt. 3</w:t>
            </w:r>
          </w:p>
        </w:tc>
        <w:tc>
          <w:tcPr>
            <w:tcW w:w="1134" w:type="dxa"/>
          </w:tcPr>
          <w:p>
            <w:pPr>
              <w:pStyle w:val="nTable"/>
              <w:spacing w:before="80"/>
              <w:rPr>
                <w:sz w:val="19"/>
              </w:rPr>
            </w:pPr>
            <w:r>
              <w:rPr>
                <w:sz w:val="19"/>
              </w:rPr>
              <w:t>4 of 1989</w:t>
            </w:r>
          </w:p>
        </w:tc>
        <w:tc>
          <w:tcPr>
            <w:tcW w:w="1134" w:type="dxa"/>
          </w:tcPr>
          <w:p>
            <w:pPr>
              <w:pStyle w:val="nTable"/>
              <w:spacing w:before="80"/>
              <w:rPr>
                <w:sz w:val="19"/>
              </w:rPr>
            </w:pPr>
            <w:r>
              <w:rPr>
                <w:sz w:val="19"/>
              </w:rPr>
              <w:t>20 Apr 1989</w:t>
            </w:r>
          </w:p>
        </w:tc>
        <w:tc>
          <w:tcPr>
            <w:tcW w:w="2551" w:type="dxa"/>
          </w:tcPr>
          <w:p>
            <w:pPr>
              <w:pStyle w:val="nTable"/>
              <w:spacing w:before="80"/>
              <w:rPr>
                <w:sz w:val="19"/>
              </w:rPr>
            </w:pPr>
            <w:r>
              <w:rPr>
                <w:sz w:val="19"/>
              </w:rPr>
              <w:t>20 Apr 1989 (see s. 2)</w:t>
            </w:r>
          </w:p>
        </w:tc>
      </w:tr>
      <w:tr>
        <w:tc>
          <w:tcPr>
            <w:tcW w:w="2268" w:type="dxa"/>
          </w:tcPr>
          <w:p>
            <w:pPr>
              <w:pStyle w:val="nTable"/>
              <w:spacing w:before="80"/>
              <w:rPr>
                <w:sz w:val="19"/>
              </w:rPr>
            </w:pPr>
            <w:r>
              <w:rPr>
                <w:i/>
                <w:sz w:val="19"/>
              </w:rPr>
              <w:t>Statutes (Repeals and Minor Amendments) Act (No. 2) 1998</w:t>
            </w:r>
            <w:r>
              <w:rPr>
                <w:sz w:val="19"/>
              </w:rPr>
              <w:t xml:space="preserve"> s. 28</w:t>
            </w:r>
          </w:p>
        </w:tc>
        <w:tc>
          <w:tcPr>
            <w:tcW w:w="1134" w:type="dxa"/>
          </w:tcPr>
          <w:p>
            <w:pPr>
              <w:pStyle w:val="nTable"/>
              <w:spacing w:before="80"/>
              <w:rPr>
                <w:sz w:val="19"/>
              </w:rPr>
            </w:pPr>
            <w:r>
              <w:rPr>
                <w:sz w:val="19"/>
              </w:rPr>
              <w:t>10 of 1998</w:t>
            </w:r>
          </w:p>
        </w:tc>
        <w:tc>
          <w:tcPr>
            <w:tcW w:w="1134" w:type="dxa"/>
          </w:tcPr>
          <w:p>
            <w:pPr>
              <w:pStyle w:val="nTable"/>
              <w:spacing w:before="80"/>
              <w:rPr>
                <w:sz w:val="19"/>
              </w:rPr>
            </w:pPr>
            <w:r>
              <w:rPr>
                <w:sz w:val="19"/>
              </w:rPr>
              <w:t>30 Apr 1998</w:t>
            </w:r>
          </w:p>
        </w:tc>
        <w:tc>
          <w:tcPr>
            <w:tcW w:w="2551" w:type="dxa"/>
          </w:tcPr>
          <w:p>
            <w:pPr>
              <w:pStyle w:val="nTable"/>
              <w:spacing w:before="80"/>
              <w:rPr>
                <w:sz w:val="19"/>
              </w:rPr>
            </w:pPr>
            <w:r>
              <w:rPr>
                <w:sz w:val="19"/>
              </w:rPr>
              <w:t>30 Apr 1998 (see s. 2(1))</w:t>
            </w:r>
          </w:p>
        </w:tc>
      </w:tr>
      <w:tr>
        <w:tc>
          <w:tcPr>
            <w:tcW w:w="2268" w:type="dxa"/>
          </w:tcPr>
          <w:p>
            <w:pPr>
              <w:pStyle w:val="nTable"/>
              <w:spacing w:before="80"/>
              <w:rPr>
                <w:sz w:val="19"/>
              </w:rPr>
            </w:pPr>
            <w:r>
              <w:rPr>
                <w:i/>
                <w:sz w:val="19"/>
              </w:rPr>
              <w:t>Statutes (Repeals and Minor Amendments) Act 2000</w:t>
            </w:r>
            <w:r>
              <w:rPr>
                <w:sz w:val="19"/>
              </w:rPr>
              <w:t xml:space="preserve"> s. 12</w:t>
            </w:r>
          </w:p>
        </w:tc>
        <w:tc>
          <w:tcPr>
            <w:tcW w:w="1134" w:type="dxa"/>
          </w:tcPr>
          <w:p>
            <w:pPr>
              <w:pStyle w:val="nTable"/>
              <w:spacing w:before="80"/>
              <w:rPr>
                <w:sz w:val="19"/>
              </w:rPr>
            </w:pPr>
            <w:r>
              <w:rPr>
                <w:sz w:val="19"/>
              </w:rPr>
              <w:t>24 of 2000</w:t>
            </w:r>
          </w:p>
        </w:tc>
        <w:tc>
          <w:tcPr>
            <w:tcW w:w="1134" w:type="dxa"/>
          </w:tcPr>
          <w:p>
            <w:pPr>
              <w:pStyle w:val="nTable"/>
              <w:spacing w:before="80"/>
              <w:rPr>
                <w:sz w:val="19"/>
              </w:rPr>
            </w:pPr>
            <w:r>
              <w:rPr>
                <w:sz w:val="19"/>
              </w:rPr>
              <w:t>4 Jul 2000</w:t>
            </w:r>
          </w:p>
        </w:tc>
        <w:tc>
          <w:tcPr>
            <w:tcW w:w="2551" w:type="dxa"/>
          </w:tcPr>
          <w:p>
            <w:pPr>
              <w:pStyle w:val="nTable"/>
              <w:spacing w:before="80"/>
              <w:rPr>
                <w:sz w:val="19"/>
              </w:rPr>
            </w:pPr>
            <w:r>
              <w:rPr>
                <w:sz w:val="19"/>
              </w:rPr>
              <w:t>4 Jul 2000 (see s. 2)</w:t>
            </w:r>
          </w:p>
        </w:tc>
      </w:tr>
      <w:tr>
        <w:trPr>
          <w:cantSplit/>
        </w:trPr>
        <w:tc>
          <w:tcPr>
            <w:tcW w:w="7087" w:type="dxa"/>
            <w:gridSpan w:val="4"/>
          </w:tcPr>
          <w:p>
            <w:pPr>
              <w:pStyle w:val="nTable"/>
              <w:spacing w:before="8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tc>
          <w:tcPr>
            <w:tcW w:w="2268" w:type="dxa"/>
          </w:tcPr>
          <w:p>
            <w:pPr>
              <w:pStyle w:val="nTable"/>
              <w:spacing w:before="8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80"/>
              <w:rPr>
                <w:sz w:val="19"/>
              </w:rPr>
            </w:pPr>
            <w:r>
              <w:rPr>
                <w:snapToGrid w:val="0"/>
                <w:sz w:val="19"/>
                <w:lang w:val="en-US"/>
              </w:rPr>
              <w:t>59 of 2004</w:t>
            </w:r>
          </w:p>
        </w:tc>
        <w:tc>
          <w:tcPr>
            <w:tcW w:w="1134" w:type="dxa"/>
          </w:tcPr>
          <w:p>
            <w:pPr>
              <w:pStyle w:val="nTable"/>
              <w:spacing w:before="80"/>
              <w:rPr>
                <w:sz w:val="19"/>
              </w:rPr>
            </w:pPr>
            <w:r>
              <w:rPr>
                <w:snapToGrid w:val="0"/>
                <w:sz w:val="19"/>
                <w:lang w:val="en-US"/>
              </w:rPr>
              <w:t>23 Nov 2004</w:t>
            </w:r>
          </w:p>
        </w:tc>
        <w:tc>
          <w:tcPr>
            <w:tcW w:w="2551" w:type="dxa"/>
          </w:tcPr>
          <w:p>
            <w:pPr>
              <w:pStyle w:val="nTable"/>
              <w:spacing w:before="8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before="8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7</w:t>
            </w:r>
          </w:p>
        </w:tc>
        <w:tc>
          <w:tcPr>
            <w:tcW w:w="1134" w:type="dxa"/>
          </w:tcPr>
          <w:p>
            <w:pPr>
              <w:pStyle w:val="nTable"/>
              <w:spacing w:before="80"/>
              <w:rPr>
                <w:sz w:val="19"/>
              </w:rPr>
            </w:pPr>
            <w:r>
              <w:rPr>
                <w:sz w:val="19"/>
              </w:rPr>
              <w:t>55 of 2004</w:t>
            </w:r>
          </w:p>
        </w:tc>
        <w:tc>
          <w:tcPr>
            <w:tcW w:w="1134" w:type="dxa"/>
          </w:tcPr>
          <w:p>
            <w:pPr>
              <w:pStyle w:val="nTable"/>
              <w:spacing w:before="80"/>
              <w:rPr>
                <w:sz w:val="19"/>
              </w:rPr>
            </w:pPr>
            <w:r>
              <w:rPr>
                <w:sz w:val="19"/>
              </w:rPr>
              <w:t>24 Nov 2004</w:t>
            </w:r>
          </w:p>
        </w:tc>
        <w:tc>
          <w:tcPr>
            <w:tcW w:w="2551" w:type="dxa"/>
          </w:tcPr>
          <w:p>
            <w:pPr>
              <w:pStyle w:val="nTable"/>
              <w:spacing w:before="8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before="8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80"/>
              <w:rPr>
                <w:sz w:val="19"/>
              </w:rPr>
            </w:pPr>
            <w:r>
              <w:rPr>
                <w:snapToGrid w:val="0"/>
                <w:sz w:val="19"/>
                <w:lang w:val="en-US"/>
              </w:rPr>
              <w:t>84 of 2004</w:t>
            </w:r>
          </w:p>
        </w:tc>
        <w:tc>
          <w:tcPr>
            <w:tcW w:w="1134" w:type="dxa"/>
          </w:tcPr>
          <w:p>
            <w:pPr>
              <w:pStyle w:val="nTable"/>
              <w:spacing w:before="80"/>
              <w:rPr>
                <w:sz w:val="19"/>
              </w:rPr>
            </w:pPr>
            <w:r>
              <w:rPr>
                <w:sz w:val="19"/>
              </w:rPr>
              <w:t>16 Dec 2004</w:t>
            </w:r>
          </w:p>
        </w:tc>
        <w:tc>
          <w:tcPr>
            <w:tcW w:w="2551" w:type="dxa"/>
          </w:tcPr>
          <w:p>
            <w:pPr>
              <w:pStyle w:val="nTable"/>
              <w:spacing w:before="8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bottom w:val="single" w:sz="8" w:space="0" w:color="auto"/>
            </w:tcBorders>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 </w:t>
            </w:r>
            <w:r>
              <w:rPr>
                <w:iCs/>
                <w:snapToGrid w:val="0"/>
                <w:sz w:val="19"/>
                <w:vertAlign w:val="superscript"/>
                <w:lang w:val="en-US"/>
              </w:rPr>
              <w:t>8</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3" w:name="_Toc102814348"/>
      <w:bookmarkStart w:id="194" w:name="_Toc139701994"/>
      <w:r>
        <w:rPr>
          <w:snapToGrid w:val="0"/>
        </w:rPr>
        <w:t>Provisions that have not come into operation</w:t>
      </w:r>
      <w:bookmarkEnd w:id="193"/>
      <w:bookmarkEnd w:id="194"/>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85"/>
      </w:tblGrid>
      <w:tr>
        <w:tc>
          <w:tcPr>
            <w:tcW w:w="22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8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51" w:type="dxa"/>
            <w:tcBorders>
              <w:top w:val="single" w:sz="4"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26"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26"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23 Nov 2004</w:t>
            </w:r>
          </w:p>
        </w:tc>
        <w:tc>
          <w:tcPr>
            <w:tcW w:w="2585" w:type="dxa"/>
            <w:tcBorders>
              <w:top w:val="single" w:sz="4" w:space="0" w:color="auto"/>
              <w:bottom w:val="single" w:sz="4" w:space="0" w:color="auto"/>
            </w:tcBorders>
          </w:tcPr>
          <w:p>
            <w:pPr>
              <w:pStyle w:val="nTable"/>
              <w:spacing w:after="40"/>
              <w:rPr>
                <w:snapToGrid w:val="0"/>
                <w:sz w:val="19"/>
                <w:lang w:val="en-US"/>
              </w:rPr>
            </w:pPr>
            <w:r>
              <w:rPr>
                <w:sz w:val="19"/>
              </w:rPr>
              <w:t>To be proclaimed (see s. 2)</w:t>
            </w:r>
          </w:p>
        </w:tc>
      </w:tr>
    </w:tbl>
    <w:p>
      <w:pPr>
        <w:pStyle w:val="nSubsection"/>
        <w:rPr>
          <w:vertAlign w:val="superscript"/>
        </w:rPr>
      </w:pPr>
    </w:p>
    <w:p>
      <w:pPr>
        <w:pStyle w:val="nSubsection"/>
      </w:pPr>
      <w:r>
        <w:rPr>
          <w:vertAlign w:val="superscript"/>
        </w:rPr>
        <w:t>2</w:t>
      </w:r>
      <w:r>
        <w:tab/>
        <w:t xml:space="preserve">Under the </w:t>
      </w:r>
      <w:r>
        <w:rPr>
          <w:i/>
        </w:rPr>
        <w:t xml:space="preserve">Alteration of Statutory Designations Order 2003 </w:t>
      </w:r>
      <w:r>
        <w:t>a reference in any law to the Education Department is read and construed as a reference to the Department of Education and Training.</w:t>
      </w:r>
    </w:p>
    <w:p>
      <w:pPr>
        <w:pStyle w:val="nSubsection"/>
        <w:rPr>
          <w:i/>
        </w:rPr>
      </w:pPr>
      <w:r>
        <w:rPr>
          <w:vertAlign w:val="superscript"/>
        </w:rPr>
        <w:t>3</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pPr>
      <w:r>
        <w:rPr>
          <w:vertAlign w:val="superscript"/>
        </w:rPr>
        <w:t>4</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Subsection"/>
      </w:pPr>
      <w:r>
        <w:tab/>
        <w:t>Schedule 2 cl. 14 reads as follows:</w:t>
      </w:r>
    </w:p>
    <w:p>
      <w:pPr>
        <w:pStyle w:val="MiscOpen"/>
      </w:pPr>
      <w:r>
        <w:t xml:space="preserve"> “</w:t>
      </w:r>
    </w:p>
    <w:p>
      <w:pPr>
        <w:pStyle w:val="nzHeading2"/>
      </w:pPr>
      <w:r>
        <w:rPr>
          <w:rStyle w:val="CharSchNo"/>
        </w:rPr>
        <w:t>Schedule 2</w:t>
      </w:r>
      <w:r>
        <w:t xml:space="preserve"> — </w:t>
      </w:r>
      <w:r>
        <w:rPr>
          <w:rStyle w:val="CharSchText"/>
        </w:rPr>
        <w:t>Other amendments to Acts</w:t>
      </w:r>
    </w:p>
    <w:p>
      <w:pPr>
        <w:pStyle w:val="nzHeading5"/>
      </w:pPr>
      <w:bookmarkStart w:id="195" w:name="_Toc497185806"/>
      <w:bookmarkStart w:id="196" w:name="_Toc88630736"/>
      <w:r>
        <w:t>14.</w:t>
      </w:r>
      <w:r>
        <w:tab/>
      </w:r>
      <w:r>
        <w:rPr>
          <w:i/>
        </w:rPr>
        <w:t>Dental Prosthetists Act 1985</w:t>
      </w:r>
      <w:bookmarkEnd w:id="195"/>
      <w:bookmarkEnd w:id="196"/>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trPr>
        <w:tc>
          <w:tcPr>
            <w:tcW w:w="992" w:type="dxa"/>
          </w:tcPr>
          <w:p>
            <w:pPr>
              <w:pStyle w:val="nzTable"/>
            </w:pPr>
            <w:r>
              <w:t>s. 22(1)</w:t>
            </w:r>
          </w:p>
        </w:tc>
        <w:tc>
          <w:tcPr>
            <w:tcW w:w="4819" w:type="dxa"/>
          </w:tcPr>
          <w:p>
            <w:pPr>
              <w:pStyle w:val="nzTable"/>
            </w:pPr>
            <w:r>
              <w:t xml:space="preserve">Delete “a Local Court” and insert instead — </w:t>
            </w:r>
          </w:p>
          <w:p>
            <w:pPr>
              <w:pStyle w:val="nzTable"/>
            </w:pPr>
            <w:r>
              <w:t>“    the Magistrates Court    ”.</w:t>
            </w:r>
          </w:p>
        </w:tc>
      </w:tr>
      <w:tr>
        <w:trPr>
          <w:cantSplit/>
        </w:trPr>
        <w:tc>
          <w:tcPr>
            <w:tcW w:w="992" w:type="dxa"/>
          </w:tcPr>
          <w:p>
            <w:pPr>
              <w:pStyle w:val="nzTable"/>
            </w:pPr>
            <w:r>
              <w:t>s. 22(3)</w:t>
            </w:r>
          </w:p>
        </w:tc>
        <w:tc>
          <w:tcPr>
            <w:tcW w:w="4819" w:type="dxa"/>
          </w:tcPr>
          <w:p>
            <w:pPr>
              <w:pStyle w:val="nzTable"/>
            </w:pPr>
            <w:r>
              <w:t xml:space="preserve">Delete “A Local Court to which an appeal is made under subsection (1)” and insert instead — </w:t>
            </w:r>
          </w:p>
          <w:p>
            <w:pPr>
              <w:pStyle w:val="nzTable"/>
            </w:pPr>
            <w:r>
              <w:t>“    The Magistrates Court    ”.</w:t>
            </w:r>
          </w:p>
        </w:tc>
      </w:tr>
      <w:tr>
        <w:trPr>
          <w:cantSplit/>
        </w:trPr>
        <w:tc>
          <w:tcPr>
            <w:tcW w:w="992" w:type="dxa"/>
          </w:tcPr>
          <w:p>
            <w:pPr>
              <w:pStyle w:val="nzTable"/>
            </w:pPr>
            <w:r>
              <w:t>s. 22(4)</w:t>
            </w:r>
          </w:p>
        </w:tc>
        <w:tc>
          <w:tcPr>
            <w:tcW w:w="4819" w:type="dxa"/>
          </w:tcPr>
          <w:p>
            <w:pPr>
              <w:pStyle w:val="nzTable"/>
            </w:pPr>
            <w:r>
              <w:t xml:space="preserve">Delete “A Local Court” and insert instead — </w:t>
            </w:r>
          </w:p>
          <w:p>
            <w:pPr>
              <w:pStyle w:val="nzTable"/>
            </w:pPr>
            <w:r>
              <w:t>“    The Court    ”.</w:t>
            </w:r>
          </w:p>
        </w:tc>
      </w:tr>
    </w:tbl>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97" w:name="_Toc101070710"/>
      <w:bookmarkStart w:id="198" w:name="_Toc101073294"/>
      <w:bookmarkStart w:id="199" w:name="_Toc101080477"/>
      <w:bookmarkStart w:id="200" w:name="_Toc101081140"/>
      <w:bookmarkStart w:id="201" w:name="_Toc101174102"/>
      <w:bookmarkStart w:id="202" w:name="_Toc101256778"/>
      <w:bookmarkStart w:id="203" w:name="_Toc101260830"/>
      <w:bookmarkStart w:id="204" w:name="_Toc101329611"/>
      <w:bookmarkStart w:id="205" w:name="_Toc101351052"/>
      <w:bookmarkStart w:id="206" w:name="_Toc101578932"/>
      <w:bookmarkStart w:id="207" w:name="_Toc101599907"/>
      <w:bookmarkStart w:id="208" w:name="_Toc101666739"/>
      <w:bookmarkStart w:id="209" w:name="_Toc101672701"/>
      <w:bookmarkStart w:id="210" w:name="_Toc101675211"/>
      <w:bookmarkStart w:id="211" w:name="_Toc101682937"/>
      <w:bookmarkStart w:id="212" w:name="_Toc101690207"/>
      <w:bookmarkStart w:id="213" w:name="_Toc101769539"/>
      <w:bookmarkStart w:id="214" w:name="_Toc101770825"/>
      <w:bookmarkStart w:id="215" w:name="_Toc101774282"/>
      <w:bookmarkStart w:id="216" w:name="_Toc101845246"/>
      <w:bookmarkStart w:id="217" w:name="_Toc102981899"/>
      <w:bookmarkStart w:id="218" w:name="_Toc103570005"/>
      <w:bookmarkStart w:id="219" w:name="_Toc106089241"/>
      <w:bookmarkStart w:id="220" w:name="_Toc106097296"/>
      <w:bookmarkStart w:id="221" w:name="_Toc136050449"/>
      <w:bookmarkStart w:id="222" w:name="_Toc138660828"/>
      <w:bookmarkStart w:id="223" w:name="_Toc138661407"/>
      <w:bookmarkStart w:id="224" w:name="_Toc138750400"/>
      <w:bookmarkStart w:id="225" w:name="_Toc138751085"/>
      <w:bookmarkStart w:id="226" w:name="_Toc139166826"/>
      <w:r>
        <w:rPr>
          <w:rStyle w:val="CharDivNo"/>
        </w:rPr>
        <w:t>Division 13</w:t>
      </w:r>
      <w:r>
        <w:t> — </w:t>
      </w:r>
      <w:r>
        <w:rPr>
          <w:rStyle w:val="CharDivText"/>
        </w:rPr>
        <w:t>Transitional provisions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nzHeading5"/>
      </w:pPr>
      <w:bookmarkStart w:id="227" w:name="_Toc100544609"/>
      <w:bookmarkStart w:id="228" w:name="_Toc138661408"/>
      <w:bookmarkStart w:id="229" w:name="_Toc138751086"/>
      <w:bookmarkStart w:id="230" w:name="_Toc139166827"/>
      <w:r>
        <w:rPr>
          <w:rStyle w:val="CharSectno"/>
        </w:rPr>
        <w:t>289</w:t>
      </w:r>
      <w:r>
        <w:t>.</w:t>
      </w:r>
      <w:r>
        <w:tab/>
        <w:t>Commissioner of Health</w:t>
      </w:r>
      <w:bookmarkEnd w:id="227"/>
      <w:bookmarkEnd w:id="228"/>
      <w:bookmarkEnd w:id="229"/>
      <w:bookmarkEnd w:id="23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8A1E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EBA16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2E3A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96EFC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DE6C9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FAAE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1D277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F837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A35CC"/>
    <w:lvl w:ilvl="0">
      <w:start w:val="1"/>
      <w:numFmt w:val="decimal"/>
      <w:pStyle w:val="ListNumber"/>
      <w:lvlText w:val="%1."/>
      <w:lvlJc w:val="left"/>
      <w:pPr>
        <w:tabs>
          <w:tab w:val="num" w:pos="360"/>
        </w:tabs>
        <w:ind w:left="360" w:hanging="360"/>
      </w:pPr>
    </w:lvl>
  </w:abstractNum>
  <w:abstractNum w:abstractNumId="9">
    <w:nsid w:val="FFFFFF89"/>
    <w:multiLevelType w:val="singleLevel"/>
    <w:tmpl w:val="F85229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BD6D5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FE8355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039"/>
    <w:docVar w:name="WAFER_20151210111039" w:val="RemoveTrackChanges"/>
    <w:docVar w:name="WAFER_20151210111039_GUID" w:val="ed491db3-d35a-4bc5-843f-f5265047d7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8389</Words>
  <Characters>39266</Characters>
  <Application>Microsoft Office Word</Application>
  <DocSecurity>0</DocSecurity>
  <Lines>1061</Lines>
  <Paragraphs>574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1985 - 01-d0-05</dc:title>
  <dc:subject/>
  <dc:creator/>
  <cp:keywords/>
  <dc:description/>
  <cp:lastModifiedBy>svcMRProcess</cp:lastModifiedBy>
  <cp:revision>4</cp:revision>
  <cp:lastPrinted>2003-05-02T01:19:00Z</cp:lastPrinted>
  <dcterms:created xsi:type="dcterms:W3CDTF">2015-12-11T00:43:00Z</dcterms:created>
  <dcterms:modified xsi:type="dcterms:W3CDTF">2015-12-11T00:43:00Z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219</vt:i4>
  </property>
  <property fmtid="{D5CDD505-2E9C-101B-9397-08002B2CF9AE}" pid="6" name="AsAtDate">
    <vt:lpwstr>01 Jul 2006</vt:lpwstr>
  </property>
  <property fmtid="{D5CDD505-2E9C-101B-9397-08002B2CF9AE}" pid="7" name="Suffix">
    <vt:lpwstr>01-d0-05</vt:lpwstr>
  </property>
</Properties>
</file>