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Freedom of Information Act 1992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Regulations 1993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_Toc193791549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_Toc193791550 \h </w:instrText>
      </w:r>
      <w:r>
        <w:fldChar w:fldCharType="separate"/>
      </w:r>
      <w:r>
        <w:t>1</w:t>
      </w:r>
      <w:r>
        <w:fldChar w:fldCharType="end"/>
      </w:r>
    </w:p>
    <w:p>
      <w:pPr>
        <w:pStyle w:val="TOC8"/>
        <w:rPr>
          <w:sz w:val="24"/>
          <w:szCs w:val="24"/>
        </w:rPr>
      </w:pPr>
      <w:r>
        <w:rPr>
          <w:szCs w:val="24"/>
        </w:rPr>
        <w:t>2A</w:t>
      </w:r>
      <w:r>
        <w:rPr>
          <w:snapToGrid w:val="0"/>
          <w:szCs w:val="24"/>
        </w:rPr>
        <w:t>.</w:t>
      </w:r>
      <w:r>
        <w:rPr>
          <w:snapToGrid w:val="0"/>
          <w:szCs w:val="24"/>
        </w:rPr>
        <w:tab/>
        <w:t>Term used in these regulations</w:t>
      </w:r>
      <w:r>
        <w:tab/>
      </w:r>
      <w:r>
        <w:fldChar w:fldCharType="begin"/>
      </w:r>
      <w:r>
        <w:instrText xml:space="preserve"> PAGEREF _Toc193791551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General provisions relating to charges</w:t>
      </w:r>
      <w:r>
        <w:tab/>
      </w:r>
      <w:r>
        <w:fldChar w:fldCharType="begin"/>
      </w:r>
      <w:r>
        <w:instrText xml:space="preserve"> PAGEREF _Toc193791552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fee (section 12(1)(e))</w:t>
      </w:r>
      <w:r>
        <w:tab/>
      </w:r>
      <w:r>
        <w:fldChar w:fldCharType="begin"/>
      </w:r>
      <w:r>
        <w:instrText xml:space="preserve"> PAGEREF _Toc193791553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Charges (section 16(1))</w:t>
      </w:r>
      <w:r>
        <w:tab/>
      </w:r>
      <w:r>
        <w:fldChar w:fldCharType="begin"/>
      </w:r>
      <w:r>
        <w:instrText xml:space="preserve"> PAGEREF _Toc193791554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Advance deposits (section 18(1) and (4))</w:t>
      </w:r>
      <w:r>
        <w:tab/>
      </w:r>
      <w:r>
        <w:fldChar w:fldCharType="begin"/>
      </w:r>
      <w:r>
        <w:instrText xml:space="preserve"> PAGEREF _Toc193791555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Meaning of “suitably qualified person” (section 28)</w:t>
      </w:r>
      <w:r>
        <w:tab/>
      </w:r>
      <w:r>
        <w:fldChar w:fldCharType="begin"/>
      </w:r>
      <w:r>
        <w:instrText xml:space="preserve"> PAGEREF _Toc193791556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Information or details to be included in a complaint (section 66(1)(d))</w:t>
      </w:r>
      <w:r>
        <w:tab/>
      </w:r>
      <w:r>
        <w:fldChar w:fldCharType="begin"/>
      </w:r>
      <w:r>
        <w:instrText xml:space="preserve"> PAGEREF _Toc193791557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Prescribed personal details (Schedule 1 clause 3 of the Act)</w:t>
      </w:r>
      <w:r>
        <w:tab/>
      </w:r>
      <w:r>
        <w:fldChar w:fldCharType="begin"/>
      </w:r>
      <w:r>
        <w:instrText xml:space="preserve"> PAGEREF _Toc193791558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Specified bodies etc. to be regarded as part of other agencies</w:t>
      </w:r>
      <w:r>
        <w:tab/>
      </w:r>
      <w:r>
        <w:fldChar w:fldCharType="begin"/>
      </w:r>
      <w:r>
        <w:instrText xml:space="preserve"> PAGEREF _Toc193791559 \h </w:instrText>
      </w:r>
      <w:r>
        <w:fldChar w:fldCharType="separate"/>
      </w:r>
      <w:r>
        <w:t>4</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Cs w:val="28"/>
        </w:rPr>
        <w:t>Schedule 2 — Offices and bodies to be regarded as part of other agencies</w:t>
      </w:r>
    </w:p>
    <w:p>
      <w:pPr>
        <w:pStyle w:val="TOC2"/>
        <w:tabs>
          <w:tab w:val="right" w:leader="dot" w:pos="7086"/>
        </w:tabs>
        <w:rPr>
          <w:b w:val="0"/>
          <w:sz w:val="24"/>
          <w:szCs w:val="24"/>
        </w:rPr>
      </w:pPr>
      <w:r>
        <w:rPr>
          <w:szCs w:val="26"/>
        </w:rPr>
        <w:lastRenderedPageBreak/>
        <w:t>Notes</w:t>
      </w:r>
    </w:p>
    <w:p>
      <w:pPr>
        <w:pStyle w:val="TOC8"/>
        <w:keepNext/>
        <w:rPr>
          <w:sz w:val="24"/>
          <w:szCs w:val="24"/>
        </w:rPr>
      </w:pPr>
      <w:r>
        <w:rPr>
          <w:snapToGrid w:val="0"/>
          <w:szCs w:val="24"/>
        </w:rPr>
        <w:tab/>
        <w:t>Compilation table</w:t>
      </w:r>
      <w:r>
        <w:tab/>
      </w:r>
      <w:r>
        <w:fldChar w:fldCharType="begin"/>
      </w:r>
      <w:r>
        <w:instrText xml:space="preserve"> PAGEREF _Toc193791563 \h </w:instrText>
      </w:r>
      <w:r>
        <w:fldChar w:fldCharType="separate"/>
      </w:r>
      <w:r>
        <w:t>20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2008</w:t>
            </w:r>
          </w:p>
        </w:tc>
      </w:tr>
    </w:tbl>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 w:name="_Toc193791549"/>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2" w:name="_Toc193791550"/>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3" w:name="_Toc193791551"/>
      <w:r>
        <w:rPr>
          <w:rStyle w:val="CharSectno"/>
        </w:rPr>
        <w:t>2A</w:t>
      </w:r>
      <w:r>
        <w:rPr>
          <w:snapToGrid w:val="0"/>
        </w:rPr>
        <w:t>.</w:t>
      </w:r>
      <w:r>
        <w:rPr>
          <w:snapToGrid w:val="0"/>
        </w:rPr>
        <w:tab/>
        <w:t>Term used in these regulations</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4" w:name="_Toc193791552"/>
      <w:r>
        <w:rPr>
          <w:rStyle w:val="CharSectno"/>
        </w:rPr>
        <w:t>3</w:t>
      </w:r>
      <w:r>
        <w:rPr>
          <w:snapToGrid w:val="0"/>
        </w:rPr>
        <w:t>.</w:t>
      </w:r>
      <w:r>
        <w:rPr>
          <w:snapToGrid w:val="0"/>
        </w:rPr>
        <w:tab/>
        <w:t>General provisions relating to charges</w:t>
      </w:r>
      <w:bookmarkEnd w:id="4"/>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5" w:name="_Toc193791553"/>
      <w:r>
        <w:rPr>
          <w:rStyle w:val="CharSectno"/>
        </w:rPr>
        <w:t>4</w:t>
      </w:r>
      <w:r>
        <w:rPr>
          <w:snapToGrid w:val="0"/>
        </w:rPr>
        <w:t>.</w:t>
      </w:r>
      <w:r>
        <w:rPr>
          <w:snapToGrid w:val="0"/>
        </w:rPr>
        <w:tab/>
        <w:t>Application fee (section 12(1)(e))</w:t>
      </w:r>
      <w:bookmarkEnd w:id="5"/>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6" w:name="_Toc193791554"/>
      <w:r>
        <w:rPr>
          <w:rStyle w:val="CharSectno"/>
        </w:rPr>
        <w:t>5</w:t>
      </w:r>
      <w:r>
        <w:rPr>
          <w:snapToGrid w:val="0"/>
        </w:rPr>
        <w:t>.</w:t>
      </w:r>
      <w:r>
        <w:rPr>
          <w:snapToGrid w:val="0"/>
        </w:rPr>
        <w:tab/>
        <w:t>Charges (section 16(1))</w:t>
      </w:r>
      <w:bookmarkEnd w:id="6"/>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7" w:name="_Toc193791555"/>
      <w:r>
        <w:rPr>
          <w:rStyle w:val="CharSectno"/>
        </w:rPr>
        <w:t>6</w:t>
      </w:r>
      <w:r>
        <w:rPr>
          <w:snapToGrid w:val="0"/>
        </w:rPr>
        <w:t>.</w:t>
      </w:r>
      <w:r>
        <w:rPr>
          <w:snapToGrid w:val="0"/>
        </w:rPr>
        <w:tab/>
        <w:t>Advance deposits (section 18(1) and (4))</w:t>
      </w:r>
      <w:bookmarkEnd w:id="7"/>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8" w:name="_Toc193791556"/>
      <w:r>
        <w:rPr>
          <w:rStyle w:val="CharSectno"/>
        </w:rPr>
        <w:t>7</w:t>
      </w:r>
      <w:r>
        <w:rPr>
          <w:snapToGrid w:val="0"/>
        </w:rPr>
        <w:t>.</w:t>
      </w:r>
      <w:r>
        <w:rPr>
          <w:snapToGrid w:val="0"/>
        </w:rPr>
        <w:tab/>
        <w:t>Meaning of “suitably qualified person” (section 28)</w:t>
      </w:r>
      <w:bookmarkEnd w:id="8"/>
    </w:p>
    <w:p>
      <w:pPr>
        <w:pStyle w:val="Subsection"/>
        <w:rPr>
          <w:snapToGrid w:val="0"/>
        </w:rPr>
      </w:pPr>
      <w:r>
        <w:rPr>
          <w:snapToGrid w:val="0"/>
        </w:rPr>
        <w:tab/>
      </w:r>
      <w:r>
        <w:rPr>
          <w:snapToGrid w:val="0"/>
        </w:rPr>
        <w:tab/>
        <w:t>For the purposes of section 28 of the Act —</w:t>
      </w:r>
    </w:p>
    <w:p>
      <w:pPr>
        <w:pStyle w:val="Defstart"/>
      </w:pPr>
      <w:r>
        <w:rPr>
          <w:b/>
        </w:rPr>
        <w:tab/>
      </w:r>
      <w:r>
        <w:rPr>
          <w:rStyle w:val="CharDefText"/>
        </w:rPr>
        <w:t>suitably qualified person</w:t>
      </w:r>
      <w:r>
        <w:t xml:space="preserve"> means a medical practitioner within the meaning of the </w:t>
      </w:r>
      <w:r>
        <w:rPr>
          <w:i/>
        </w:rPr>
        <w:t>Medical Act 1894</w:t>
      </w:r>
      <w:r>
        <w:t>.</w:t>
      </w:r>
    </w:p>
    <w:p>
      <w:pPr>
        <w:pStyle w:val="Heading5"/>
        <w:rPr>
          <w:snapToGrid w:val="0"/>
        </w:rPr>
      </w:pPr>
      <w:bookmarkStart w:id="9" w:name="_Toc193791557"/>
      <w:r>
        <w:rPr>
          <w:rStyle w:val="CharSectno"/>
        </w:rPr>
        <w:t>8</w:t>
      </w:r>
      <w:r>
        <w:rPr>
          <w:snapToGrid w:val="0"/>
        </w:rPr>
        <w:t>.</w:t>
      </w:r>
      <w:r>
        <w:rPr>
          <w:snapToGrid w:val="0"/>
        </w:rPr>
        <w:tab/>
        <w:t>Information or details to be included in a complaint (section 66(1)(d))</w:t>
      </w:r>
      <w:bookmarkEnd w:id="9"/>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10" w:name="_Toc193791558"/>
      <w:r>
        <w:rPr>
          <w:rStyle w:val="CharSectno"/>
        </w:rPr>
        <w:t>9</w:t>
      </w:r>
      <w:r>
        <w:rPr>
          <w:snapToGrid w:val="0"/>
        </w:rPr>
        <w:t>.</w:t>
      </w:r>
      <w:r>
        <w:rPr>
          <w:snapToGrid w:val="0"/>
        </w:rPr>
        <w:tab/>
        <w:t>Prescribed personal details (Schedule 1 clause 3 of the Act)</w:t>
      </w:r>
      <w:bookmarkEnd w:id="10"/>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84.]</w:t>
      </w:r>
    </w:p>
    <w:p>
      <w:pPr>
        <w:pStyle w:val="Heading5"/>
        <w:rPr>
          <w:snapToGrid w:val="0"/>
        </w:rPr>
      </w:pPr>
      <w:bookmarkStart w:id="11" w:name="_Toc193791559"/>
      <w:r>
        <w:rPr>
          <w:rStyle w:val="CharSectno"/>
        </w:rPr>
        <w:t>10</w:t>
      </w:r>
      <w:r>
        <w:rPr>
          <w:snapToGrid w:val="0"/>
        </w:rPr>
        <w:t>.</w:t>
      </w:r>
      <w:r>
        <w:rPr>
          <w:snapToGrid w:val="0"/>
        </w:rPr>
        <w:tab/>
        <w:t>Specified bodies etc. to be regarded as part of other agencies</w:t>
      </w:r>
      <w:bookmarkEnd w:id="11"/>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 w:name="_Toc192562073"/>
      <w:bookmarkStart w:id="13" w:name="_Toc193791560"/>
      <w:r>
        <w:rPr>
          <w:rStyle w:val="CharSchNo"/>
        </w:rPr>
        <w:t>Schedule 1</w:t>
      </w:r>
      <w:bookmarkEnd w:id="12"/>
      <w:bookmarkEnd w:id="13"/>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14" w:name="_Toc192562074"/>
      <w:bookmarkStart w:id="15" w:name="_Toc193791561"/>
      <w:r>
        <w:rPr>
          <w:rStyle w:val="CharSchNo"/>
        </w:rPr>
        <w:t>Schedule 2</w:t>
      </w:r>
      <w:r>
        <w:t> — </w:t>
      </w:r>
      <w:r>
        <w:rPr>
          <w:rStyle w:val="CharSchText"/>
        </w:rPr>
        <w:t>Offices and bodies to be regarded as part of other agencies</w:t>
      </w:r>
      <w:bookmarkEnd w:id="14"/>
      <w:bookmarkEnd w:id="15"/>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r>
              <w:rPr>
                <w:sz w:val="20"/>
              </w:rPr>
              <w:t>Department of Agriculture and Food</w:t>
            </w:r>
          </w:p>
        </w:tc>
        <w:tc>
          <w:tcPr>
            <w:tcW w:w="5194" w:type="dxa"/>
          </w:tcPr>
          <w:p>
            <w:pPr>
              <w:pStyle w:val="yTable"/>
              <w:ind w:left="209" w:hanging="209"/>
              <w:rPr>
                <w:rFonts w:eastAsia="Arial Unicode MS"/>
              </w:rPr>
            </w:pPr>
            <w:r>
              <w:rPr>
                <w:sz w:val="20"/>
              </w:rPr>
              <w:t>Agricultural Practices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Agricultural Produce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Agriculture Protection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Artificial Breeding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Cattle Industry Compensation Act Research Fund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Grain Licensing Authority</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Potato Marketing Corporation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701" w:type="dxa"/>
          </w:tcPr>
          <w:p>
            <w:pPr>
              <w:pStyle w:val="zytable"/>
              <w:spacing w:before="40"/>
              <w:ind w:left="0" w:right="0"/>
              <w:rPr>
                <w:sz w:val="20"/>
              </w:rPr>
            </w:pPr>
          </w:p>
        </w:tc>
        <w:tc>
          <w:tcPr>
            <w:tcW w:w="5194" w:type="dxa"/>
          </w:tcPr>
          <w:p>
            <w:pPr>
              <w:pStyle w:val="yTable"/>
              <w:ind w:left="209" w:hanging="209"/>
              <w:rPr>
                <w:rFonts w:eastAsia="Arial Unicode MS"/>
              </w:rPr>
            </w:pPr>
            <w:r>
              <w:rPr>
                <w:sz w:val="20"/>
              </w:rPr>
              <w:t>York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WorkSafe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Art Gallery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701" w:type="dxa"/>
            <w:vMerge w:val="restart"/>
          </w:tcPr>
          <w:p>
            <w:pPr>
              <w:pStyle w:val="yTable"/>
            </w:pPr>
            <w:r>
              <w:rPr>
                <w:sz w:val="20"/>
              </w:rPr>
              <w:t>Department of Education and Training</w:t>
            </w:r>
          </w:p>
        </w:tc>
        <w:tc>
          <w:tcPr>
            <w:tcW w:w="5194" w:type="dxa"/>
          </w:tcPr>
          <w:p>
            <w:pPr>
              <w:pStyle w:val="yTable"/>
              <w:ind w:left="209" w:hanging="209"/>
            </w:pPr>
            <w:r>
              <w:rPr>
                <w:sz w:val="20"/>
              </w:rPr>
              <w:t>Aboriginal Education and Training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High Schools Hostels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Division of Industrial Training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Non</w:t>
            </w:r>
            <w:r>
              <w:rPr>
                <w:sz w:val="20"/>
              </w:rPr>
              <w:noBreakHyphen/>
              <w:t>Government Schools Planning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Education Endowment Trust (PEET)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Rural and Remote Education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Training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Training Accreditation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Conservation Commission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Keep Australia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Marine Parks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Marine Parks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River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r>
              <w:rPr>
                <w:sz w:val="20"/>
              </w:rPr>
              <w:t>Abrolhos Islands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Dental Charges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Dental Prosthetists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Architects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Centre of Excellence State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r>
              <w:rPr>
                <w:sz w:val="20"/>
              </w:rPr>
              <w:t>Caravan Parks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ind w:left="209" w:hanging="209"/>
              <w:rPr>
                <w:rFonts w:eastAsia="Arial Unicode MS"/>
              </w:rPr>
            </w:pPr>
            <w:r>
              <w:rPr>
                <w:sz w:val="20"/>
              </w:rPr>
              <w:t>Gaming and Wagering Commission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ind w:left="209" w:hanging="209"/>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Office of Shared Services</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Advisory Committee for Wind</w:t>
            </w:r>
            <w:r>
              <w:rPr>
                <w:sz w:val="20"/>
              </w:rPr>
              <w:noBreakHyphen/>
              <w:t>up of the Perth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Public Transport Authority of Western Australia</w:t>
            </w:r>
          </w:p>
        </w:tc>
        <w:tc>
          <w:tcPr>
            <w:tcW w:w="5194" w:type="dxa"/>
          </w:tcPr>
          <w:p>
            <w:pPr>
              <w:pStyle w:val="yTable"/>
              <w:keepNext/>
              <w:ind w:left="209" w:hanging="209"/>
              <w:rPr>
                <w:rFonts w:eastAsia="Arial Unicode MS"/>
              </w:rPr>
            </w:pPr>
            <w:r>
              <w:rPr>
                <w:sz w:val="20"/>
              </w:rPr>
              <w:t>Railway Appeal Board</w:t>
            </w:r>
          </w:p>
        </w:tc>
      </w:tr>
      <w:tr>
        <w:trPr>
          <w:cantSplit/>
        </w:trPr>
        <w:tc>
          <w:tcPr>
            <w:tcW w:w="1701" w:type="dxa"/>
            <w:vMerge w:val="restart"/>
          </w:tcPr>
          <w:p>
            <w:pPr>
              <w:pStyle w:val="yTable"/>
            </w:pPr>
            <w:r>
              <w:rPr>
                <w:sz w:val="20"/>
              </w:rPr>
              <w:t>Western Australia Industrial Relations Commission</w:t>
            </w:r>
          </w:p>
        </w:tc>
        <w:tc>
          <w:tcPr>
            <w:tcW w:w="5194" w:type="dxa"/>
          </w:tcPr>
          <w:p>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Industrial Appeal Court</w:t>
            </w:r>
          </w:p>
        </w:tc>
      </w:tr>
      <w:tr>
        <w:trPr>
          <w:cantSplit/>
        </w:trPr>
        <w:tc>
          <w:tcPr>
            <w:tcW w:w="1701" w:type="dxa"/>
            <w:vMerge w:val="restart"/>
          </w:tcPr>
          <w:p>
            <w:pPr>
              <w:pStyle w:val="yTable"/>
            </w:pPr>
            <w:r>
              <w:rPr>
                <w:sz w:val="20"/>
              </w:rPr>
              <w:t>Western Australia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r>
              <w:rPr>
                <w:sz w:val="20"/>
              </w:rPr>
              <w:t>Western Australian Land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WorkCover Western Australia Authority (Workcover WA)</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 2 inserted in Gazette 28 Dec 2007 p. 6415</w:t>
      </w:r>
      <w:r>
        <w:noBreakHyphen/>
        <w:t>23.]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6" w:name="_Toc192562075"/>
      <w:bookmarkStart w:id="17" w:name="_Toc193791562"/>
      <w:r>
        <w:t>Notes</w:t>
      </w:r>
      <w:bookmarkEnd w:id="16"/>
      <w:bookmarkEnd w:id="17"/>
    </w:p>
    <w:p>
      <w:pPr>
        <w:pStyle w:val="nSubsection"/>
        <w:rPr>
          <w:snapToGrid w:val="0"/>
        </w:rPr>
      </w:pPr>
      <w:r>
        <w:rPr>
          <w:snapToGrid w:val="0"/>
          <w:vertAlign w:val="superscript"/>
        </w:rPr>
        <w:t>1</w:t>
      </w:r>
      <w:r>
        <w:rPr>
          <w:snapToGrid w:val="0"/>
        </w:rPr>
        <w:tab/>
        <w:t xml:space="preserve">This reprint is a compilation as at 14 March 2008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193791563"/>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r>
              <w:rPr>
                <w:sz w:val="19"/>
              </w:rPr>
              <w:noBreakHyphen/>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w:t>
            </w:r>
            <w:r>
              <w:rPr>
                <w:sz w:val="19"/>
              </w:rPr>
              <w:noBreakHyphen/>
              <w:t>23</w:t>
            </w:r>
          </w:p>
        </w:tc>
        <w:tc>
          <w:tcPr>
            <w:tcW w:w="2693" w:type="dxa"/>
          </w:tcPr>
          <w:p>
            <w:pPr>
              <w:pStyle w:val="nTable"/>
              <w:spacing w:after="40"/>
              <w:rPr>
                <w:sz w:val="19"/>
              </w:rPr>
            </w:pPr>
            <w:r>
              <w:rPr>
                <w:sz w:val="19"/>
              </w:rPr>
              <w:t>28 Dec 2007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bl>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19" w:name="_Toc192562077"/>
      <w:bookmarkStart w:id="20" w:name="_Toc193791564"/>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 w:name="DefinedTerms"/>
      <w:bookmarkEnd w:id="21"/>
      <w:r>
        <w:t>non</w:t>
      </w:r>
      <w:r>
        <w:noBreakHyphen/>
        <w:t>personal information</w:t>
      </w:r>
      <w:r>
        <w:tab/>
        <w:t>2A</w:t>
      </w:r>
    </w:p>
    <w:p>
      <w:pPr>
        <w:pStyle w:val="DefinedTerms"/>
      </w:pPr>
      <w:r>
        <w:t>suitably qualified person</w:t>
      </w:r>
      <w:r>
        <w:tab/>
        <w:t>7</w:t>
      </w:r>
    </w:p>
    <w:p>
      <w:pPr>
        <w:pStyle w:val="DefinedTerms"/>
      </w:pPr>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bookmarkStart w:id="22" w:name="UpToHere"/>
      <w:bookmarkEnd w:id="22"/>
    </w:p>
    <w:sectPr>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Freedom of Information Regulations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04DA3-1B25-4D9D-9E53-435564087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3678</Words>
  <Characters>22919</Characters>
  <Application>Microsoft Office Word</Application>
  <DocSecurity>0</DocSecurity>
  <Lines>1206</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25933</CharactersWithSpaces>
  <SharedDoc>false</SharedDoc>
  <HLinks>
    <vt:vector size="18" baseType="variant">
      <vt:variant>
        <vt:i4>65542</vt:i4>
      </vt:variant>
      <vt:variant>
        <vt:i4>2645</vt:i4>
      </vt:variant>
      <vt:variant>
        <vt:i4>1025</vt:i4>
      </vt:variant>
      <vt:variant>
        <vt:i4>1</vt:i4>
      </vt:variant>
      <vt:variant>
        <vt:lpwstr>Crest</vt:lpwstr>
      </vt:variant>
      <vt:variant>
        <vt:lpwstr/>
      </vt:variant>
      <vt:variant>
        <vt:i4>131085</vt:i4>
      </vt:variant>
      <vt:variant>
        <vt:i4>25909</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1993 - 01-a0-04</dc:title>
  <dc:subject/>
  <dc:creator>Matthew Pether</dc:creator>
  <cp:keywords/>
  <cp:lastModifiedBy>svcMRProcess</cp:lastModifiedBy>
  <cp:revision>4</cp:revision>
  <cp:lastPrinted>2008-03-07T06:30:00Z</cp:lastPrinted>
  <dcterms:created xsi:type="dcterms:W3CDTF">2015-08-27T03:42:00Z</dcterms:created>
  <dcterms:modified xsi:type="dcterms:W3CDTF">2015-08-27T03:42:00Z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20080314</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AsAtDate">
    <vt:lpwstr>14 Mar 2008</vt:lpwstr>
  </property>
  <property fmtid="{D5CDD505-2E9C-101B-9397-08002B2CF9AE}" pid="9" name="Suffix">
    <vt:lpwstr>01-a0-04</vt:lpwstr>
  </property>
</Properties>
</file>