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Disposal of Uncollected Goods Act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before="480"/>
      </w:pPr>
      <w:r>
        <w:fldChar w:fldCharType="begin"/>
      </w:r>
      <w:r>
        <w:instrText xml:space="preserve"> STYLEREF "Name Of Act/Reg"</w:instrText>
      </w:r>
      <w:r>
        <w:fldChar w:fldCharType="separate"/>
      </w:r>
      <w:r>
        <w:rPr>
          <w:noProof/>
        </w:rPr>
        <w:t>Disposal of Uncollected Goods Act 1970</w:t>
      </w:r>
      <w:r>
        <w:fldChar w:fldCharType="end"/>
      </w:r>
    </w:p>
    <w:p>
      <w:pPr>
        <w:pStyle w:val="Arrangement"/>
        <w:spacing w:before="480"/>
        <w:ind w:left="2302" w:right="2302"/>
      </w:pPr>
      <w:r>
        <w:t>CONTENTS</w:t>
      </w:r>
    </w:p>
    <w:p>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_Toc102282409 \h </w:instrText>
      </w:r>
      <w:r>
        <w:rPr>
          <w:noProof/>
        </w:rPr>
      </w:r>
      <w:r>
        <w:rPr>
          <w:noProof/>
        </w:rPr>
        <w:fldChar w:fldCharType="separate"/>
      </w:r>
      <w:r>
        <w:rPr>
          <w:noProof/>
        </w:rPr>
        <w:t>2</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_Toc102282410 \h </w:instrText>
      </w:r>
      <w:r>
        <w:rPr>
          <w:noProof/>
        </w:rPr>
      </w:r>
      <w:r>
        <w:rPr>
          <w:noProof/>
        </w:rPr>
        <w:fldChar w:fldCharType="separate"/>
      </w:r>
      <w:r>
        <w:rPr>
          <w:noProof/>
        </w:rPr>
        <w:t>2</w:t>
      </w:r>
      <w:r>
        <w:rPr>
          <w:noProof/>
        </w:rPr>
        <w:fldChar w:fldCharType="end"/>
      </w:r>
    </w:p>
    <w:p>
      <w:pPr>
        <w:pStyle w:val="TOC4"/>
        <w:rPr>
          <w:noProof/>
          <w:sz w:val="24"/>
        </w:rPr>
      </w:pPr>
      <w:r>
        <w:rPr>
          <w:noProof/>
        </w:rPr>
        <w:t>4</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_Toc102282411 \h </w:instrText>
      </w:r>
      <w:r>
        <w:rPr>
          <w:noProof/>
        </w:rPr>
      </w:r>
      <w:r>
        <w:rPr>
          <w:noProof/>
        </w:rPr>
        <w:fldChar w:fldCharType="separate"/>
      </w:r>
      <w:r>
        <w:rPr>
          <w:noProof/>
        </w:rPr>
        <w:t>2</w:t>
      </w:r>
      <w:r>
        <w:rPr>
          <w:noProof/>
        </w:rPr>
        <w:fldChar w:fldCharType="end"/>
      </w:r>
    </w:p>
    <w:p>
      <w:pPr>
        <w:pStyle w:val="TOC4"/>
        <w:rPr>
          <w:noProof/>
          <w:sz w:val="24"/>
        </w:rPr>
      </w:pPr>
      <w:r>
        <w:rPr>
          <w:noProof/>
        </w:rPr>
        <w:t>5</w:t>
      </w:r>
      <w:r>
        <w:rPr>
          <w:noProof/>
          <w:snapToGrid w:val="0"/>
        </w:rPr>
        <w:t>.</w:t>
      </w:r>
      <w:r>
        <w:rPr>
          <w:noProof/>
          <w:sz w:val="24"/>
        </w:rPr>
        <w:tab/>
      </w:r>
      <w:r>
        <w:rPr>
          <w:noProof/>
          <w:snapToGrid w:val="0"/>
        </w:rPr>
        <w:t>Savings</w:t>
      </w:r>
      <w:r>
        <w:rPr>
          <w:noProof/>
        </w:rPr>
        <w:tab/>
      </w:r>
      <w:r>
        <w:rPr>
          <w:noProof/>
        </w:rPr>
        <w:fldChar w:fldCharType="begin"/>
      </w:r>
      <w:r>
        <w:rPr>
          <w:noProof/>
        </w:rPr>
        <w:instrText xml:space="preserve"> PAGEREF _Toc102282412 \h </w:instrText>
      </w:r>
      <w:r>
        <w:rPr>
          <w:noProof/>
        </w:rPr>
      </w:r>
      <w:r>
        <w:rPr>
          <w:noProof/>
        </w:rPr>
        <w:fldChar w:fldCharType="separate"/>
      </w:r>
      <w:r>
        <w:rPr>
          <w:noProof/>
        </w:rPr>
        <w:t>3</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Act not to apply to certain bailments, etc.</w:t>
      </w:r>
      <w:r>
        <w:rPr>
          <w:noProof/>
        </w:rPr>
        <w:tab/>
      </w:r>
      <w:r>
        <w:rPr>
          <w:noProof/>
        </w:rPr>
        <w:fldChar w:fldCharType="begin"/>
      </w:r>
      <w:r>
        <w:rPr>
          <w:noProof/>
        </w:rPr>
        <w:instrText xml:space="preserve"> PAGEREF _Toc102282413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rPr>
      </w:pPr>
      <w:r>
        <w:rPr>
          <w:noProof/>
        </w:rPr>
        <w:t>Part II — Disposal of uncollected prescribed goods</w:t>
      </w:r>
    </w:p>
    <w:p>
      <w:pPr>
        <w:pStyle w:val="TOC4"/>
        <w:rPr>
          <w:noProof/>
          <w:sz w:val="24"/>
        </w:rPr>
      </w:pPr>
      <w:r>
        <w:rPr>
          <w:noProof/>
        </w:rPr>
        <w:t>7</w:t>
      </w:r>
      <w:r>
        <w:rPr>
          <w:noProof/>
          <w:snapToGrid w:val="0"/>
        </w:rPr>
        <w:t>.</w:t>
      </w:r>
      <w:r>
        <w:rPr>
          <w:noProof/>
          <w:sz w:val="24"/>
        </w:rPr>
        <w:tab/>
      </w:r>
      <w:r>
        <w:rPr>
          <w:noProof/>
          <w:snapToGrid w:val="0"/>
        </w:rPr>
        <w:t>Application of Part II</w:t>
      </w:r>
      <w:r>
        <w:rPr>
          <w:noProof/>
        </w:rPr>
        <w:tab/>
      </w:r>
      <w:r>
        <w:rPr>
          <w:noProof/>
        </w:rPr>
        <w:fldChar w:fldCharType="begin"/>
      </w:r>
      <w:r>
        <w:rPr>
          <w:noProof/>
        </w:rPr>
        <w:instrText xml:space="preserve"> PAGEREF _Toc102282415 \h </w:instrText>
      </w:r>
      <w:r>
        <w:rPr>
          <w:noProof/>
        </w:rPr>
      </w:r>
      <w:r>
        <w:rPr>
          <w:noProof/>
        </w:rPr>
        <w:fldChar w:fldCharType="separate"/>
      </w:r>
      <w:r>
        <w:rPr>
          <w:noProof/>
        </w:rPr>
        <w:t>4</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Rights of bailee to dispose of prescribed goods</w:t>
      </w:r>
      <w:r>
        <w:rPr>
          <w:noProof/>
        </w:rPr>
        <w:tab/>
      </w:r>
      <w:r>
        <w:rPr>
          <w:noProof/>
        </w:rPr>
        <w:fldChar w:fldCharType="begin"/>
      </w:r>
      <w:r>
        <w:rPr>
          <w:noProof/>
        </w:rPr>
        <w:instrText xml:space="preserve"> PAGEREF _Toc102282416 \h </w:instrText>
      </w:r>
      <w:r>
        <w:rPr>
          <w:noProof/>
        </w:rPr>
      </w:r>
      <w:r>
        <w:rPr>
          <w:noProof/>
        </w:rPr>
        <w:fldChar w:fldCharType="separate"/>
      </w:r>
      <w:r>
        <w:rPr>
          <w:noProof/>
        </w:rPr>
        <w:t>4</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Conditions as to disposal of prescribed goods</w:t>
      </w:r>
      <w:r>
        <w:rPr>
          <w:noProof/>
        </w:rPr>
        <w:tab/>
      </w:r>
      <w:r>
        <w:rPr>
          <w:noProof/>
        </w:rPr>
        <w:fldChar w:fldCharType="begin"/>
      </w:r>
      <w:r>
        <w:rPr>
          <w:noProof/>
        </w:rPr>
        <w:instrText xml:space="preserve"> PAGEREF _Toc102282417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rPr>
      </w:pPr>
      <w:r>
        <w:rPr>
          <w:noProof/>
        </w:rPr>
        <w:t>Part III — Disposal of uncollected goods assessed at a value not exceeding $300</w:t>
      </w:r>
    </w:p>
    <w:p>
      <w:pPr>
        <w:pStyle w:val="TOC4"/>
        <w:rPr>
          <w:noProof/>
          <w:sz w:val="24"/>
        </w:rPr>
      </w:pPr>
      <w:r>
        <w:rPr>
          <w:noProof/>
        </w:rPr>
        <w:t>10</w:t>
      </w:r>
      <w:r>
        <w:rPr>
          <w:noProof/>
          <w:snapToGrid w:val="0"/>
        </w:rPr>
        <w:t>.</w:t>
      </w:r>
      <w:r>
        <w:rPr>
          <w:noProof/>
          <w:sz w:val="24"/>
        </w:rPr>
        <w:tab/>
      </w:r>
      <w:r>
        <w:rPr>
          <w:noProof/>
          <w:snapToGrid w:val="0"/>
        </w:rPr>
        <w:t>Application of Part III</w:t>
      </w:r>
      <w:r>
        <w:rPr>
          <w:noProof/>
        </w:rPr>
        <w:tab/>
      </w:r>
      <w:r>
        <w:rPr>
          <w:noProof/>
        </w:rPr>
        <w:fldChar w:fldCharType="begin"/>
      </w:r>
      <w:r>
        <w:rPr>
          <w:noProof/>
        </w:rPr>
        <w:instrText xml:space="preserve"> PAGEREF _Toc102282419 \h </w:instrText>
      </w:r>
      <w:r>
        <w:rPr>
          <w:noProof/>
        </w:rPr>
      </w:r>
      <w:r>
        <w:rPr>
          <w:noProof/>
        </w:rPr>
        <w:fldChar w:fldCharType="separate"/>
      </w:r>
      <w:r>
        <w:rPr>
          <w:noProof/>
        </w:rPr>
        <w:t>6</w:t>
      </w:r>
      <w:r>
        <w:rPr>
          <w:noProof/>
        </w:rPr>
        <w:fldChar w:fldCharType="end"/>
      </w:r>
    </w:p>
    <w:p>
      <w:pPr>
        <w:pStyle w:val="TOC4"/>
        <w:rPr>
          <w:noProof/>
          <w:sz w:val="24"/>
        </w:rPr>
      </w:pPr>
      <w:r>
        <w:rPr>
          <w:noProof/>
        </w:rPr>
        <w:t>11</w:t>
      </w:r>
      <w:r>
        <w:rPr>
          <w:noProof/>
          <w:snapToGrid w:val="0"/>
        </w:rPr>
        <w:t>.</w:t>
      </w:r>
      <w:r>
        <w:rPr>
          <w:noProof/>
          <w:sz w:val="24"/>
        </w:rPr>
        <w:tab/>
      </w:r>
      <w:r>
        <w:rPr>
          <w:noProof/>
          <w:snapToGrid w:val="0"/>
        </w:rPr>
        <w:t>Rights of bailee to dispose of goods not exceeding $300 in value</w:t>
      </w:r>
      <w:r>
        <w:rPr>
          <w:noProof/>
        </w:rPr>
        <w:tab/>
      </w:r>
      <w:r>
        <w:rPr>
          <w:noProof/>
        </w:rPr>
        <w:fldChar w:fldCharType="begin"/>
      </w:r>
      <w:r>
        <w:rPr>
          <w:noProof/>
        </w:rPr>
        <w:instrText xml:space="preserve"> PAGEREF _Toc102282420 \h </w:instrText>
      </w:r>
      <w:r>
        <w:rPr>
          <w:noProof/>
        </w:rPr>
      </w:r>
      <w:r>
        <w:rPr>
          <w:noProof/>
        </w:rPr>
        <w:fldChar w:fldCharType="separate"/>
      </w:r>
      <w:r>
        <w:rPr>
          <w:noProof/>
        </w:rPr>
        <w:t>6</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Conditions as to disposal of goods not exceeding $300 in value</w:t>
      </w:r>
      <w:r>
        <w:rPr>
          <w:noProof/>
        </w:rPr>
        <w:tab/>
      </w:r>
      <w:r>
        <w:rPr>
          <w:noProof/>
        </w:rPr>
        <w:fldChar w:fldCharType="begin"/>
      </w:r>
      <w:r>
        <w:rPr>
          <w:noProof/>
        </w:rPr>
        <w:instrText xml:space="preserve"> PAGEREF _Toc102282421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rPr>
      </w:pPr>
      <w:r>
        <w:rPr>
          <w:noProof/>
        </w:rPr>
        <w:t>Part IV — Procedure after goods are sold or otherwise disposed of pursuant to Parts II and III</w:t>
      </w:r>
    </w:p>
    <w:p>
      <w:pPr>
        <w:pStyle w:val="TOC4"/>
        <w:rPr>
          <w:noProof/>
          <w:sz w:val="24"/>
        </w:rPr>
      </w:pPr>
      <w:r>
        <w:rPr>
          <w:noProof/>
        </w:rPr>
        <w:t>13</w:t>
      </w:r>
      <w:r>
        <w:rPr>
          <w:noProof/>
          <w:snapToGrid w:val="0"/>
        </w:rPr>
        <w:t>.</w:t>
      </w:r>
      <w:r>
        <w:rPr>
          <w:noProof/>
          <w:sz w:val="24"/>
        </w:rPr>
        <w:tab/>
      </w:r>
      <w:r>
        <w:rPr>
          <w:noProof/>
          <w:snapToGrid w:val="0"/>
        </w:rPr>
        <w:t>Application of Part IV</w:t>
      </w:r>
      <w:r>
        <w:rPr>
          <w:noProof/>
        </w:rPr>
        <w:tab/>
      </w:r>
      <w:r>
        <w:rPr>
          <w:noProof/>
        </w:rPr>
        <w:fldChar w:fldCharType="begin"/>
      </w:r>
      <w:r>
        <w:rPr>
          <w:noProof/>
        </w:rPr>
        <w:instrText xml:space="preserve"> PAGEREF _Toc102282423 \h </w:instrText>
      </w:r>
      <w:r>
        <w:rPr>
          <w:noProof/>
        </w:rPr>
      </w:r>
      <w:r>
        <w:rPr>
          <w:noProof/>
        </w:rPr>
        <w:fldChar w:fldCharType="separate"/>
      </w:r>
      <w:r>
        <w:rPr>
          <w:noProof/>
        </w:rPr>
        <w:t>8</w:t>
      </w:r>
      <w:r>
        <w:rPr>
          <w:noProof/>
        </w:rPr>
        <w:fldChar w:fldCharType="end"/>
      </w:r>
    </w:p>
    <w:p>
      <w:pPr>
        <w:pStyle w:val="TOC4"/>
        <w:rPr>
          <w:noProof/>
          <w:sz w:val="24"/>
        </w:rPr>
      </w:pPr>
      <w:r>
        <w:rPr>
          <w:noProof/>
        </w:rPr>
        <w:lastRenderedPageBreak/>
        <w:t>14</w:t>
      </w:r>
      <w:r>
        <w:rPr>
          <w:noProof/>
          <w:snapToGrid w:val="0"/>
        </w:rPr>
        <w:t>.</w:t>
      </w:r>
      <w:r>
        <w:rPr>
          <w:noProof/>
          <w:sz w:val="24"/>
        </w:rPr>
        <w:tab/>
      </w:r>
      <w:r>
        <w:rPr>
          <w:noProof/>
          <w:snapToGrid w:val="0"/>
        </w:rPr>
        <w:t>Procedure after disposal of goods pursuant to Parts II and III</w:t>
      </w:r>
      <w:r>
        <w:rPr>
          <w:noProof/>
        </w:rPr>
        <w:tab/>
      </w:r>
      <w:r>
        <w:rPr>
          <w:noProof/>
        </w:rPr>
        <w:fldChar w:fldCharType="begin"/>
      </w:r>
      <w:r>
        <w:rPr>
          <w:noProof/>
        </w:rPr>
        <w:instrText xml:space="preserve"> PAGEREF _Toc102282424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rPr>
      </w:pPr>
      <w:r>
        <w:rPr>
          <w:noProof/>
        </w:rPr>
        <w:t>Part V — Provisions relating to disputes</w:t>
      </w:r>
    </w:p>
    <w:p>
      <w:pPr>
        <w:pStyle w:val="TOC4"/>
        <w:rPr>
          <w:noProof/>
          <w:sz w:val="24"/>
        </w:rPr>
      </w:pPr>
      <w:r>
        <w:rPr>
          <w:noProof/>
        </w:rPr>
        <w:t>15</w:t>
      </w:r>
      <w:r>
        <w:rPr>
          <w:noProof/>
          <w:snapToGrid w:val="0"/>
        </w:rPr>
        <w:t>.</w:t>
      </w:r>
      <w:r>
        <w:rPr>
          <w:noProof/>
          <w:sz w:val="24"/>
        </w:rPr>
        <w:tab/>
      </w:r>
      <w:r>
        <w:rPr>
          <w:noProof/>
          <w:snapToGrid w:val="0"/>
        </w:rPr>
        <w:t>Disputes as to charges, etc.</w:t>
      </w:r>
      <w:r>
        <w:rPr>
          <w:noProof/>
        </w:rPr>
        <w:tab/>
      </w:r>
      <w:r>
        <w:rPr>
          <w:noProof/>
        </w:rPr>
        <w:fldChar w:fldCharType="begin"/>
      </w:r>
      <w:r>
        <w:rPr>
          <w:noProof/>
        </w:rPr>
        <w:instrText xml:space="preserve"> PAGEREF _Toc102282426 \h </w:instrText>
      </w:r>
      <w:r>
        <w:rPr>
          <w:noProof/>
        </w:rPr>
      </w:r>
      <w:r>
        <w:rPr>
          <w:noProof/>
        </w:rPr>
        <w:fldChar w:fldCharType="separate"/>
      </w:r>
      <w:r>
        <w:rPr>
          <w:noProof/>
        </w:rPr>
        <w:t>11</w:t>
      </w:r>
      <w:r>
        <w:rPr>
          <w:noProof/>
        </w:rPr>
        <w:fldChar w:fldCharType="end"/>
      </w:r>
    </w:p>
    <w:p>
      <w:pPr>
        <w:pStyle w:val="TOC4"/>
        <w:rPr>
          <w:noProof/>
          <w:sz w:val="24"/>
        </w:rPr>
      </w:pPr>
      <w:r>
        <w:rPr>
          <w:noProof/>
        </w:rPr>
        <w:t>16</w:t>
      </w:r>
      <w:r>
        <w:rPr>
          <w:noProof/>
          <w:snapToGrid w:val="0"/>
        </w:rPr>
        <w:t>.</w:t>
      </w:r>
      <w:r>
        <w:rPr>
          <w:noProof/>
          <w:sz w:val="24"/>
        </w:rPr>
        <w:tab/>
      </w:r>
      <w:r>
        <w:rPr>
          <w:noProof/>
          <w:snapToGrid w:val="0"/>
        </w:rPr>
        <w:t>Disputes as to description of goods</w:t>
      </w:r>
      <w:r>
        <w:rPr>
          <w:noProof/>
        </w:rPr>
        <w:tab/>
      </w:r>
      <w:r>
        <w:rPr>
          <w:noProof/>
        </w:rPr>
        <w:fldChar w:fldCharType="begin"/>
      </w:r>
      <w:r>
        <w:rPr>
          <w:noProof/>
        </w:rPr>
        <w:instrText xml:space="preserve"> PAGEREF _Toc102282427 \h </w:instrText>
      </w:r>
      <w:r>
        <w:rPr>
          <w:noProof/>
        </w:rPr>
      </w:r>
      <w:r>
        <w:rPr>
          <w:noProof/>
        </w:rPr>
        <w:fldChar w:fldCharType="separate"/>
      </w:r>
      <w:r>
        <w:rPr>
          <w:noProof/>
        </w:rPr>
        <w:t>11</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Determination of disputes</w:t>
      </w:r>
      <w:r>
        <w:rPr>
          <w:noProof/>
        </w:rPr>
        <w:tab/>
      </w:r>
      <w:r>
        <w:rPr>
          <w:noProof/>
        </w:rPr>
        <w:fldChar w:fldCharType="begin"/>
      </w:r>
      <w:r>
        <w:rPr>
          <w:noProof/>
        </w:rPr>
        <w:instrText xml:space="preserve"> PAGEREF _Toc102282428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rPr>
      </w:pPr>
      <w:r>
        <w:rPr>
          <w:noProof/>
        </w:rPr>
        <w:t>Part VI — Disposal of goods valued in excess of $300</w:t>
      </w:r>
    </w:p>
    <w:p>
      <w:pPr>
        <w:pStyle w:val="TOC4"/>
        <w:rPr>
          <w:noProof/>
          <w:sz w:val="24"/>
        </w:rPr>
      </w:pPr>
      <w:r>
        <w:rPr>
          <w:noProof/>
        </w:rPr>
        <w:t>18</w:t>
      </w:r>
      <w:r>
        <w:rPr>
          <w:noProof/>
          <w:snapToGrid w:val="0"/>
        </w:rPr>
        <w:t>.</w:t>
      </w:r>
      <w:r>
        <w:rPr>
          <w:noProof/>
          <w:sz w:val="24"/>
        </w:rPr>
        <w:tab/>
      </w:r>
      <w:r>
        <w:rPr>
          <w:noProof/>
          <w:snapToGrid w:val="0"/>
        </w:rPr>
        <w:t>Application of Part VI</w:t>
      </w:r>
      <w:r>
        <w:rPr>
          <w:noProof/>
        </w:rPr>
        <w:tab/>
      </w:r>
      <w:r>
        <w:rPr>
          <w:noProof/>
        </w:rPr>
        <w:fldChar w:fldCharType="begin"/>
      </w:r>
      <w:r>
        <w:rPr>
          <w:noProof/>
        </w:rPr>
        <w:instrText xml:space="preserve"> PAGEREF _Toc102282430 \h </w:instrText>
      </w:r>
      <w:r>
        <w:rPr>
          <w:noProof/>
        </w:rPr>
      </w:r>
      <w:r>
        <w:rPr>
          <w:noProof/>
        </w:rPr>
        <w:fldChar w:fldCharType="separate"/>
      </w:r>
      <w:r>
        <w:rPr>
          <w:noProof/>
        </w:rPr>
        <w:t>13</w:t>
      </w:r>
      <w:r>
        <w:rPr>
          <w:noProof/>
        </w:rPr>
        <w:fldChar w:fldCharType="end"/>
      </w:r>
    </w:p>
    <w:p>
      <w:pPr>
        <w:pStyle w:val="TOC4"/>
        <w:rPr>
          <w:noProof/>
          <w:sz w:val="24"/>
        </w:rPr>
      </w:pPr>
      <w:r>
        <w:rPr>
          <w:noProof/>
        </w:rPr>
        <w:t>19</w:t>
      </w:r>
      <w:r>
        <w:rPr>
          <w:noProof/>
          <w:snapToGrid w:val="0"/>
        </w:rPr>
        <w:t>.</w:t>
      </w:r>
      <w:r>
        <w:rPr>
          <w:noProof/>
          <w:sz w:val="24"/>
        </w:rPr>
        <w:tab/>
      </w:r>
      <w:r>
        <w:rPr>
          <w:noProof/>
          <w:snapToGrid w:val="0"/>
        </w:rPr>
        <w:t>Application by bailee for order to dispose of goods exceeding $300 in value</w:t>
      </w:r>
      <w:r>
        <w:rPr>
          <w:noProof/>
        </w:rPr>
        <w:tab/>
      </w:r>
      <w:r>
        <w:rPr>
          <w:noProof/>
        </w:rPr>
        <w:fldChar w:fldCharType="begin"/>
      </w:r>
      <w:r>
        <w:rPr>
          <w:noProof/>
        </w:rPr>
        <w:instrText xml:space="preserve"> PAGEREF _Toc102282431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rPr>
      </w:pPr>
      <w:r>
        <w:rPr>
          <w:noProof/>
        </w:rPr>
        <w:t>Part VII — Disposal of goods in possession otherwise than under a bailment in the course of business</w:t>
      </w:r>
    </w:p>
    <w:p>
      <w:pPr>
        <w:pStyle w:val="TOC4"/>
        <w:rPr>
          <w:noProof/>
          <w:sz w:val="24"/>
        </w:rPr>
      </w:pPr>
      <w:r>
        <w:rPr>
          <w:noProof/>
        </w:rPr>
        <w:t>20</w:t>
      </w:r>
      <w:r>
        <w:rPr>
          <w:noProof/>
          <w:snapToGrid w:val="0"/>
        </w:rPr>
        <w:t>.</w:t>
      </w:r>
      <w:r>
        <w:rPr>
          <w:noProof/>
          <w:sz w:val="24"/>
        </w:rPr>
        <w:tab/>
      </w:r>
      <w:r>
        <w:rPr>
          <w:noProof/>
          <w:snapToGrid w:val="0"/>
        </w:rPr>
        <w:t>Disposal of goods held in any way other than by bailment in the course of business</w:t>
      </w:r>
      <w:r>
        <w:rPr>
          <w:noProof/>
        </w:rPr>
        <w:tab/>
      </w:r>
      <w:r>
        <w:rPr>
          <w:noProof/>
        </w:rPr>
        <w:fldChar w:fldCharType="begin"/>
      </w:r>
      <w:r>
        <w:rPr>
          <w:noProof/>
        </w:rPr>
        <w:instrText xml:space="preserve"> PAGEREF _Toc102282433 \h </w:instrText>
      </w:r>
      <w:r>
        <w:rPr>
          <w:noProof/>
        </w:rPr>
      </w:r>
      <w:r>
        <w:rPr>
          <w:noProof/>
        </w:rPr>
        <w:fldChar w:fldCharType="separate"/>
      </w:r>
      <w:r>
        <w:rPr>
          <w:noProof/>
        </w:rPr>
        <w:t>15</w:t>
      </w:r>
      <w:r>
        <w:rPr>
          <w:noProof/>
        </w:rPr>
        <w:fldChar w:fldCharType="end"/>
      </w:r>
    </w:p>
    <w:p>
      <w:pPr>
        <w:pStyle w:val="TOC4"/>
        <w:rPr>
          <w:noProof/>
          <w:sz w:val="24"/>
        </w:rPr>
      </w:pPr>
      <w:r>
        <w:rPr>
          <w:noProof/>
        </w:rPr>
        <w:t>21</w:t>
      </w:r>
      <w:r>
        <w:rPr>
          <w:noProof/>
          <w:snapToGrid w:val="0"/>
        </w:rPr>
        <w:t>.</w:t>
      </w:r>
      <w:r>
        <w:rPr>
          <w:noProof/>
          <w:sz w:val="24"/>
        </w:rPr>
        <w:tab/>
      </w:r>
      <w:r>
        <w:rPr>
          <w:noProof/>
          <w:snapToGrid w:val="0"/>
        </w:rPr>
        <w:t>Conditions precedent to application to court</w:t>
      </w:r>
      <w:r>
        <w:rPr>
          <w:noProof/>
        </w:rPr>
        <w:tab/>
      </w:r>
      <w:r>
        <w:rPr>
          <w:noProof/>
        </w:rPr>
        <w:fldChar w:fldCharType="begin"/>
      </w:r>
      <w:r>
        <w:rPr>
          <w:noProof/>
        </w:rPr>
        <w:instrText xml:space="preserve"> PAGEREF _Toc102282434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rPr>
      </w:pPr>
      <w:r>
        <w:rPr>
          <w:noProof/>
        </w:rPr>
        <w:t>Part VIII — Powers of the court</w:t>
      </w:r>
    </w:p>
    <w:p>
      <w:pPr>
        <w:pStyle w:val="TOC4"/>
        <w:rPr>
          <w:noProof/>
          <w:sz w:val="24"/>
        </w:rPr>
      </w:pPr>
      <w:r>
        <w:rPr>
          <w:noProof/>
        </w:rPr>
        <w:t>22</w:t>
      </w:r>
      <w:r>
        <w:rPr>
          <w:noProof/>
          <w:snapToGrid w:val="0"/>
        </w:rPr>
        <w:t>.</w:t>
      </w:r>
      <w:r>
        <w:rPr>
          <w:noProof/>
          <w:sz w:val="24"/>
        </w:rPr>
        <w:tab/>
      </w:r>
      <w:r>
        <w:rPr>
          <w:noProof/>
          <w:snapToGrid w:val="0"/>
        </w:rPr>
        <w:t>Power of court to make order for disposal of goods</w:t>
      </w:r>
      <w:r>
        <w:rPr>
          <w:noProof/>
        </w:rPr>
        <w:tab/>
      </w:r>
      <w:r>
        <w:rPr>
          <w:noProof/>
        </w:rPr>
        <w:fldChar w:fldCharType="begin"/>
      </w:r>
      <w:r>
        <w:rPr>
          <w:noProof/>
        </w:rPr>
        <w:instrText xml:space="preserve"> PAGEREF _Toc102282436 \h </w:instrText>
      </w:r>
      <w:r>
        <w:rPr>
          <w:noProof/>
        </w:rPr>
      </w:r>
      <w:r>
        <w:rPr>
          <w:noProof/>
        </w:rPr>
        <w:fldChar w:fldCharType="separate"/>
      </w:r>
      <w:r>
        <w:rPr>
          <w:noProof/>
        </w:rPr>
        <w:t>16</w:t>
      </w:r>
      <w:r>
        <w:rPr>
          <w:noProof/>
        </w:rPr>
        <w:fldChar w:fldCharType="end"/>
      </w:r>
    </w:p>
    <w:p>
      <w:pPr>
        <w:pStyle w:val="TOC4"/>
        <w:rPr>
          <w:noProof/>
          <w:sz w:val="24"/>
        </w:rPr>
      </w:pPr>
      <w:r>
        <w:rPr>
          <w:noProof/>
        </w:rPr>
        <w:t>23</w:t>
      </w:r>
      <w:r>
        <w:rPr>
          <w:noProof/>
          <w:snapToGrid w:val="0"/>
        </w:rPr>
        <w:t>.</w:t>
      </w:r>
      <w:r>
        <w:rPr>
          <w:noProof/>
          <w:sz w:val="24"/>
        </w:rPr>
        <w:tab/>
      </w:r>
      <w:r>
        <w:rPr>
          <w:noProof/>
          <w:snapToGrid w:val="0"/>
        </w:rPr>
        <w:t>Effect of order for disposal</w:t>
      </w:r>
      <w:r>
        <w:rPr>
          <w:noProof/>
        </w:rPr>
        <w:tab/>
      </w:r>
      <w:r>
        <w:rPr>
          <w:noProof/>
        </w:rPr>
        <w:fldChar w:fldCharType="begin"/>
      </w:r>
      <w:r>
        <w:rPr>
          <w:noProof/>
        </w:rPr>
        <w:instrText xml:space="preserve"> PAGEREF _Toc102282437 \h </w:instrText>
      </w:r>
      <w:r>
        <w:rPr>
          <w:noProof/>
        </w:rPr>
      </w:r>
      <w:r>
        <w:rPr>
          <w:noProof/>
        </w:rPr>
        <w:fldChar w:fldCharType="separate"/>
      </w:r>
      <w:r>
        <w:rPr>
          <w:noProof/>
        </w:rPr>
        <w:t>17</w:t>
      </w:r>
      <w:r>
        <w:rPr>
          <w:noProof/>
        </w:rPr>
        <w:fldChar w:fldCharType="end"/>
      </w:r>
    </w:p>
    <w:p>
      <w:pPr>
        <w:pStyle w:val="TOC4"/>
        <w:rPr>
          <w:noProof/>
          <w:sz w:val="24"/>
        </w:rPr>
      </w:pPr>
      <w:r>
        <w:rPr>
          <w:noProof/>
        </w:rPr>
        <w:t>24</w:t>
      </w:r>
      <w:r>
        <w:rPr>
          <w:noProof/>
          <w:snapToGrid w:val="0"/>
        </w:rPr>
        <w:t>.</w:t>
      </w:r>
      <w:r>
        <w:rPr>
          <w:noProof/>
          <w:sz w:val="24"/>
        </w:rPr>
        <w:tab/>
      </w:r>
      <w:r>
        <w:rPr>
          <w:noProof/>
          <w:snapToGrid w:val="0"/>
        </w:rPr>
        <w:t>Subsidiary charges</w:t>
      </w:r>
      <w:r>
        <w:rPr>
          <w:noProof/>
        </w:rPr>
        <w:tab/>
      </w:r>
      <w:r>
        <w:rPr>
          <w:noProof/>
        </w:rPr>
        <w:fldChar w:fldCharType="begin"/>
      </w:r>
      <w:r>
        <w:rPr>
          <w:noProof/>
        </w:rPr>
        <w:instrText xml:space="preserve"> PAGEREF _Toc102282438 \h </w:instrText>
      </w:r>
      <w:r>
        <w:rPr>
          <w:noProof/>
        </w:rPr>
      </w:r>
      <w:r>
        <w:rPr>
          <w:noProof/>
        </w:rPr>
        <w:fldChar w:fldCharType="separate"/>
      </w:r>
      <w:r>
        <w:rPr>
          <w:noProof/>
        </w:rPr>
        <w:t>18</w:t>
      </w:r>
      <w:r>
        <w:rPr>
          <w:noProof/>
        </w:rPr>
        <w:fldChar w:fldCharType="end"/>
      </w:r>
    </w:p>
    <w:p>
      <w:pPr>
        <w:pStyle w:val="TOC4"/>
        <w:rPr>
          <w:noProof/>
          <w:sz w:val="24"/>
        </w:rPr>
      </w:pPr>
      <w:r>
        <w:rPr>
          <w:noProof/>
        </w:rPr>
        <w:t>25</w:t>
      </w:r>
      <w:r>
        <w:rPr>
          <w:noProof/>
          <w:snapToGrid w:val="0"/>
        </w:rPr>
        <w:t>.</w:t>
      </w:r>
      <w:r>
        <w:rPr>
          <w:noProof/>
          <w:sz w:val="24"/>
        </w:rPr>
        <w:tab/>
      </w:r>
      <w:r>
        <w:rPr>
          <w:noProof/>
          <w:snapToGrid w:val="0"/>
        </w:rPr>
        <w:t>Procedure after disposal under this Part</w:t>
      </w:r>
      <w:r>
        <w:rPr>
          <w:noProof/>
        </w:rPr>
        <w:tab/>
      </w:r>
      <w:r>
        <w:rPr>
          <w:noProof/>
        </w:rPr>
        <w:fldChar w:fldCharType="begin"/>
      </w:r>
      <w:r>
        <w:rPr>
          <w:noProof/>
        </w:rPr>
        <w:instrText xml:space="preserve"> PAGEREF _Toc102282439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rPr>
      </w:pPr>
      <w:r>
        <w:rPr>
          <w:noProof/>
        </w:rPr>
        <w:t>Part IX — Provisions as to notices</w:t>
      </w:r>
    </w:p>
    <w:p>
      <w:pPr>
        <w:pStyle w:val="TOC4"/>
        <w:rPr>
          <w:noProof/>
          <w:sz w:val="24"/>
        </w:rPr>
      </w:pPr>
      <w:r>
        <w:rPr>
          <w:noProof/>
        </w:rPr>
        <w:t>26</w:t>
      </w:r>
      <w:r>
        <w:rPr>
          <w:noProof/>
          <w:snapToGrid w:val="0"/>
        </w:rPr>
        <w:t>.</w:t>
      </w:r>
      <w:r>
        <w:rPr>
          <w:noProof/>
          <w:sz w:val="24"/>
        </w:rPr>
        <w:tab/>
      </w:r>
      <w:r>
        <w:rPr>
          <w:noProof/>
          <w:snapToGrid w:val="0"/>
        </w:rPr>
        <w:t>Provisions as to notices</w:t>
      </w:r>
      <w:r>
        <w:rPr>
          <w:noProof/>
        </w:rPr>
        <w:tab/>
      </w:r>
      <w:r>
        <w:rPr>
          <w:noProof/>
        </w:rPr>
        <w:fldChar w:fldCharType="begin"/>
      </w:r>
      <w:r>
        <w:rPr>
          <w:noProof/>
        </w:rPr>
        <w:instrText xml:space="preserve"> PAGEREF _Toc102282441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rPr>
      </w:pPr>
      <w:r>
        <w:rPr>
          <w:noProof/>
        </w:rPr>
        <w:t>Part X — General</w:t>
      </w:r>
    </w:p>
    <w:p>
      <w:pPr>
        <w:pStyle w:val="TOC4"/>
        <w:rPr>
          <w:noProof/>
          <w:sz w:val="24"/>
        </w:rPr>
      </w:pPr>
      <w:r>
        <w:rPr>
          <w:noProof/>
        </w:rPr>
        <w:t>27</w:t>
      </w:r>
      <w:r>
        <w:rPr>
          <w:noProof/>
          <w:snapToGrid w:val="0"/>
        </w:rPr>
        <w:t>.</w:t>
      </w:r>
      <w:r>
        <w:rPr>
          <w:noProof/>
          <w:sz w:val="24"/>
        </w:rPr>
        <w:tab/>
      </w:r>
      <w:r>
        <w:rPr>
          <w:noProof/>
          <w:snapToGrid w:val="0"/>
        </w:rPr>
        <w:t>Certificate of court order</w:t>
      </w:r>
      <w:r>
        <w:rPr>
          <w:noProof/>
        </w:rPr>
        <w:tab/>
      </w:r>
      <w:r>
        <w:rPr>
          <w:noProof/>
        </w:rPr>
        <w:fldChar w:fldCharType="begin"/>
      </w:r>
      <w:r>
        <w:rPr>
          <w:noProof/>
        </w:rPr>
        <w:instrText xml:space="preserve"> PAGEREF _Toc102282443 \h </w:instrText>
      </w:r>
      <w:r>
        <w:rPr>
          <w:noProof/>
        </w:rPr>
      </w:r>
      <w:r>
        <w:rPr>
          <w:noProof/>
        </w:rPr>
        <w:fldChar w:fldCharType="separate"/>
      </w:r>
      <w:r>
        <w:rPr>
          <w:noProof/>
        </w:rPr>
        <w:t>24</w:t>
      </w:r>
      <w:r>
        <w:rPr>
          <w:noProof/>
        </w:rPr>
        <w:fldChar w:fldCharType="end"/>
      </w:r>
    </w:p>
    <w:p>
      <w:pPr>
        <w:pStyle w:val="TOC4"/>
        <w:rPr>
          <w:noProof/>
          <w:sz w:val="24"/>
        </w:rPr>
      </w:pPr>
      <w:r>
        <w:rPr>
          <w:noProof/>
        </w:rPr>
        <w:t>28</w:t>
      </w:r>
      <w:r>
        <w:rPr>
          <w:noProof/>
          <w:snapToGrid w:val="0"/>
        </w:rPr>
        <w:t>.</w:t>
      </w:r>
      <w:r>
        <w:rPr>
          <w:noProof/>
          <w:sz w:val="24"/>
        </w:rPr>
        <w:tab/>
      </w:r>
      <w:r>
        <w:rPr>
          <w:noProof/>
          <w:snapToGrid w:val="0"/>
        </w:rPr>
        <w:t>Application of surplus proceeds of sale</w:t>
      </w:r>
      <w:r>
        <w:rPr>
          <w:noProof/>
        </w:rPr>
        <w:tab/>
      </w:r>
      <w:r>
        <w:rPr>
          <w:noProof/>
        </w:rPr>
        <w:fldChar w:fldCharType="begin"/>
      </w:r>
      <w:r>
        <w:rPr>
          <w:noProof/>
        </w:rPr>
        <w:instrText xml:space="preserve"> PAGEREF _Toc102282444 \h </w:instrText>
      </w:r>
      <w:r>
        <w:rPr>
          <w:noProof/>
        </w:rPr>
      </w:r>
      <w:r>
        <w:rPr>
          <w:noProof/>
        </w:rPr>
        <w:fldChar w:fldCharType="separate"/>
      </w:r>
      <w:r>
        <w:rPr>
          <w:noProof/>
        </w:rPr>
        <w:t>24</w:t>
      </w:r>
      <w:r>
        <w:rPr>
          <w:noProof/>
        </w:rPr>
        <w:fldChar w:fldCharType="end"/>
      </w:r>
    </w:p>
    <w:p>
      <w:pPr>
        <w:pStyle w:val="TOC4"/>
        <w:rPr>
          <w:noProof/>
          <w:sz w:val="24"/>
        </w:rPr>
      </w:pPr>
      <w:r>
        <w:rPr>
          <w:noProof/>
        </w:rPr>
        <w:t>29</w:t>
      </w:r>
      <w:r>
        <w:rPr>
          <w:noProof/>
          <w:snapToGrid w:val="0"/>
        </w:rPr>
        <w:t>.</w:t>
      </w:r>
      <w:r>
        <w:rPr>
          <w:noProof/>
          <w:sz w:val="24"/>
        </w:rPr>
        <w:tab/>
      </w:r>
      <w:r>
        <w:rPr>
          <w:noProof/>
          <w:snapToGrid w:val="0"/>
        </w:rPr>
        <w:t>Provisions for payment before sale of goods</w:t>
      </w:r>
      <w:r>
        <w:rPr>
          <w:noProof/>
        </w:rPr>
        <w:tab/>
      </w:r>
      <w:r>
        <w:rPr>
          <w:noProof/>
        </w:rPr>
        <w:fldChar w:fldCharType="begin"/>
      </w:r>
      <w:r>
        <w:rPr>
          <w:noProof/>
        </w:rPr>
        <w:instrText xml:space="preserve"> PAGEREF _Toc102282445 \h </w:instrText>
      </w:r>
      <w:r>
        <w:rPr>
          <w:noProof/>
        </w:rPr>
      </w:r>
      <w:r>
        <w:rPr>
          <w:noProof/>
        </w:rPr>
        <w:fldChar w:fldCharType="separate"/>
      </w:r>
      <w:r>
        <w:rPr>
          <w:noProof/>
        </w:rPr>
        <w:t>25</w:t>
      </w:r>
      <w:r>
        <w:rPr>
          <w:noProof/>
        </w:rPr>
        <w:fldChar w:fldCharType="end"/>
      </w:r>
    </w:p>
    <w:p>
      <w:pPr>
        <w:pStyle w:val="TOC4"/>
        <w:rPr>
          <w:noProof/>
          <w:sz w:val="24"/>
        </w:rPr>
      </w:pPr>
      <w:r>
        <w:rPr>
          <w:noProof/>
        </w:rPr>
        <w:t>30</w:t>
      </w:r>
      <w:r>
        <w:rPr>
          <w:noProof/>
          <w:snapToGrid w:val="0"/>
        </w:rPr>
        <w:t>.</w:t>
      </w:r>
      <w:r>
        <w:rPr>
          <w:noProof/>
          <w:sz w:val="24"/>
        </w:rPr>
        <w:tab/>
      </w:r>
      <w:r>
        <w:rPr>
          <w:noProof/>
          <w:snapToGrid w:val="0"/>
        </w:rPr>
        <w:t>Title of person acquiring goods</w:t>
      </w:r>
      <w:r>
        <w:rPr>
          <w:noProof/>
        </w:rPr>
        <w:tab/>
      </w:r>
      <w:r>
        <w:rPr>
          <w:noProof/>
        </w:rPr>
        <w:fldChar w:fldCharType="begin"/>
      </w:r>
      <w:r>
        <w:rPr>
          <w:noProof/>
        </w:rPr>
        <w:instrText xml:space="preserve"> PAGEREF _Toc102282446 \h </w:instrText>
      </w:r>
      <w:r>
        <w:rPr>
          <w:noProof/>
        </w:rPr>
      </w:r>
      <w:r>
        <w:rPr>
          <w:noProof/>
        </w:rPr>
        <w:fldChar w:fldCharType="separate"/>
      </w:r>
      <w:r>
        <w:rPr>
          <w:noProof/>
        </w:rPr>
        <w:t>25</w:t>
      </w:r>
      <w:r>
        <w:rPr>
          <w:noProof/>
        </w:rPr>
        <w:fldChar w:fldCharType="end"/>
      </w:r>
    </w:p>
    <w:p>
      <w:pPr>
        <w:pStyle w:val="TOC4"/>
        <w:rPr>
          <w:noProof/>
          <w:sz w:val="24"/>
        </w:rPr>
      </w:pPr>
      <w:r>
        <w:rPr>
          <w:noProof/>
        </w:rPr>
        <w:t>31</w:t>
      </w:r>
      <w:r>
        <w:rPr>
          <w:noProof/>
          <w:snapToGrid w:val="0"/>
        </w:rPr>
        <w:t>.</w:t>
      </w:r>
      <w:r>
        <w:rPr>
          <w:noProof/>
          <w:sz w:val="24"/>
        </w:rPr>
        <w:tab/>
      </w:r>
      <w:r>
        <w:rPr>
          <w:noProof/>
          <w:snapToGrid w:val="0"/>
        </w:rPr>
        <w:t>Procedure for application to court</w:t>
      </w:r>
      <w:r>
        <w:rPr>
          <w:noProof/>
        </w:rPr>
        <w:tab/>
      </w:r>
      <w:r>
        <w:rPr>
          <w:noProof/>
        </w:rPr>
        <w:fldChar w:fldCharType="begin"/>
      </w:r>
      <w:r>
        <w:rPr>
          <w:noProof/>
        </w:rPr>
        <w:instrText xml:space="preserve"> PAGEREF _Toc102282447 \h </w:instrText>
      </w:r>
      <w:r>
        <w:rPr>
          <w:noProof/>
        </w:rPr>
      </w:r>
      <w:r>
        <w:rPr>
          <w:noProof/>
        </w:rPr>
        <w:fldChar w:fldCharType="separate"/>
      </w:r>
      <w:r>
        <w:rPr>
          <w:noProof/>
        </w:rPr>
        <w:t>25</w:t>
      </w:r>
      <w:r>
        <w:rPr>
          <w:noProof/>
        </w:rPr>
        <w:fldChar w:fldCharType="end"/>
      </w:r>
    </w:p>
    <w:p>
      <w:pPr>
        <w:pStyle w:val="TOC4"/>
        <w:rPr>
          <w:noProof/>
          <w:sz w:val="24"/>
        </w:rPr>
      </w:pPr>
      <w:r>
        <w:rPr>
          <w:noProof/>
        </w:rPr>
        <w:t>32</w:t>
      </w:r>
      <w:r>
        <w:rPr>
          <w:noProof/>
          <w:snapToGrid w:val="0"/>
        </w:rPr>
        <w:t>.</w:t>
      </w:r>
      <w:r>
        <w:rPr>
          <w:noProof/>
          <w:sz w:val="24"/>
        </w:rPr>
        <w:tab/>
      </w:r>
      <w:r>
        <w:rPr>
          <w:noProof/>
          <w:snapToGrid w:val="0"/>
        </w:rPr>
        <w:t>Procedure</w:t>
      </w:r>
      <w:r>
        <w:rPr>
          <w:noProof/>
        </w:rPr>
        <w:tab/>
      </w:r>
      <w:r>
        <w:rPr>
          <w:noProof/>
        </w:rPr>
        <w:fldChar w:fldCharType="begin"/>
      </w:r>
      <w:r>
        <w:rPr>
          <w:noProof/>
        </w:rPr>
        <w:instrText xml:space="preserve"> PAGEREF _Toc102282449 \h </w:instrText>
      </w:r>
      <w:r>
        <w:rPr>
          <w:noProof/>
        </w:rPr>
      </w:r>
      <w:r>
        <w:rPr>
          <w:noProof/>
        </w:rPr>
        <w:fldChar w:fldCharType="separate"/>
      </w:r>
      <w:r>
        <w:rPr>
          <w:noProof/>
        </w:rPr>
        <w:t>26</w:t>
      </w:r>
      <w:r>
        <w:rPr>
          <w:noProof/>
        </w:rPr>
        <w:fldChar w:fldCharType="end"/>
      </w:r>
    </w:p>
    <w:p>
      <w:pPr>
        <w:pStyle w:val="TOC4"/>
        <w:rPr>
          <w:noProof/>
          <w:sz w:val="24"/>
        </w:rPr>
      </w:pPr>
      <w:r>
        <w:rPr>
          <w:noProof/>
        </w:rPr>
        <w:t>34</w:t>
      </w:r>
      <w:r>
        <w:rPr>
          <w:noProof/>
          <w:snapToGrid w:val="0"/>
        </w:rPr>
        <w:t>.</w:t>
      </w:r>
      <w:r>
        <w:rPr>
          <w:noProof/>
          <w:sz w:val="24"/>
        </w:rPr>
        <w:tab/>
      </w:r>
      <w:r>
        <w:rPr>
          <w:noProof/>
          <w:snapToGrid w:val="0"/>
        </w:rPr>
        <w:t>Penalties</w:t>
      </w:r>
      <w:r>
        <w:rPr>
          <w:noProof/>
        </w:rPr>
        <w:tab/>
      </w:r>
      <w:r>
        <w:rPr>
          <w:noProof/>
        </w:rPr>
        <w:fldChar w:fldCharType="begin"/>
      </w:r>
      <w:r>
        <w:rPr>
          <w:noProof/>
        </w:rPr>
        <w:instrText xml:space="preserve"> PAGEREF _Toc102282451 \h </w:instrText>
      </w:r>
      <w:r>
        <w:rPr>
          <w:noProof/>
        </w:rPr>
      </w:r>
      <w:r>
        <w:rPr>
          <w:noProof/>
        </w:rPr>
        <w:fldChar w:fldCharType="separate"/>
      </w:r>
      <w:r>
        <w:rPr>
          <w:noProof/>
        </w:rPr>
        <w:t>26</w:t>
      </w:r>
      <w:r>
        <w:rPr>
          <w:noProof/>
        </w:rPr>
        <w:fldChar w:fldCharType="end"/>
      </w:r>
    </w:p>
    <w:p>
      <w:pPr>
        <w:pStyle w:val="TOC4"/>
        <w:rPr>
          <w:noProof/>
          <w:sz w:val="24"/>
        </w:rPr>
      </w:pPr>
      <w:r>
        <w:rPr>
          <w:noProof/>
        </w:rPr>
        <w:t>35</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_Toc102282452 \h </w:instrText>
      </w:r>
      <w:r>
        <w:rPr>
          <w:noProof/>
        </w:rPr>
      </w:r>
      <w:r>
        <w:rPr>
          <w:noProof/>
        </w:rPr>
        <w:fldChar w:fldCharType="separate"/>
      </w:r>
      <w:r>
        <w:rPr>
          <w:noProof/>
        </w:rPr>
        <w:t>26</w:t>
      </w:r>
      <w:r>
        <w:rPr>
          <w:noProof/>
        </w:rPr>
        <w:fldChar w:fldCharType="end"/>
      </w:r>
    </w:p>
    <w:p>
      <w:pPr>
        <w:pStyle w:val="TOC5"/>
        <w:rPr>
          <w:b w:val="0"/>
          <w:noProof/>
          <w:sz w:val="24"/>
        </w:rPr>
      </w:pPr>
      <w:r>
        <w:rPr>
          <w:noProof/>
        </w:rPr>
        <w:lastRenderedPageBreak/>
        <w:t>Schedule</w:t>
      </w:r>
      <w:r>
        <w:rPr>
          <w:noProof/>
        </w:rPr>
        <w:tab/>
      </w:r>
      <w:r>
        <w:rPr>
          <w:b w:val="0"/>
          <w:noProof/>
          <w:sz w:val="22"/>
        </w:rPr>
        <w:fldChar w:fldCharType="begin"/>
      </w:r>
      <w:r>
        <w:rPr>
          <w:b w:val="0"/>
          <w:noProof/>
          <w:sz w:val="22"/>
        </w:rPr>
        <w:instrText xml:space="preserve"> PAGEREF _Toc102282453 \h </w:instrText>
      </w:r>
      <w:r>
        <w:rPr>
          <w:b w:val="0"/>
          <w:noProof/>
          <w:sz w:val="22"/>
        </w:rPr>
      </w:r>
      <w:r>
        <w:rPr>
          <w:b w:val="0"/>
          <w:noProof/>
          <w:sz w:val="22"/>
        </w:rPr>
        <w:fldChar w:fldCharType="separate"/>
      </w:r>
      <w:r>
        <w:rPr>
          <w:b w:val="0"/>
          <w:noProof/>
          <w:sz w:val="22"/>
        </w:rPr>
        <w:t>27</w:t>
      </w:r>
      <w:r>
        <w:rPr>
          <w:b w:val="0"/>
          <w:noProof/>
          <w:sz w:val="22"/>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_Toc102282455 \h </w:instrText>
      </w:r>
      <w:r>
        <w:rPr>
          <w:noProof/>
        </w:rPr>
      </w:r>
      <w:r>
        <w:rPr>
          <w:noProof/>
        </w:rPr>
        <w:fldChar w:fldCharType="separate"/>
      </w:r>
      <w:r>
        <w:rPr>
          <w:noProof/>
        </w:rPr>
        <w:t>28</w:t>
      </w:r>
      <w:r>
        <w:rPr>
          <w:noProof/>
        </w:rP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Disposal of Uncollected Goods Act 1970 </w:t>
      </w:r>
    </w:p>
    <w:p>
      <w:pPr>
        <w:pStyle w:val="LongTitle"/>
        <w:rPr>
          <w:snapToGrid w:val="0"/>
        </w:rPr>
      </w:pPr>
      <w:r>
        <w:rPr>
          <w:snapToGrid w:val="0"/>
        </w:rPr>
        <w:t xml:space="preserve">An Act to authorize the disposal in specified circumstances of certain uncollected goods. </w:t>
      </w:r>
    </w:p>
    <w:p>
      <w:pPr>
        <w:pStyle w:val="Heading2"/>
      </w:pPr>
      <w:bookmarkStart w:id="1" w:name="_Toc89514924"/>
      <w:bookmarkStart w:id="2" w:name="_Toc102282355"/>
      <w:bookmarkStart w:id="3" w:name="_Toc10228240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459453820"/>
      <w:bookmarkStart w:id="5" w:name="_Toc44997318"/>
      <w:bookmarkStart w:id="6" w:name="_Toc102282409"/>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7" w:name="_Toc459453821"/>
      <w:bookmarkStart w:id="8" w:name="_Toc44997319"/>
      <w:bookmarkStart w:id="9" w:name="_Toc102282410"/>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s.76.]</w:t>
      </w:r>
    </w:p>
    <w:p>
      <w:pPr>
        <w:pStyle w:val="Heading5"/>
        <w:rPr>
          <w:snapToGrid w:val="0"/>
        </w:rPr>
      </w:pPr>
      <w:bookmarkStart w:id="10" w:name="_Toc459453822"/>
      <w:bookmarkStart w:id="11" w:name="_Toc44997320"/>
      <w:bookmarkStart w:id="12" w:name="_Toc102282411"/>
      <w:r>
        <w:rPr>
          <w:rStyle w:val="CharSectno"/>
        </w:rPr>
        <w:t>4</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t>“</w:t>
      </w:r>
      <w:r>
        <w:rPr>
          <w:rStyle w:val="CharDefText"/>
        </w:rPr>
        <w:t>application</w:t>
      </w:r>
      <w:r>
        <w:rPr>
          <w:b/>
        </w:rPr>
        <w:t>”</w:t>
      </w:r>
      <w:r>
        <w:t xml:space="preserve"> means an application to the court, under section 17(3), section 19(1), or section 20, for an order;</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tab/>
      </w:r>
      <w:r>
        <w:rPr>
          <w:b/>
        </w:rPr>
        <w:t>“</w:t>
      </w:r>
      <w:r>
        <w:rPr>
          <w:rStyle w:val="CharDefText"/>
        </w:rPr>
        <w:t>court</w:t>
      </w:r>
      <w:r>
        <w:rPr>
          <w:b/>
        </w:rPr>
        <w:t>”</w:t>
      </w:r>
      <w:r>
        <w:t xml:space="preserve"> means the Magistrates Court constituted by a magistrate;</w:t>
      </w:r>
    </w:p>
    <w:p>
      <w:pPr>
        <w:pStyle w:val="Defstart"/>
      </w:pPr>
      <w:r>
        <w:rPr>
          <w:b/>
        </w:rPr>
        <w:tab/>
        <w:t>“</w:t>
      </w:r>
      <w:r>
        <w:rPr>
          <w:rStyle w:val="CharDefText"/>
        </w:rPr>
        <w:t>inspection</w:t>
      </w:r>
      <w:r>
        <w:rPr>
          <w:b/>
        </w:rPr>
        <w:t>”</w:t>
      </w:r>
      <w:r>
        <w:t xml:space="preserve"> includes the acceptance of goods for the purpose of submitting a quotation of the charges to be made for the repair or other treatment of such goods;</w:t>
      </w:r>
    </w:p>
    <w:p>
      <w:pPr>
        <w:pStyle w:val="Defstart"/>
      </w:pPr>
      <w:r>
        <w:rPr>
          <w:b/>
        </w:rPr>
        <w:tab/>
        <w:t>“</w:t>
      </w:r>
      <w:r>
        <w:rPr>
          <w:rStyle w:val="CharDefText"/>
        </w:rPr>
        <w:t>order</w:t>
      </w:r>
      <w:r>
        <w:rPr>
          <w:b/>
        </w:rPr>
        <w:t>”</w:t>
      </w:r>
      <w:r>
        <w:t xml:space="preserve"> means an order of the court made on an application;</w:t>
      </w:r>
    </w:p>
    <w:p>
      <w:pPr>
        <w:pStyle w:val="Defstart"/>
      </w:pPr>
      <w:r>
        <w:rPr>
          <w:b/>
        </w:rPr>
        <w:tab/>
        <w:t>“</w:t>
      </w:r>
      <w:r>
        <w:rPr>
          <w:rStyle w:val="CharDefText"/>
        </w:rPr>
        <w:t>Part</w:t>
      </w:r>
      <w:r>
        <w:rPr>
          <w:b/>
        </w:rPr>
        <w:t>”</w:t>
      </w:r>
      <w:r>
        <w:t xml:space="preserve"> means a Part of this Act;</w:t>
      </w:r>
    </w:p>
    <w:p>
      <w:pPr>
        <w:pStyle w:val="Defstart"/>
      </w:pPr>
      <w:r>
        <w:rPr>
          <w:b/>
        </w:rPr>
        <w:tab/>
        <w:t>“</w:t>
      </w:r>
      <w:r>
        <w:rPr>
          <w:rStyle w:val="CharDefText"/>
        </w:rPr>
        <w:t>prescribed goods</w:t>
      </w:r>
      <w:r>
        <w:rPr>
          <w:b/>
        </w:rPr>
        <w:t>”</w:t>
      </w:r>
      <w:r>
        <w:t xml:space="preserve"> means goods prescribed by regulation; and</w:t>
      </w:r>
    </w:p>
    <w:p>
      <w:pPr>
        <w:pStyle w:val="Defstart"/>
      </w:pPr>
      <w:r>
        <w:tab/>
      </w:r>
      <w:r>
        <w:rPr>
          <w:b/>
        </w:rPr>
        <w:t>“</w:t>
      </w:r>
      <w:r>
        <w:rPr>
          <w:rStyle w:val="CharDefText"/>
        </w:rPr>
        <w:t>section</w:t>
      </w:r>
      <w:r>
        <w:rPr>
          <w:b/>
        </w:rPr>
        <w:t>”</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13" w:name="_Toc459453823"/>
      <w:bookmarkStart w:id="14" w:name="_Toc44997321"/>
      <w:bookmarkStart w:id="15" w:name="_Toc102282412"/>
      <w:r>
        <w:rPr>
          <w:rStyle w:val="CharSectno"/>
        </w:rPr>
        <w:t>5</w:t>
      </w:r>
      <w:r>
        <w:rPr>
          <w:snapToGrid w:val="0"/>
        </w:rPr>
        <w:t>.</w:t>
      </w:r>
      <w:r>
        <w:rPr>
          <w:snapToGrid w:val="0"/>
        </w:rPr>
        <w:tab/>
        <w:t>Savings</w:t>
      </w:r>
      <w:bookmarkEnd w:id="13"/>
      <w:bookmarkEnd w:id="14"/>
      <w:bookmarkEnd w:id="15"/>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16" w:name="_Toc459453824"/>
      <w:bookmarkStart w:id="17" w:name="_Toc44997322"/>
      <w:bookmarkStart w:id="18" w:name="_Toc102282413"/>
      <w:r>
        <w:rPr>
          <w:rStyle w:val="CharSectno"/>
        </w:rPr>
        <w:t>6</w:t>
      </w:r>
      <w:r>
        <w:rPr>
          <w:snapToGrid w:val="0"/>
        </w:rPr>
        <w:t>.</w:t>
      </w:r>
      <w:r>
        <w:rPr>
          <w:snapToGrid w:val="0"/>
        </w:rPr>
        <w:tab/>
        <w:t>Act not to apply to certain bailments, etc.</w:t>
      </w:r>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s.89.] </w:t>
      </w:r>
    </w:p>
    <w:p>
      <w:pPr>
        <w:pStyle w:val="Heading2"/>
      </w:pPr>
      <w:bookmarkStart w:id="19" w:name="_Toc89514930"/>
      <w:bookmarkStart w:id="20" w:name="_Toc102282361"/>
      <w:bookmarkStart w:id="21" w:name="_Toc102282414"/>
      <w:r>
        <w:rPr>
          <w:rStyle w:val="CharPartNo"/>
        </w:rPr>
        <w:t>Part II</w:t>
      </w:r>
      <w:r>
        <w:rPr>
          <w:rStyle w:val="CharDivNo"/>
        </w:rPr>
        <w:t> </w:t>
      </w:r>
      <w:r>
        <w:t>—</w:t>
      </w:r>
      <w:r>
        <w:rPr>
          <w:rStyle w:val="CharDivText"/>
        </w:rPr>
        <w:t> </w:t>
      </w:r>
      <w:r>
        <w:rPr>
          <w:rStyle w:val="CharPartText"/>
        </w:rPr>
        <w:t>Disposal of uncollected prescribed goods</w:t>
      </w:r>
      <w:bookmarkEnd w:id="19"/>
      <w:bookmarkEnd w:id="20"/>
      <w:bookmarkEnd w:id="21"/>
      <w:r>
        <w:rPr>
          <w:rStyle w:val="CharPartText"/>
        </w:rPr>
        <w:t xml:space="preserve"> </w:t>
      </w:r>
    </w:p>
    <w:p>
      <w:pPr>
        <w:pStyle w:val="Heading5"/>
        <w:rPr>
          <w:snapToGrid w:val="0"/>
        </w:rPr>
      </w:pPr>
      <w:bookmarkStart w:id="22" w:name="_Toc459453825"/>
      <w:bookmarkStart w:id="23" w:name="_Toc44997323"/>
      <w:bookmarkStart w:id="24" w:name="_Toc102282415"/>
      <w:r>
        <w:rPr>
          <w:rStyle w:val="CharSectno"/>
        </w:rPr>
        <w:t>7</w:t>
      </w:r>
      <w:r>
        <w:rPr>
          <w:snapToGrid w:val="0"/>
        </w:rPr>
        <w:t>.</w:t>
      </w:r>
      <w:r>
        <w:rPr>
          <w:snapToGrid w:val="0"/>
        </w:rPr>
        <w:tab/>
        <w:t>Application of Part II</w:t>
      </w:r>
      <w:bookmarkEnd w:id="22"/>
      <w:bookmarkEnd w:id="23"/>
      <w:bookmarkEnd w:id="24"/>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25" w:name="_Toc459453826"/>
      <w:bookmarkStart w:id="26" w:name="_Toc44997324"/>
      <w:bookmarkStart w:id="27" w:name="_Toc102282416"/>
      <w:r>
        <w:rPr>
          <w:rStyle w:val="CharSectno"/>
        </w:rPr>
        <w:t>8</w:t>
      </w:r>
      <w:r>
        <w:rPr>
          <w:snapToGrid w:val="0"/>
        </w:rPr>
        <w:t>.</w:t>
      </w:r>
      <w:r>
        <w:rPr>
          <w:snapToGrid w:val="0"/>
        </w:rPr>
        <w:tab/>
        <w:t>Rights of bailee to dispose of prescribed goods</w:t>
      </w:r>
      <w:bookmarkEnd w:id="25"/>
      <w:bookmarkEnd w:id="26"/>
      <w:bookmarkEnd w:id="27"/>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28" w:name="_Toc459453827"/>
      <w:bookmarkStart w:id="29" w:name="_Toc44997325"/>
      <w:bookmarkStart w:id="30" w:name="_Toc102282417"/>
      <w:r>
        <w:rPr>
          <w:rStyle w:val="CharSectno"/>
        </w:rPr>
        <w:t>9</w:t>
      </w:r>
      <w:r>
        <w:rPr>
          <w:snapToGrid w:val="0"/>
        </w:rPr>
        <w:t>.</w:t>
      </w:r>
      <w:r>
        <w:rPr>
          <w:snapToGrid w:val="0"/>
        </w:rPr>
        <w:tab/>
        <w:t>Conditions as to disposal of prescribed goods</w:t>
      </w:r>
      <w:bookmarkEnd w:id="28"/>
      <w:bookmarkEnd w:id="29"/>
      <w:bookmarkEnd w:id="30"/>
      <w:r>
        <w:rPr>
          <w:snapToGrid w:val="0"/>
        </w:rPr>
        <w:t xml:space="preserve"> </w:t>
      </w:r>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31" w:name="_Toc89514934"/>
      <w:bookmarkStart w:id="32" w:name="_Toc102282365"/>
      <w:bookmarkStart w:id="33" w:name="_Toc102282418"/>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31"/>
      <w:bookmarkEnd w:id="32"/>
      <w:bookmarkEnd w:id="33"/>
    </w:p>
    <w:p>
      <w:pPr>
        <w:pStyle w:val="Heading5"/>
        <w:rPr>
          <w:snapToGrid w:val="0"/>
        </w:rPr>
      </w:pPr>
      <w:bookmarkStart w:id="34" w:name="_Toc459453828"/>
      <w:bookmarkStart w:id="35" w:name="_Toc44997326"/>
      <w:bookmarkStart w:id="36" w:name="_Toc102282419"/>
      <w:r>
        <w:rPr>
          <w:rStyle w:val="CharSectno"/>
        </w:rPr>
        <w:t>10</w:t>
      </w:r>
      <w:r>
        <w:rPr>
          <w:snapToGrid w:val="0"/>
        </w:rPr>
        <w:t>.</w:t>
      </w:r>
      <w:r>
        <w:rPr>
          <w:snapToGrid w:val="0"/>
        </w:rPr>
        <w:tab/>
        <w:t>Application of Part III</w:t>
      </w:r>
      <w:bookmarkEnd w:id="34"/>
      <w:bookmarkEnd w:id="35"/>
      <w:bookmarkEnd w:id="36"/>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37" w:name="_Toc459453829"/>
      <w:bookmarkStart w:id="38" w:name="_Toc44997327"/>
      <w:bookmarkStart w:id="39" w:name="_Toc102282420"/>
      <w:r>
        <w:rPr>
          <w:rStyle w:val="CharSectno"/>
        </w:rPr>
        <w:t>11</w:t>
      </w:r>
      <w:r>
        <w:rPr>
          <w:snapToGrid w:val="0"/>
        </w:rPr>
        <w:t>.</w:t>
      </w:r>
      <w:r>
        <w:rPr>
          <w:snapToGrid w:val="0"/>
        </w:rPr>
        <w:tab/>
        <w:t>Rights of bailee to dispose of goods not exceeding $300 in value</w:t>
      </w:r>
      <w:bookmarkEnd w:id="37"/>
      <w:bookmarkEnd w:id="38"/>
      <w:bookmarkEnd w:id="39"/>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40" w:name="_Toc459453830"/>
      <w:bookmarkStart w:id="41" w:name="_Toc44997328"/>
      <w:bookmarkStart w:id="42" w:name="_Toc102282421"/>
      <w:r>
        <w:rPr>
          <w:rStyle w:val="CharSectno"/>
        </w:rPr>
        <w:t>12</w:t>
      </w:r>
      <w:r>
        <w:rPr>
          <w:snapToGrid w:val="0"/>
        </w:rPr>
        <w:t>.</w:t>
      </w:r>
      <w:r>
        <w:rPr>
          <w:snapToGrid w:val="0"/>
        </w:rPr>
        <w:tab/>
        <w:t>Conditions as to disposal of goods not exceeding $300 in value</w:t>
      </w:r>
      <w:bookmarkEnd w:id="40"/>
      <w:bookmarkEnd w:id="41"/>
      <w:bookmarkEnd w:id="42"/>
      <w:r>
        <w:rPr>
          <w:snapToGrid w:val="0"/>
        </w:rPr>
        <w:t xml:space="preserve"> </w:t>
      </w:r>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43" w:name="_Toc89514938"/>
      <w:bookmarkStart w:id="44" w:name="_Toc102282369"/>
      <w:bookmarkStart w:id="45" w:name="_Toc102282422"/>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43"/>
      <w:bookmarkEnd w:id="44"/>
      <w:bookmarkEnd w:id="45"/>
    </w:p>
    <w:p>
      <w:pPr>
        <w:pStyle w:val="Heading5"/>
        <w:rPr>
          <w:snapToGrid w:val="0"/>
        </w:rPr>
      </w:pPr>
      <w:bookmarkStart w:id="46" w:name="_Toc459453831"/>
      <w:bookmarkStart w:id="47" w:name="_Toc44997329"/>
      <w:bookmarkStart w:id="48" w:name="_Toc102282423"/>
      <w:r>
        <w:rPr>
          <w:rStyle w:val="CharSectno"/>
        </w:rPr>
        <w:t>13</w:t>
      </w:r>
      <w:r>
        <w:rPr>
          <w:snapToGrid w:val="0"/>
        </w:rPr>
        <w:t>.</w:t>
      </w:r>
      <w:r>
        <w:rPr>
          <w:snapToGrid w:val="0"/>
        </w:rPr>
        <w:tab/>
        <w:t>Application of Part IV</w:t>
      </w:r>
      <w:bookmarkEnd w:id="46"/>
      <w:bookmarkEnd w:id="47"/>
      <w:bookmarkEnd w:id="48"/>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49" w:name="_Toc459453832"/>
      <w:bookmarkStart w:id="50" w:name="_Toc44997330"/>
      <w:bookmarkStart w:id="51" w:name="_Toc102282424"/>
      <w:r>
        <w:rPr>
          <w:rStyle w:val="CharSectno"/>
        </w:rPr>
        <w:t>14</w:t>
      </w:r>
      <w:r>
        <w:rPr>
          <w:snapToGrid w:val="0"/>
        </w:rPr>
        <w:t>.</w:t>
      </w:r>
      <w:r>
        <w:rPr>
          <w:snapToGrid w:val="0"/>
        </w:rPr>
        <w:tab/>
        <w:t>Procedure after disposal of goods pursuant to Parts II and III</w:t>
      </w:r>
      <w:bookmarkEnd w:id="49"/>
      <w:bookmarkEnd w:id="50"/>
      <w:bookmarkEnd w:id="51"/>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 xml:space="preserve">storage of the goods during the period beginning with the date of the notice that goods are ready for redelivery and ending with the date of sale or other disposal; </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52" w:name="_Toc89514941"/>
      <w:bookmarkStart w:id="53" w:name="_Toc102282372"/>
      <w:bookmarkStart w:id="54" w:name="_Toc102282425"/>
      <w:r>
        <w:rPr>
          <w:rStyle w:val="CharPartNo"/>
        </w:rPr>
        <w:t>Part V</w:t>
      </w:r>
      <w:r>
        <w:rPr>
          <w:rStyle w:val="CharDivNo"/>
        </w:rPr>
        <w:t> </w:t>
      </w:r>
      <w:r>
        <w:t>—</w:t>
      </w:r>
      <w:r>
        <w:rPr>
          <w:rStyle w:val="CharDivText"/>
        </w:rPr>
        <w:t> </w:t>
      </w:r>
      <w:r>
        <w:rPr>
          <w:rStyle w:val="CharPartText"/>
        </w:rPr>
        <w:t>Provisions relating to disputes</w:t>
      </w:r>
      <w:bookmarkEnd w:id="52"/>
      <w:bookmarkEnd w:id="53"/>
      <w:bookmarkEnd w:id="54"/>
      <w:r>
        <w:rPr>
          <w:rStyle w:val="CharPartText"/>
        </w:rPr>
        <w:t xml:space="preserve"> </w:t>
      </w:r>
    </w:p>
    <w:p>
      <w:pPr>
        <w:pStyle w:val="Heading5"/>
        <w:rPr>
          <w:snapToGrid w:val="0"/>
        </w:rPr>
      </w:pPr>
      <w:bookmarkStart w:id="55" w:name="_Toc459453833"/>
      <w:bookmarkStart w:id="56" w:name="_Toc44997331"/>
      <w:bookmarkStart w:id="57" w:name="_Toc102282426"/>
      <w:r>
        <w:rPr>
          <w:rStyle w:val="CharSectno"/>
        </w:rPr>
        <w:t>15</w:t>
      </w:r>
      <w:r>
        <w:rPr>
          <w:snapToGrid w:val="0"/>
        </w:rPr>
        <w:t>.</w:t>
      </w:r>
      <w:r>
        <w:rPr>
          <w:snapToGrid w:val="0"/>
        </w:rPr>
        <w:tab/>
        <w:t>Disputes as to charges, etc.</w:t>
      </w:r>
      <w:bookmarkEnd w:id="55"/>
      <w:bookmarkEnd w:id="56"/>
      <w:bookmarkEnd w:id="57"/>
      <w:r>
        <w:rPr>
          <w:snapToGrid w:val="0"/>
        </w:rPr>
        <w:t xml:space="preserve"> </w:t>
      </w:r>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58" w:name="_Toc459453834"/>
      <w:bookmarkStart w:id="59" w:name="_Toc44997332"/>
      <w:bookmarkStart w:id="60" w:name="_Toc102282427"/>
      <w:r>
        <w:rPr>
          <w:rStyle w:val="CharSectno"/>
        </w:rPr>
        <w:t>16</w:t>
      </w:r>
      <w:r>
        <w:rPr>
          <w:snapToGrid w:val="0"/>
        </w:rPr>
        <w:t>.</w:t>
      </w:r>
      <w:r>
        <w:rPr>
          <w:snapToGrid w:val="0"/>
        </w:rPr>
        <w:tab/>
        <w:t>Disputes as to description of goods</w:t>
      </w:r>
      <w:bookmarkEnd w:id="58"/>
      <w:bookmarkEnd w:id="59"/>
      <w:bookmarkEnd w:id="60"/>
      <w:r>
        <w:rPr>
          <w:snapToGrid w:val="0"/>
        </w:rPr>
        <w:t xml:space="preserve"> </w:t>
      </w:r>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61" w:name="_Toc459453835"/>
      <w:bookmarkStart w:id="62" w:name="_Toc44997333"/>
      <w:bookmarkStart w:id="63" w:name="_Toc102282428"/>
      <w:r>
        <w:rPr>
          <w:rStyle w:val="CharSectno"/>
        </w:rPr>
        <w:t>17</w:t>
      </w:r>
      <w:r>
        <w:rPr>
          <w:snapToGrid w:val="0"/>
        </w:rPr>
        <w:t>.</w:t>
      </w:r>
      <w:r>
        <w:rPr>
          <w:snapToGrid w:val="0"/>
        </w:rPr>
        <w:tab/>
        <w:t>Determination of disputes</w:t>
      </w:r>
      <w:bookmarkEnd w:id="61"/>
      <w:bookmarkEnd w:id="62"/>
      <w:bookmarkEnd w:id="63"/>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64" w:name="_Toc89514945"/>
      <w:bookmarkStart w:id="65" w:name="_Toc102282376"/>
      <w:bookmarkStart w:id="66" w:name="_Toc102282429"/>
      <w:r>
        <w:rPr>
          <w:rStyle w:val="CharPartNo"/>
        </w:rPr>
        <w:t>Part VI</w:t>
      </w:r>
      <w:r>
        <w:rPr>
          <w:rStyle w:val="CharDivNo"/>
        </w:rPr>
        <w:t> </w:t>
      </w:r>
      <w:r>
        <w:t>—</w:t>
      </w:r>
      <w:r>
        <w:rPr>
          <w:rStyle w:val="CharDivText"/>
        </w:rPr>
        <w:t> </w:t>
      </w:r>
      <w:r>
        <w:rPr>
          <w:rStyle w:val="CharPartText"/>
        </w:rPr>
        <w:t>Disposal of goods valued in excess of $300</w:t>
      </w:r>
      <w:bookmarkEnd w:id="64"/>
      <w:bookmarkEnd w:id="65"/>
      <w:bookmarkEnd w:id="66"/>
      <w:r>
        <w:rPr>
          <w:rStyle w:val="CharPartText"/>
        </w:rPr>
        <w:t xml:space="preserve"> </w:t>
      </w:r>
    </w:p>
    <w:p>
      <w:pPr>
        <w:pStyle w:val="Heading5"/>
        <w:rPr>
          <w:snapToGrid w:val="0"/>
        </w:rPr>
      </w:pPr>
      <w:bookmarkStart w:id="67" w:name="_Toc459453836"/>
      <w:bookmarkStart w:id="68" w:name="_Toc44997334"/>
      <w:bookmarkStart w:id="69" w:name="_Toc102282430"/>
      <w:r>
        <w:rPr>
          <w:rStyle w:val="CharSectno"/>
        </w:rPr>
        <w:t>18</w:t>
      </w:r>
      <w:r>
        <w:rPr>
          <w:snapToGrid w:val="0"/>
        </w:rPr>
        <w:t>.</w:t>
      </w:r>
      <w:r>
        <w:rPr>
          <w:snapToGrid w:val="0"/>
        </w:rPr>
        <w:tab/>
        <w:t>Application of Part VI</w:t>
      </w:r>
      <w:bookmarkEnd w:id="67"/>
      <w:bookmarkEnd w:id="68"/>
      <w:bookmarkEnd w:id="69"/>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70" w:name="_Toc459453837"/>
      <w:bookmarkStart w:id="71" w:name="_Toc44997335"/>
      <w:bookmarkStart w:id="72" w:name="_Toc102282431"/>
      <w:r>
        <w:rPr>
          <w:rStyle w:val="CharSectno"/>
        </w:rPr>
        <w:t>19</w:t>
      </w:r>
      <w:r>
        <w:rPr>
          <w:snapToGrid w:val="0"/>
        </w:rPr>
        <w:t>.</w:t>
      </w:r>
      <w:r>
        <w:rPr>
          <w:snapToGrid w:val="0"/>
        </w:rPr>
        <w:tab/>
        <w:t>Application by bailee for order to dispose of goods exceeding $300 in value</w:t>
      </w:r>
      <w:bookmarkEnd w:id="70"/>
      <w:bookmarkEnd w:id="71"/>
      <w:bookmarkEnd w:id="72"/>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73" w:name="_Toc89514948"/>
      <w:bookmarkStart w:id="74" w:name="_Toc102282379"/>
      <w:bookmarkStart w:id="75" w:name="_Toc102282432"/>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73"/>
      <w:bookmarkEnd w:id="74"/>
      <w:bookmarkEnd w:id="75"/>
      <w:r>
        <w:rPr>
          <w:rStyle w:val="CharPartText"/>
        </w:rPr>
        <w:t xml:space="preserve"> </w:t>
      </w:r>
    </w:p>
    <w:p>
      <w:pPr>
        <w:pStyle w:val="Heading5"/>
        <w:rPr>
          <w:snapToGrid w:val="0"/>
        </w:rPr>
      </w:pPr>
      <w:bookmarkStart w:id="76" w:name="_Toc459453838"/>
      <w:bookmarkStart w:id="77" w:name="_Toc44997336"/>
      <w:bookmarkStart w:id="78" w:name="_Toc102282433"/>
      <w:r>
        <w:rPr>
          <w:rStyle w:val="CharSectno"/>
        </w:rPr>
        <w:t>20</w:t>
      </w:r>
      <w:r>
        <w:rPr>
          <w:snapToGrid w:val="0"/>
        </w:rPr>
        <w:t>.</w:t>
      </w:r>
      <w:r>
        <w:rPr>
          <w:snapToGrid w:val="0"/>
        </w:rPr>
        <w:tab/>
        <w:t>Disposal of goods held in any way other than by bailment in the course of business</w:t>
      </w:r>
      <w:bookmarkEnd w:id="76"/>
      <w:bookmarkEnd w:id="77"/>
      <w:bookmarkEnd w:id="78"/>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79" w:name="_Toc459453839"/>
      <w:bookmarkStart w:id="80" w:name="_Toc44997337"/>
      <w:bookmarkStart w:id="81" w:name="_Toc102282434"/>
      <w:r>
        <w:rPr>
          <w:rStyle w:val="CharSectno"/>
        </w:rPr>
        <w:t>21</w:t>
      </w:r>
      <w:r>
        <w:rPr>
          <w:snapToGrid w:val="0"/>
        </w:rPr>
        <w:t>.</w:t>
      </w:r>
      <w:r>
        <w:rPr>
          <w:snapToGrid w:val="0"/>
        </w:rPr>
        <w:tab/>
        <w:t>Conditions precedent to application to court</w:t>
      </w:r>
      <w:bookmarkEnd w:id="79"/>
      <w:bookmarkEnd w:id="80"/>
      <w:bookmarkEnd w:id="81"/>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82" w:name="_Toc89514951"/>
      <w:bookmarkStart w:id="83" w:name="_Toc102282382"/>
      <w:bookmarkStart w:id="84" w:name="_Toc102282435"/>
      <w:r>
        <w:rPr>
          <w:rStyle w:val="CharPartNo"/>
        </w:rPr>
        <w:t>Part VIII</w:t>
      </w:r>
      <w:r>
        <w:rPr>
          <w:rStyle w:val="CharDivNo"/>
        </w:rPr>
        <w:t> </w:t>
      </w:r>
      <w:r>
        <w:t>—</w:t>
      </w:r>
      <w:r>
        <w:rPr>
          <w:rStyle w:val="CharDivText"/>
        </w:rPr>
        <w:t> </w:t>
      </w:r>
      <w:r>
        <w:rPr>
          <w:rStyle w:val="CharPartText"/>
        </w:rPr>
        <w:t>Powers of the court</w:t>
      </w:r>
      <w:bookmarkEnd w:id="82"/>
      <w:bookmarkEnd w:id="83"/>
      <w:bookmarkEnd w:id="84"/>
      <w:r>
        <w:rPr>
          <w:rStyle w:val="CharPartText"/>
        </w:rPr>
        <w:t xml:space="preserve"> </w:t>
      </w:r>
    </w:p>
    <w:p>
      <w:pPr>
        <w:pStyle w:val="Heading5"/>
        <w:rPr>
          <w:snapToGrid w:val="0"/>
        </w:rPr>
      </w:pPr>
      <w:bookmarkStart w:id="85" w:name="_Toc459453840"/>
      <w:bookmarkStart w:id="86" w:name="_Toc44997338"/>
      <w:bookmarkStart w:id="87" w:name="_Toc102282436"/>
      <w:r>
        <w:rPr>
          <w:rStyle w:val="CharSectno"/>
        </w:rPr>
        <w:t>22</w:t>
      </w:r>
      <w:r>
        <w:rPr>
          <w:snapToGrid w:val="0"/>
        </w:rPr>
        <w:t>.</w:t>
      </w:r>
      <w:r>
        <w:rPr>
          <w:snapToGrid w:val="0"/>
        </w:rPr>
        <w:tab/>
        <w:t>Power of court to make order for disposal of goods</w:t>
      </w:r>
      <w:bookmarkEnd w:id="85"/>
      <w:bookmarkEnd w:id="86"/>
      <w:bookmarkEnd w:id="87"/>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authorizing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88" w:name="_Toc459453841"/>
      <w:bookmarkStart w:id="89" w:name="_Toc44997339"/>
      <w:bookmarkStart w:id="90" w:name="_Toc102282437"/>
      <w:r>
        <w:rPr>
          <w:rStyle w:val="CharSectno"/>
        </w:rPr>
        <w:t>23</w:t>
      </w:r>
      <w:r>
        <w:rPr>
          <w:snapToGrid w:val="0"/>
        </w:rPr>
        <w:t>.</w:t>
      </w:r>
      <w:r>
        <w:rPr>
          <w:snapToGrid w:val="0"/>
        </w:rPr>
        <w:tab/>
        <w:t>Effect of order for disposal</w:t>
      </w:r>
      <w:bookmarkEnd w:id="88"/>
      <w:bookmarkEnd w:id="89"/>
      <w:bookmarkEnd w:id="90"/>
      <w:r>
        <w:rPr>
          <w:snapToGrid w:val="0"/>
        </w:rPr>
        <w:t xml:space="preserve"> </w:t>
      </w:r>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91" w:name="_Toc459453842"/>
      <w:bookmarkStart w:id="92" w:name="_Toc44997340"/>
      <w:bookmarkStart w:id="93" w:name="_Toc102282438"/>
      <w:r>
        <w:rPr>
          <w:rStyle w:val="CharSectno"/>
        </w:rPr>
        <w:t>24</w:t>
      </w:r>
      <w:r>
        <w:rPr>
          <w:snapToGrid w:val="0"/>
        </w:rPr>
        <w:t>.</w:t>
      </w:r>
      <w:r>
        <w:rPr>
          <w:snapToGrid w:val="0"/>
        </w:rPr>
        <w:tab/>
        <w:t>Subsidiary charges</w:t>
      </w:r>
      <w:bookmarkEnd w:id="91"/>
      <w:bookmarkEnd w:id="92"/>
      <w:bookmarkEnd w:id="93"/>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authorized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94" w:name="_Toc459453843"/>
      <w:bookmarkStart w:id="95" w:name="_Toc44997341"/>
      <w:bookmarkStart w:id="96" w:name="_Toc102282439"/>
      <w:r>
        <w:rPr>
          <w:rStyle w:val="CharSectno"/>
        </w:rPr>
        <w:t>25</w:t>
      </w:r>
      <w:r>
        <w:rPr>
          <w:snapToGrid w:val="0"/>
        </w:rPr>
        <w:t>.</w:t>
      </w:r>
      <w:r>
        <w:rPr>
          <w:snapToGrid w:val="0"/>
        </w:rPr>
        <w:tab/>
        <w:t>Procedure after disposal under this Part</w:t>
      </w:r>
      <w:bookmarkEnd w:id="94"/>
      <w:bookmarkEnd w:id="95"/>
      <w:bookmarkEnd w:id="96"/>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authorized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authorized to sell the goods, and any amount by which the aggregate of the amounts referred to in paragraphs (a), (b) and (c) exceeds the gross proceeds of the sale is recoverable in a court of competent jurisdiction by the person authorized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authorized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authorizing the sale or other disposal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97" w:name="_Toc89514956"/>
      <w:bookmarkStart w:id="98" w:name="_Toc102282387"/>
      <w:bookmarkStart w:id="99" w:name="_Toc102282440"/>
      <w:r>
        <w:rPr>
          <w:rStyle w:val="CharPartNo"/>
        </w:rPr>
        <w:t>Part IX</w:t>
      </w:r>
      <w:r>
        <w:rPr>
          <w:rStyle w:val="CharDivNo"/>
        </w:rPr>
        <w:t> </w:t>
      </w:r>
      <w:r>
        <w:t>—</w:t>
      </w:r>
      <w:r>
        <w:rPr>
          <w:rStyle w:val="CharDivText"/>
        </w:rPr>
        <w:t> </w:t>
      </w:r>
      <w:r>
        <w:rPr>
          <w:rStyle w:val="CharPartText"/>
        </w:rPr>
        <w:t>Provisions as to notices</w:t>
      </w:r>
      <w:bookmarkEnd w:id="97"/>
      <w:bookmarkEnd w:id="98"/>
      <w:bookmarkEnd w:id="99"/>
      <w:r>
        <w:rPr>
          <w:rStyle w:val="CharPartText"/>
        </w:rPr>
        <w:t xml:space="preserve"> </w:t>
      </w:r>
    </w:p>
    <w:p>
      <w:pPr>
        <w:pStyle w:val="Heading5"/>
        <w:rPr>
          <w:snapToGrid w:val="0"/>
        </w:rPr>
      </w:pPr>
      <w:bookmarkStart w:id="100" w:name="_Toc459453844"/>
      <w:bookmarkStart w:id="101" w:name="_Toc44997342"/>
      <w:bookmarkStart w:id="102" w:name="_Toc102282441"/>
      <w:r>
        <w:rPr>
          <w:rStyle w:val="CharSectno"/>
        </w:rPr>
        <w:t>26</w:t>
      </w:r>
      <w:r>
        <w:rPr>
          <w:snapToGrid w:val="0"/>
        </w:rPr>
        <w:t>.</w:t>
      </w:r>
      <w:r>
        <w:rPr>
          <w:snapToGrid w:val="0"/>
        </w:rPr>
        <w:tab/>
        <w:t>Provisions as to notices</w:t>
      </w:r>
      <w:bookmarkEnd w:id="100"/>
      <w:bookmarkEnd w:id="101"/>
      <w:bookmarkEnd w:id="102"/>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w:t>
      </w:r>
    </w:p>
    <w:p>
      <w:pPr>
        <w:pStyle w:val="Indenta"/>
        <w:rPr>
          <w:snapToGrid w:val="0"/>
        </w:rPr>
      </w:pPr>
      <w:r>
        <w:rPr>
          <w:snapToGrid w:val="0"/>
        </w:rPr>
        <w:tab/>
        <w:t>(b)</w:t>
      </w:r>
      <w:r>
        <w:rPr>
          <w:snapToGrid w:val="0"/>
        </w:rPr>
        <w:tab/>
        <w:t>notices of intention to sell or otherwise dispose of goods;</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w:t>
      </w:r>
    </w:p>
    <w:p>
      <w:pPr>
        <w:pStyle w:val="Indenta"/>
        <w:rPr>
          <w:snapToGrid w:val="0"/>
        </w:rPr>
      </w:pPr>
      <w:r>
        <w:rPr>
          <w:snapToGrid w:val="0"/>
        </w:rPr>
        <w:tab/>
        <w:t>(b)</w:t>
      </w:r>
      <w:r>
        <w:rPr>
          <w:snapToGrid w:val="0"/>
        </w:rPr>
        <w:tab/>
        <w:t>the place at which they are so available;</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w:t>
      </w:r>
    </w:p>
    <w:p>
      <w:pPr>
        <w:pStyle w:val="Indenta"/>
        <w:rPr>
          <w:snapToGrid w:val="0"/>
        </w:rPr>
      </w:pPr>
      <w:r>
        <w:rPr>
          <w:snapToGrid w:val="0"/>
        </w:rPr>
        <w:tab/>
        <w:t>(b)</w:t>
      </w:r>
      <w:r>
        <w:rPr>
          <w:snapToGrid w:val="0"/>
        </w:rPr>
        <w:tab/>
        <w:t>that the goods are available for redelivery by the bailee to the bailor;</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103" w:name="_Toc89514958"/>
      <w:bookmarkStart w:id="104" w:name="_Toc102282389"/>
      <w:bookmarkStart w:id="105" w:name="_Toc102282442"/>
      <w:r>
        <w:rPr>
          <w:rStyle w:val="CharPartNo"/>
        </w:rPr>
        <w:t>Part X</w:t>
      </w:r>
      <w:r>
        <w:rPr>
          <w:rStyle w:val="CharDivNo"/>
        </w:rPr>
        <w:t> </w:t>
      </w:r>
      <w:r>
        <w:t>—</w:t>
      </w:r>
      <w:r>
        <w:rPr>
          <w:rStyle w:val="CharDivText"/>
        </w:rPr>
        <w:t> </w:t>
      </w:r>
      <w:r>
        <w:rPr>
          <w:rStyle w:val="CharPartText"/>
        </w:rPr>
        <w:t>General</w:t>
      </w:r>
      <w:bookmarkEnd w:id="103"/>
      <w:bookmarkEnd w:id="104"/>
      <w:bookmarkEnd w:id="105"/>
      <w:r>
        <w:rPr>
          <w:rStyle w:val="CharPartText"/>
        </w:rPr>
        <w:t xml:space="preserve"> </w:t>
      </w:r>
    </w:p>
    <w:p>
      <w:pPr>
        <w:pStyle w:val="Heading5"/>
        <w:rPr>
          <w:snapToGrid w:val="0"/>
        </w:rPr>
      </w:pPr>
      <w:bookmarkStart w:id="106" w:name="_Toc459453845"/>
      <w:bookmarkStart w:id="107" w:name="_Toc44997343"/>
      <w:bookmarkStart w:id="108" w:name="_Toc102282443"/>
      <w:r>
        <w:rPr>
          <w:rStyle w:val="CharSectno"/>
        </w:rPr>
        <w:t>27</w:t>
      </w:r>
      <w:r>
        <w:rPr>
          <w:snapToGrid w:val="0"/>
        </w:rPr>
        <w:t>.</w:t>
      </w:r>
      <w:r>
        <w:rPr>
          <w:snapToGrid w:val="0"/>
        </w:rPr>
        <w:tab/>
        <w:t>Certificate of court order</w:t>
      </w:r>
      <w:bookmarkEnd w:id="106"/>
      <w:bookmarkEnd w:id="107"/>
      <w:bookmarkEnd w:id="108"/>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109" w:name="_Toc459453846"/>
      <w:bookmarkStart w:id="110" w:name="_Toc44997344"/>
      <w:bookmarkStart w:id="111" w:name="_Toc102282444"/>
      <w:r>
        <w:rPr>
          <w:rStyle w:val="CharSectno"/>
        </w:rPr>
        <w:t>28</w:t>
      </w:r>
      <w:r>
        <w:rPr>
          <w:snapToGrid w:val="0"/>
        </w:rPr>
        <w:t>.</w:t>
      </w:r>
      <w:r>
        <w:rPr>
          <w:snapToGrid w:val="0"/>
        </w:rPr>
        <w:tab/>
        <w:t>Application of surplus proceeds of sale</w:t>
      </w:r>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r>
        <w:rPr>
          <w:b/>
          <w:snapToGrid w:val="0"/>
        </w:rPr>
        <w:t>“</w:t>
      </w:r>
      <w:bookmarkStart w:id="112" w:name="endcomma"/>
      <w:bookmarkEnd w:id="112"/>
      <w:r>
        <w:rPr>
          <w:rStyle w:val="CharDefText"/>
        </w:rPr>
        <w:t>Treasurer</w:t>
      </w:r>
      <w:r>
        <w:rPr>
          <w:b/>
          <w:snapToGrid w:val="0"/>
        </w:rPr>
        <w:t>”</w:t>
      </w:r>
      <w:r>
        <w:rPr>
          <w:snapToGrid w:val="0"/>
        </w:rPr>
        <w:t xml:space="preserve"> </w:t>
      </w:r>
      <w:bookmarkStart w:id="113" w:name="comma"/>
      <w:bookmarkEnd w:id="113"/>
      <w:r>
        <w:rPr>
          <w:snapToGrid w:val="0"/>
        </w:rPr>
        <w:t>means Treasurer of the State for the time being.</w:t>
      </w:r>
    </w:p>
    <w:p>
      <w:pPr>
        <w:pStyle w:val="Heading5"/>
        <w:rPr>
          <w:snapToGrid w:val="0"/>
        </w:rPr>
      </w:pPr>
      <w:bookmarkStart w:id="114" w:name="_Toc459453847"/>
      <w:bookmarkStart w:id="115" w:name="_Toc44997345"/>
      <w:bookmarkStart w:id="116" w:name="_Toc102282445"/>
      <w:r>
        <w:rPr>
          <w:rStyle w:val="CharSectno"/>
        </w:rPr>
        <w:t>29</w:t>
      </w:r>
      <w:r>
        <w:rPr>
          <w:snapToGrid w:val="0"/>
        </w:rPr>
        <w:t>.</w:t>
      </w:r>
      <w:r>
        <w:rPr>
          <w:snapToGrid w:val="0"/>
        </w:rPr>
        <w:tab/>
        <w:t>Provisions for payment before sale of goods</w:t>
      </w:r>
      <w:bookmarkEnd w:id="114"/>
      <w:bookmarkEnd w:id="115"/>
      <w:bookmarkEnd w:id="116"/>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117" w:name="_Toc459453848"/>
      <w:bookmarkStart w:id="118" w:name="_Toc44997346"/>
      <w:bookmarkStart w:id="119" w:name="_Toc102282446"/>
      <w:r>
        <w:rPr>
          <w:rStyle w:val="CharSectno"/>
        </w:rPr>
        <w:t>30</w:t>
      </w:r>
      <w:r>
        <w:rPr>
          <w:snapToGrid w:val="0"/>
        </w:rPr>
        <w:t>.</w:t>
      </w:r>
      <w:r>
        <w:rPr>
          <w:snapToGrid w:val="0"/>
        </w:rPr>
        <w:tab/>
        <w:t>Title of person acquiring goods</w:t>
      </w:r>
      <w:bookmarkEnd w:id="117"/>
      <w:bookmarkEnd w:id="118"/>
      <w:bookmarkEnd w:id="119"/>
      <w:r>
        <w:rPr>
          <w:snapToGrid w:val="0"/>
        </w:rPr>
        <w:t xml:space="preserve"> </w:t>
      </w:r>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authorized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120" w:name="_Toc459453849"/>
      <w:bookmarkStart w:id="121" w:name="_Toc44997347"/>
      <w:bookmarkStart w:id="122" w:name="_Toc102282447"/>
      <w:r>
        <w:rPr>
          <w:rStyle w:val="CharSectno"/>
        </w:rPr>
        <w:t>31</w:t>
      </w:r>
      <w:r>
        <w:rPr>
          <w:snapToGrid w:val="0"/>
        </w:rPr>
        <w:t>.</w:t>
      </w:r>
      <w:r>
        <w:rPr>
          <w:snapToGrid w:val="0"/>
        </w:rPr>
        <w:tab/>
        <w:t>Procedure for application to court</w:t>
      </w:r>
      <w:bookmarkEnd w:id="120"/>
      <w:bookmarkEnd w:id="121"/>
      <w:bookmarkEnd w:id="122"/>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123" w:name="_Toc102282449"/>
      <w:bookmarkStart w:id="124" w:name="_Toc459453851"/>
      <w:bookmarkStart w:id="125" w:name="_Toc44997349"/>
      <w:r>
        <w:rPr>
          <w:rStyle w:val="CharSectno"/>
        </w:rPr>
        <w:t>32</w:t>
      </w:r>
      <w:r>
        <w:rPr>
          <w:snapToGrid w:val="0"/>
        </w:rPr>
        <w:t>.</w:t>
      </w:r>
      <w:r>
        <w:rPr>
          <w:snapToGrid w:val="0"/>
        </w:rPr>
        <w:tab/>
        <w:t>Procedure</w:t>
      </w:r>
      <w:bookmarkEnd w:id="123"/>
    </w:p>
    <w:p>
      <w:pPr>
        <w:pStyle w:val="Subsection"/>
        <w:rPr>
          <w:snapToGrid w:val="0"/>
        </w:rPr>
      </w:pPr>
      <w:r>
        <w:rPr>
          <w:snapToGrid w:val="0"/>
        </w:rPr>
        <w:tab/>
        <w:t>(1)</w:t>
      </w:r>
      <w:r>
        <w:rPr>
          <w:snapToGrid w:val="0"/>
        </w:rPr>
        <w:tab/>
        <w:t xml:space="preserve">Subject to this Act, the </w:t>
      </w:r>
      <w:r>
        <w:rPr>
          <w:i/>
          <w:snapToGrid w:val="0"/>
        </w:rPr>
        <w:t>Magistrates Court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bookmarkEnd w:id="124"/>
    <w:bookmarkEnd w:id="125"/>
    <w:p>
      <w:pPr>
        <w:pStyle w:val="Ednotesection"/>
      </w:pPr>
      <w:r>
        <w:t>[</w:t>
      </w:r>
      <w:r>
        <w:rPr>
          <w:b/>
        </w:rPr>
        <w:t>33.</w:t>
      </w:r>
      <w:r>
        <w:tab/>
        <w:t>Repealed by No. 59 of 2004 s. 141.]</w:t>
      </w:r>
    </w:p>
    <w:p>
      <w:pPr>
        <w:pStyle w:val="Heading5"/>
        <w:rPr>
          <w:snapToGrid w:val="0"/>
        </w:rPr>
      </w:pPr>
      <w:bookmarkStart w:id="126" w:name="_Toc459453852"/>
      <w:bookmarkStart w:id="127" w:name="_Toc44997350"/>
      <w:bookmarkStart w:id="128" w:name="_Toc102282451"/>
      <w:r>
        <w:rPr>
          <w:rStyle w:val="CharSectno"/>
        </w:rPr>
        <w:t>34</w:t>
      </w:r>
      <w:r>
        <w:rPr>
          <w:snapToGrid w:val="0"/>
        </w:rPr>
        <w:t>.</w:t>
      </w:r>
      <w:r>
        <w:rPr>
          <w:snapToGrid w:val="0"/>
        </w:rPr>
        <w:tab/>
        <w:t>Penalties</w:t>
      </w:r>
      <w:bookmarkEnd w:id="126"/>
      <w:bookmarkEnd w:id="127"/>
      <w:bookmarkEnd w:id="128"/>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s.147.] </w:t>
      </w:r>
    </w:p>
    <w:p>
      <w:pPr>
        <w:pStyle w:val="Heading5"/>
        <w:rPr>
          <w:snapToGrid w:val="0"/>
        </w:rPr>
      </w:pPr>
      <w:bookmarkStart w:id="129" w:name="_Toc459453853"/>
      <w:bookmarkStart w:id="130" w:name="_Toc44997351"/>
      <w:bookmarkStart w:id="131" w:name="_Toc102282452"/>
      <w:r>
        <w:rPr>
          <w:rStyle w:val="CharSectno"/>
        </w:rPr>
        <w:t>35</w:t>
      </w:r>
      <w:r>
        <w:rPr>
          <w:snapToGrid w:val="0"/>
        </w:rPr>
        <w:t>.</w:t>
      </w:r>
      <w:r>
        <w:rPr>
          <w:snapToGrid w:val="0"/>
        </w:rPr>
        <w:tab/>
        <w:t>Regulations</w:t>
      </w:r>
      <w:bookmarkEnd w:id="129"/>
      <w:bookmarkEnd w:id="130"/>
      <w:bookmarkEnd w:id="131"/>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2" w:name="_Toc102282453"/>
      <w:r>
        <w:rPr>
          <w:rStyle w:val="CharSchNo"/>
        </w:rPr>
        <w:t>Schedule</w:t>
      </w:r>
      <w:bookmarkEnd w:id="132"/>
      <w:r>
        <w:t xml:space="preserve"> </w:t>
      </w:r>
    </w:p>
    <w:p>
      <w:pPr>
        <w:pStyle w:val="yShoulderClause"/>
        <w:spacing w:after="160"/>
        <w:rPr>
          <w:snapToGrid w:val="0"/>
        </w:rPr>
      </w:pPr>
      <w:r>
        <w:rPr>
          <w:snapToGrid w:val="0"/>
        </w:rPr>
        <w:t>[section 6]</w:t>
      </w:r>
    </w:p>
    <w:tbl>
      <w:tblPr>
        <w:tblW w:w="0" w:type="auto"/>
        <w:tblLayout w:type="fixed"/>
        <w:tblLook w:val="0000" w:firstRow="0" w:lastRow="0" w:firstColumn="0" w:lastColumn="0" w:noHBand="0" w:noVBand="0"/>
      </w:tblPr>
      <w:tblGrid>
        <w:gridCol w:w="2722"/>
        <w:gridCol w:w="4190"/>
      </w:tblGrid>
      <w:tr>
        <w:trPr>
          <w:trHeight w:val="331"/>
        </w:trPr>
        <w:tc>
          <w:tcPr>
            <w:tcW w:w="2722" w:type="dxa"/>
          </w:tcPr>
          <w:p>
            <w:pPr>
              <w:pStyle w:val="yTable"/>
              <w:jc w:val="center"/>
              <w:rPr>
                <w:b/>
                <w:snapToGrid w:val="0"/>
                <w:sz w:val="20"/>
              </w:rPr>
            </w:pPr>
            <w:r>
              <w:rPr>
                <w:b/>
                <w:snapToGrid w:val="0"/>
                <w:sz w:val="20"/>
              </w:rPr>
              <w:t>Number of Act.</w:t>
            </w:r>
          </w:p>
        </w:tc>
        <w:tc>
          <w:tcPr>
            <w:tcW w:w="4190" w:type="dxa"/>
          </w:tcPr>
          <w:p>
            <w:pPr>
              <w:pStyle w:val="yTable"/>
              <w:tabs>
                <w:tab w:val="left" w:pos="680"/>
              </w:tabs>
              <w:rPr>
                <w:b/>
                <w:snapToGrid w:val="0"/>
                <w:sz w:val="20"/>
              </w:rPr>
            </w:pPr>
            <w:r>
              <w:rPr>
                <w:b/>
                <w:snapToGrid w:val="0"/>
                <w:sz w:val="20"/>
              </w:rPr>
              <w:tab/>
              <w:t>Title of Act.</w:t>
            </w:r>
          </w:p>
        </w:tc>
      </w:tr>
      <w:tr>
        <w:trPr>
          <w:trHeight w:val="325"/>
        </w:trPr>
        <w:tc>
          <w:tcPr>
            <w:tcW w:w="2722" w:type="dxa"/>
          </w:tcPr>
          <w:p>
            <w:pPr>
              <w:pStyle w:val="yTable"/>
              <w:ind w:left="567"/>
              <w:rPr>
                <w:snapToGrid w:val="0"/>
                <w:sz w:val="20"/>
              </w:rPr>
            </w:pPr>
            <w:r>
              <w:rPr>
                <w:snapToGrid w:val="0"/>
                <w:sz w:val="20"/>
              </w:rPr>
              <w:t>8 of 1931</w:t>
            </w:r>
          </w:p>
        </w:tc>
        <w:tc>
          <w:tcPr>
            <w:tcW w:w="4190" w:type="dxa"/>
          </w:tcPr>
          <w:p>
            <w:pPr>
              <w:pStyle w:val="yTable"/>
              <w:rPr>
                <w:snapToGrid w:val="0"/>
                <w:sz w:val="20"/>
              </w:rPr>
            </w:pPr>
            <w:r>
              <w:rPr>
                <w:i/>
                <w:snapToGrid w:val="0"/>
                <w:sz w:val="20"/>
              </w:rPr>
              <w:t>Firearms and Guns Act 1931</w:t>
            </w:r>
            <w:r>
              <w:rPr>
                <w:snapToGrid w:val="0"/>
                <w:sz w:val="20"/>
              </w:rPr>
              <w:t xml:space="preserve"> </w:t>
            </w:r>
            <w:r>
              <w:rPr>
                <w:snapToGrid w:val="0"/>
                <w:sz w:val="20"/>
                <w:vertAlign w:val="superscript"/>
              </w:rPr>
              <w:t>2</w:t>
            </w:r>
            <w:r>
              <w:rPr>
                <w:snapToGrid w:val="0"/>
                <w:sz w:val="20"/>
              </w:rPr>
              <w:t>.</w:t>
            </w:r>
          </w:p>
        </w:tc>
      </w:tr>
      <w:tr>
        <w:trPr>
          <w:trHeight w:val="325"/>
        </w:trPr>
        <w:tc>
          <w:tcPr>
            <w:tcW w:w="2722" w:type="dxa"/>
          </w:tcPr>
          <w:p>
            <w:pPr>
              <w:pStyle w:val="yTable"/>
              <w:ind w:left="567"/>
              <w:rPr>
                <w:snapToGrid w:val="0"/>
                <w:sz w:val="20"/>
              </w:rPr>
            </w:pPr>
            <w:r>
              <w:rPr>
                <w:snapToGrid w:val="0"/>
                <w:sz w:val="20"/>
              </w:rPr>
              <w:t>23 of 1904</w:t>
            </w:r>
          </w:p>
        </w:tc>
        <w:tc>
          <w:tcPr>
            <w:tcW w:w="4190" w:type="dxa"/>
          </w:tcPr>
          <w:p>
            <w:pPr>
              <w:pStyle w:val="yTable"/>
              <w:rPr>
                <w:snapToGrid w:val="0"/>
                <w:sz w:val="20"/>
              </w:rPr>
            </w:pPr>
            <w:r>
              <w:rPr>
                <w:i/>
                <w:snapToGrid w:val="0"/>
                <w:sz w:val="20"/>
              </w:rPr>
              <w:t>Government Railways Act 1904</w:t>
            </w:r>
            <w:r>
              <w:rPr>
                <w:snapToGrid w:val="0"/>
                <w:sz w:val="20"/>
              </w:rPr>
              <w:t>.</w:t>
            </w:r>
          </w:p>
        </w:tc>
      </w:tr>
      <w:tr>
        <w:trPr>
          <w:trHeight w:val="325"/>
        </w:trPr>
        <w:tc>
          <w:tcPr>
            <w:tcW w:w="2722" w:type="dxa"/>
          </w:tcPr>
          <w:p>
            <w:pPr>
              <w:pStyle w:val="yTable"/>
              <w:ind w:left="567"/>
              <w:rPr>
                <w:snapToGrid w:val="0"/>
                <w:sz w:val="20"/>
              </w:rPr>
            </w:pPr>
            <w:r>
              <w:rPr>
                <w:snapToGrid w:val="0"/>
                <w:sz w:val="20"/>
              </w:rPr>
              <w:t>45 of 1926</w:t>
            </w:r>
          </w:p>
        </w:tc>
        <w:tc>
          <w:tcPr>
            <w:tcW w:w="4190" w:type="dxa"/>
          </w:tcPr>
          <w:p>
            <w:pPr>
              <w:pStyle w:val="yTable"/>
              <w:rPr>
                <w:snapToGrid w:val="0"/>
                <w:sz w:val="20"/>
              </w:rPr>
            </w:pPr>
            <w:r>
              <w:rPr>
                <w:i/>
                <w:snapToGrid w:val="0"/>
                <w:sz w:val="20"/>
              </w:rPr>
              <w:t>Jetties Act 1926</w:t>
            </w:r>
            <w:r>
              <w:rPr>
                <w:snapToGrid w:val="0"/>
                <w:sz w:val="20"/>
              </w:rPr>
              <w:t>.</w:t>
            </w:r>
          </w:p>
        </w:tc>
      </w:tr>
      <w:tr>
        <w:trPr>
          <w:trHeight w:val="325"/>
        </w:trPr>
        <w:tc>
          <w:tcPr>
            <w:tcW w:w="2722" w:type="dxa"/>
          </w:tcPr>
          <w:p>
            <w:pPr>
              <w:pStyle w:val="yTable"/>
              <w:ind w:left="567"/>
              <w:rPr>
                <w:snapToGrid w:val="0"/>
                <w:sz w:val="20"/>
              </w:rPr>
            </w:pPr>
            <w:r>
              <w:rPr>
                <w:snapToGrid w:val="0"/>
                <w:sz w:val="20"/>
              </w:rPr>
              <w:t>88 of 1994</w:t>
            </w:r>
          </w:p>
        </w:tc>
        <w:tc>
          <w:tcPr>
            <w:tcW w:w="4190" w:type="dxa"/>
          </w:tcPr>
          <w:p>
            <w:pPr>
              <w:pStyle w:val="yTable"/>
              <w:rPr>
                <w:i/>
                <w:snapToGrid w:val="0"/>
                <w:sz w:val="20"/>
                <w:highlight w:val="lightGray"/>
              </w:rPr>
            </w:pPr>
            <w:r>
              <w:rPr>
                <w:i/>
                <w:snapToGrid w:val="0"/>
                <w:sz w:val="20"/>
              </w:rPr>
              <w:t>Pawnbrokers and Second-hand Dealers Act 1994.</w:t>
            </w:r>
          </w:p>
        </w:tc>
      </w:tr>
      <w:tr>
        <w:trPr>
          <w:trHeight w:val="325"/>
        </w:trPr>
        <w:tc>
          <w:tcPr>
            <w:tcW w:w="2722" w:type="dxa"/>
          </w:tcPr>
          <w:p>
            <w:pPr>
              <w:pStyle w:val="yTable"/>
              <w:ind w:left="567"/>
              <w:rPr>
                <w:snapToGrid w:val="0"/>
                <w:sz w:val="20"/>
              </w:rPr>
            </w:pPr>
            <w:r>
              <w:rPr>
                <w:snapToGrid w:val="0"/>
                <w:sz w:val="20"/>
              </w:rPr>
              <w:t>55 Vict., No. 27</w:t>
            </w:r>
          </w:p>
        </w:tc>
        <w:tc>
          <w:tcPr>
            <w:tcW w:w="4190" w:type="dxa"/>
          </w:tcPr>
          <w:p>
            <w:pPr>
              <w:pStyle w:val="yTable"/>
              <w:rPr>
                <w:i/>
                <w:snapToGrid w:val="0"/>
                <w:sz w:val="20"/>
              </w:rPr>
            </w:pPr>
            <w:r>
              <w:rPr>
                <w:i/>
                <w:snapToGrid w:val="0"/>
                <w:sz w:val="20"/>
              </w:rPr>
              <w:t>Police Act 1892.</w:t>
            </w:r>
          </w:p>
        </w:tc>
      </w:tr>
      <w:tr>
        <w:trPr>
          <w:trHeight w:val="325"/>
        </w:trPr>
        <w:tc>
          <w:tcPr>
            <w:tcW w:w="2722" w:type="dxa"/>
          </w:tcPr>
          <w:p>
            <w:pPr>
              <w:pStyle w:val="yTable"/>
              <w:ind w:left="567"/>
              <w:rPr>
                <w:snapToGrid w:val="0"/>
                <w:sz w:val="20"/>
              </w:rPr>
            </w:pPr>
          </w:p>
        </w:tc>
        <w:tc>
          <w:tcPr>
            <w:tcW w:w="4190" w:type="dxa"/>
          </w:tcPr>
          <w:p>
            <w:pPr>
              <w:pStyle w:val="yTable"/>
              <w:rPr>
                <w:i/>
                <w:snapToGrid w:val="0"/>
                <w:sz w:val="20"/>
              </w:rPr>
            </w:pPr>
            <w:r>
              <w:rPr>
                <w:i/>
                <w:snapToGrid w:val="0"/>
                <w:sz w:val="20"/>
              </w:rPr>
              <w:t>Public Transport Authority Act 2003.</w:t>
            </w:r>
          </w:p>
        </w:tc>
      </w:tr>
      <w:tr>
        <w:trPr>
          <w:trHeight w:val="325"/>
        </w:trPr>
        <w:tc>
          <w:tcPr>
            <w:tcW w:w="2722" w:type="dxa"/>
          </w:tcPr>
          <w:p>
            <w:pPr>
              <w:pStyle w:val="yTable"/>
              <w:ind w:left="567"/>
              <w:rPr>
                <w:snapToGrid w:val="0"/>
                <w:sz w:val="20"/>
              </w:rPr>
            </w:pPr>
            <w:r>
              <w:rPr>
                <w:snapToGrid w:val="0"/>
                <w:sz w:val="20"/>
              </w:rPr>
              <w:t>17 of 1967</w:t>
            </w:r>
          </w:p>
        </w:tc>
        <w:tc>
          <w:tcPr>
            <w:tcW w:w="4190" w:type="dxa"/>
          </w:tcPr>
          <w:p>
            <w:pPr>
              <w:pStyle w:val="yTable"/>
              <w:rPr>
                <w:i/>
                <w:snapToGrid w:val="0"/>
                <w:sz w:val="20"/>
              </w:rPr>
            </w:pPr>
            <w:r>
              <w:rPr>
                <w:i/>
                <w:snapToGrid w:val="0"/>
                <w:sz w:val="20"/>
              </w:rPr>
              <w:t>Shipping and Pilotage Act 1967.</w:t>
            </w:r>
          </w:p>
        </w:tc>
      </w:tr>
      <w:tr>
        <w:trPr>
          <w:trHeight w:val="325"/>
        </w:trPr>
        <w:tc>
          <w:tcPr>
            <w:tcW w:w="2722" w:type="dxa"/>
          </w:tcPr>
          <w:p>
            <w:pPr>
              <w:pStyle w:val="yTable"/>
              <w:ind w:left="567"/>
              <w:rPr>
                <w:snapToGrid w:val="0"/>
                <w:sz w:val="20"/>
              </w:rPr>
            </w:pPr>
            <w:r>
              <w:rPr>
                <w:snapToGrid w:val="0"/>
                <w:sz w:val="20"/>
              </w:rPr>
              <w:t>26 of 1952</w:t>
            </w:r>
          </w:p>
        </w:tc>
        <w:tc>
          <w:tcPr>
            <w:tcW w:w="4190" w:type="dxa"/>
          </w:tcPr>
          <w:p>
            <w:pPr>
              <w:pStyle w:val="yTable"/>
              <w:rPr>
                <w:i/>
                <w:snapToGrid w:val="0"/>
                <w:sz w:val="20"/>
              </w:rPr>
            </w:pPr>
            <w:r>
              <w:rPr>
                <w:i/>
                <w:snapToGrid w:val="0"/>
                <w:sz w:val="20"/>
              </w:rPr>
              <w:t>Warehousemen’s Liens Act 1952.</w:t>
            </w:r>
          </w:p>
        </w:tc>
      </w:tr>
      <w:tr>
        <w:trPr>
          <w:trHeight w:val="325"/>
        </w:trPr>
        <w:tc>
          <w:tcPr>
            <w:tcW w:w="2722" w:type="dxa"/>
            <w:tcBorders>
              <w:bottom w:val="nil"/>
            </w:tcBorders>
          </w:tcPr>
          <w:p>
            <w:pPr>
              <w:pStyle w:val="yTable"/>
              <w:rPr>
                <w:snapToGrid w:val="0"/>
                <w:sz w:val="20"/>
              </w:rPr>
            </w:pPr>
          </w:p>
        </w:tc>
        <w:tc>
          <w:tcPr>
            <w:tcW w:w="4190" w:type="dxa"/>
            <w:tcBorders>
              <w:bottom w:val="nil"/>
            </w:tcBorders>
          </w:tcPr>
          <w:p>
            <w:pPr>
              <w:pStyle w:val="yTable"/>
              <w:rPr>
                <w:i/>
                <w:snapToGrid w:val="0"/>
                <w:sz w:val="20"/>
              </w:rPr>
            </w:pPr>
            <w:r>
              <w:rPr>
                <w:snapToGrid w:val="0"/>
                <w:sz w:val="20"/>
              </w:rPr>
              <w:t xml:space="preserve">Section 79 of the </w:t>
            </w:r>
            <w:r>
              <w:rPr>
                <w:i/>
                <w:snapToGrid w:val="0"/>
                <w:sz w:val="20"/>
              </w:rPr>
              <w:t>Residential Tenancies Act 1987.</w:t>
            </w:r>
          </w:p>
        </w:tc>
      </w:tr>
    </w:tbl>
    <w:p>
      <w:pPr>
        <w:pStyle w:val="yFootnotesection"/>
      </w:pPr>
      <w:r>
        <w:tab/>
        <w:t xml:space="preserve">[Schedule amended by No. 128 of 1987 s.89; No. 88 of 1994 s.100; No. 5 of 1999 s.21; No. 16 of 1999 s.7(1); No. 31 of 2003 s. 157 and 203.]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3" w:name="_Toc89514969"/>
      <w:bookmarkStart w:id="134" w:name="_Toc102282401"/>
      <w:bookmarkStart w:id="135" w:name="_Toc102282454"/>
      <w:r>
        <w:t>Notes</w:t>
      </w:r>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w:t>
      </w:r>
      <w:bookmarkStart w:id="136" w:name="UpToHere"/>
      <w:bookmarkEnd w:id="136"/>
      <w:r>
        <w:rPr>
          <w:snapToGrid w:val="0"/>
        </w:rPr>
        <w:t>.</w:t>
      </w:r>
    </w:p>
    <w:p>
      <w:pPr>
        <w:pStyle w:val="nHeading3"/>
        <w:rPr>
          <w:snapToGrid w:val="0"/>
        </w:rPr>
      </w:pPr>
      <w:bookmarkStart w:id="137" w:name="_Toc102282455"/>
      <w:r>
        <w:rPr>
          <w:snapToGrid w:val="0"/>
        </w:rPr>
        <w:t>Compilation table</w:t>
      </w:r>
      <w:bookmarkEnd w:id="137"/>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120" w:after="60"/>
              <w:ind w:right="170"/>
              <w:rPr>
                <w:b/>
                <w:sz w:val="19"/>
              </w:rPr>
            </w:pPr>
            <w:r>
              <w:rPr>
                <w:b/>
                <w:sz w:val="19"/>
              </w:rPr>
              <w:t>Short title</w:t>
            </w:r>
          </w:p>
        </w:tc>
        <w:tc>
          <w:tcPr>
            <w:tcW w:w="992"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276" w:type="dxa"/>
            <w:tcBorders>
              <w:top w:val="single" w:sz="12" w:space="0" w:color="auto"/>
              <w:bottom w:val="single" w:sz="12" w:space="0" w:color="auto"/>
            </w:tcBorders>
          </w:tcPr>
          <w:p>
            <w:pPr>
              <w:pStyle w:val="nTable"/>
              <w:spacing w:before="120" w:after="60"/>
              <w:rPr>
                <w:b/>
                <w:sz w:val="19"/>
              </w:rPr>
            </w:pPr>
            <w:r>
              <w:rPr>
                <w:b/>
                <w:sz w:val="19"/>
              </w:rPr>
              <w:t>Assent</w:t>
            </w:r>
          </w:p>
        </w:tc>
        <w:tc>
          <w:tcPr>
            <w:tcW w:w="1757" w:type="dxa"/>
            <w:tcBorders>
              <w:top w:val="single" w:sz="12" w:space="0" w:color="auto"/>
              <w:bottom w:val="single" w:sz="12" w:space="0" w:color="auto"/>
            </w:tcBorders>
          </w:tcPr>
          <w:p>
            <w:pPr>
              <w:pStyle w:val="nTable"/>
              <w:spacing w:before="120" w:after="60"/>
              <w:rPr>
                <w:b/>
                <w:sz w:val="19"/>
              </w:rPr>
            </w:pPr>
            <w:r>
              <w:rPr>
                <w:b/>
                <w:sz w:val="19"/>
              </w:rPr>
              <w:t>Commencement</w:t>
            </w:r>
          </w:p>
        </w:tc>
        <w:tc>
          <w:tcPr>
            <w:tcW w:w="1417" w:type="dxa"/>
            <w:tcBorders>
              <w:top w:val="single" w:sz="12" w:space="0" w:color="auto"/>
              <w:bottom w:val="single" w:sz="12" w:space="0" w:color="auto"/>
            </w:tcBorders>
          </w:tcPr>
          <w:p>
            <w:pPr>
              <w:pStyle w:val="nTable"/>
              <w:spacing w:before="120" w:after="60"/>
              <w:rPr>
                <w:b/>
                <w:sz w:val="19"/>
              </w:rPr>
            </w:pPr>
            <w:r>
              <w:rPr>
                <w:b/>
                <w:sz w:val="19"/>
              </w:rPr>
              <w:t>Miscellaneous</w:t>
            </w:r>
          </w:p>
        </w:tc>
      </w:tr>
      <w:tr>
        <w:trPr>
          <w:cantSplit/>
        </w:trPr>
        <w:tc>
          <w:tcPr>
            <w:tcW w:w="1701" w:type="dxa"/>
          </w:tcPr>
          <w:p>
            <w:pPr>
              <w:pStyle w:val="nTable"/>
              <w:spacing w:before="120"/>
              <w:ind w:right="170"/>
              <w:rPr>
                <w:sz w:val="19"/>
              </w:rPr>
            </w:pPr>
            <w:r>
              <w:rPr>
                <w:i/>
                <w:sz w:val="19"/>
              </w:rPr>
              <w:t>Disposal of Uncollected Goods Act 1970</w:t>
            </w:r>
          </w:p>
        </w:tc>
        <w:tc>
          <w:tcPr>
            <w:tcW w:w="992" w:type="dxa"/>
          </w:tcPr>
          <w:p>
            <w:pPr>
              <w:pStyle w:val="nTable"/>
              <w:spacing w:before="120"/>
              <w:rPr>
                <w:sz w:val="19"/>
              </w:rPr>
            </w:pPr>
            <w:r>
              <w:rPr>
                <w:sz w:val="19"/>
              </w:rPr>
              <w:t>121 of 1970</w:t>
            </w:r>
          </w:p>
        </w:tc>
        <w:tc>
          <w:tcPr>
            <w:tcW w:w="1276" w:type="dxa"/>
          </w:tcPr>
          <w:p>
            <w:pPr>
              <w:pStyle w:val="nTable"/>
              <w:spacing w:before="120"/>
              <w:rPr>
                <w:sz w:val="19"/>
              </w:rPr>
            </w:pPr>
            <w:r>
              <w:rPr>
                <w:sz w:val="19"/>
              </w:rPr>
              <w:t>10 December 1970</w:t>
            </w:r>
          </w:p>
        </w:tc>
        <w:tc>
          <w:tcPr>
            <w:tcW w:w="1757" w:type="dxa"/>
          </w:tcPr>
          <w:p>
            <w:pPr>
              <w:pStyle w:val="nTable"/>
              <w:spacing w:before="120"/>
              <w:rPr>
                <w:sz w:val="19"/>
              </w:rPr>
            </w:pPr>
            <w:r>
              <w:rPr>
                <w:sz w:val="19"/>
              </w:rPr>
              <w:t xml:space="preserve">1 August 1971 (see section 2 and </w:t>
            </w:r>
            <w:r>
              <w:rPr>
                <w:i/>
                <w:sz w:val="19"/>
              </w:rPr>
              <w:t>Gazette</w:t>
            </w:r>
            <w:r>
              <w:rPr>
                <w:sz w:val="19"/>
              </w:rPr>
              <w:t xml:space="preserve"> 16 July 1971 p.2555)</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Residential Tenancies Act 1987</w:t>
            </w:r>
            <w:r>
              <w:rPr>
                <w:sz w:val="19"/>
              </w:rPr>
              <w:t>,</w:t>
            </w:r>
            <w:r>
              <w:rPr>
                <w:sz w:val="19"/>
              </w:rPr>
              <w:br/>
              <w:t>section 89</w:t>
            </w:r>
          </w:p>
        </w:tc>
        <w:tc>
          <w:tcPr>
            <w:tcW w:w="992" w:type="dxa"/>
          </w:tcPr>
          <w:p>
            <w:pPr>
              <w:pStyle w:val="nTable"/>
              <w:spacing w:before="120"/>
              <w:rPr>
                <w:sz w:val="19"/>
              </w:rPr>
            </w:pPr>
            <w:r>
              <w:rPr>
                <w:sz w:val="19"/>
              </w:rPr>
              <w:t>128 of 1987</w:t>
            </w:r>
          </w:p>
        </w:tc>
        <w:tc>
          <w:tcPr>
            <w:tcW w:w="1276" w:type="dxa"/>
          </w:tcPr>
          <w:p>
            <w:pPr>
              <w:pStyle w:val="nTable"/>
              <w:spacing w:before="120"/>
              <w:rPr>
                <w:sz w:val="19"/>
              </w:rPr>
            </w:pPr>
            <w:r>
              <w:rPr>
                <w:sz w:val="19"/>
              </w:rPr>
              <w:t>21 January 1988</w:t>
            </w:r>
          </w:p>
        </w:tc>
        <w:tc>
          <w:tcPr>
            <w:tcW w:w="1757" w:type="dxa"/>
          </w:tcPr>
          <w:p>
            <w:pPr>
              <w:pStyle w:val="nTable"/>
              <w:spacing w:before="120"/>
              <w:rPr>
                <w:sz w:val="19"/>
              </w:rPr>
            </w:pPr>
            <w:r>
              <w:rPr>
                <w:sz w:val="19"/>
              </w:rPr>
              <w:t xml:space="preserve">1 October 1989 (see section 2 and </w:t>
            </w:r>
            <w:r>
              <w:rPr>
                <w:i/>
                <w:sz w:val="19"/>
              </w:rPr>
              <w:t>Gazette</w:t>
            </w:r>
            <w:r>
              <w:rPr>
                <w:sz w:val="19"/>
              </w:rPr>
              <w:t xml:space="preserve"> 18 August 1989 p.2748)</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Pawnbrokers and Second-hand Dealers Act 1994</w:t>
            </w:r>
            <w:r>
              <w:rPr>
                <w:sz w:val="19"/>
              </w:rPr>
              <w:t>,</w:t>
            </w:r>
            <w:r>
              <w:rPr>
                <w:sz w:val="19"/>
              </w:rPr>
              <w:br/>
              <w:t>section 100</w:t>
            </w:r>
          </w:p>
        </w:tc>
        <w:tc>
          <w:tcPr>
            <w:tcW w:w="992" w:type="dxa"/>
          </w:tcPr>
          <w:p>
            <w:pPr>
              <w:pStyle w:val="nTable"/>
              <w:spacing w:before="120"/>
              <w:rPr>
                <w:sz w:val="19"/>
              </w:rPr>
            </w:pPr>
            <w:r>
              <w:rPr>
                <w:sz w:val="19"/>
              </w:rPr>
              <w:t>88 of 1994</w:t>
            </w:r>
          </w:p>
        </w:tc>
        <w:tc>
          <w:tcPr>
            <w:tcW w:w="1276" w:type="dxa"/>
          </w:tcPr>
          <w:p>
            <w:pPr>
              <w:pStyle w:val="nTable"/>
              <w:spacing w:before="120"/>
              <w:rPr>
                <w:sz w:val="19"/>
              </w:rPr>
            </w:pPr>
            <w:r>
              <w:rPr>
                <w:sz w:val="19"/>
              </w:rPr>
              <w:t>5 January 1995</w:t>
            </w:r>
          </w:p>
        </w:tc>
        <w:tc>
          <w:tcPr>
            <w:tcW w:w="1757" w:type="dxa"/>
          </w:tcPr>
          <w:p>
            <w:pPr>
              <w:pStyle w:val="nTable"/>
              <w:spacing w:before="120"/>
              <w:rPr>
                <w:sz w:val="19"/>
              </w:rPr>
            </w:pPr>
            <w:r>
              <w:rPr>
                <w:sz w:val="19"/>
              </w:rPr>
              <w:t>1 April 1996 (see section 2 and </w:t>
            </w:r>
            <w:r>
              <w:rPr>
                <w:i/>
                <w:sz w:val="19"/>
              </w:rPr>
              <w:t>Gazette</w:t>
            </w:r>
            <w:r>
              <w:rPr>
                <w:sz w:val="19"/>
              </w:rPr>
              <w:t xml:space="preserve"> </w:t>
            </w:r>
          </w:p>
          <w:p>
            <w:pPr>
              <w:pStyle w:val="nTable"/>
              <w:spacing w:before="0"/>
              <w:rPr>
                <w:sz w:val="19"/>
              </w:rPr>
            </w:pPr>
            <w:r>
              <w:rPr>
                <w:sz w:val="19"/>
              </w:rPr>
              <w:t>29 March 1996 p.1495)</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Sentencing (Consequential Provisions) Act 1995</w:t>
            </w:r>
            <w:r>
              <w:rPr>
                <w:sz w:val="19"/>
              </w:rPr>
              <w:t>,</w:t>
            </w:r>
            <w:r>
              <w:rPr>
                <w:sz w:val="19"/>
              </w:rPr>
              <w:br/>
              <w:t>section 147</w:t>
            </w:r>
          </w:p>
        </w:tc>
        <w:tc>
          <w:tcPr>
            <w:tcW w:w="992" w:type="dxa"/>
          </w:tcPr>
          <w:p>
            <w:pPr>
              <w:pStyle w:val="nTable"/>
              <w:spacing w:before="120"/>
              <w:rPr>
                <w:sz w:val="19"/>
              </w:rPr>
            </w:pPr>
            <w:r>
              <w:rPr>
                <w:sz w:val="19"/>
              </w:rPr>
              <w:t>78 of 1995</w:t>
            </w:r>
          </w:p>
        </w:tc>
        <w:tc>
          <w:tcPr>
            <w:tcW w:w="1276" w:type="dxa"/>
          </w:tcPr>
          <w:p>
            <w:pPr>
              <w:pStyle w:val="nTable"/>
              <w:spacing w:before="120"/>
              <w:rPr>
                <w:sz w:val="19"/>
              </w:rPr>
            </w:pPr>
            <w:r>
              <w:rPr>
                <w:sz w:val="19"/>
              </w:rPr>
              <w:t>16 January 1966</w:t>
            </w:r>
          </w:p>
        </w:tc>
        <w:tc>
          <w:tcPr>
            <w:tcW w:w="1757" w:type="dxa"/>
          </w:tcPr>
          <w:p>
            <w:pPr>
              <w:pStyle w:val="nTable"/>
              <w:spacing w:before="120"/>
              <w:rPr>
                <w:sz w:val="19"/>
              </w:rPr>
            </w:pPr>
            <w:r>
              <w:rPr>
                <w:sz w:val="19"/>
              </w:rPr>
              <w:t>4 November 1996 (see section 2 and </w:t>
            </w:r>
            <w:r>
              <w:rPr>
                <w:i/>
                <w:sz w:val="19"/>
              </w:rPr>
              <w:t>Gazette</w:t>
            </w:r>
            <w:r>
              <w:rPr>
                <w:sz w:val="19"/>
              </w:rPr>
              <w:t xml:space="preserve"> 25 October 1996 p.5632)</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Statutes (Repeals and Minor Amendments) Act (No. 2) 1998</w:t>
            </w:r>
            <w:r>
              <w:rPr>
                <w:sz w:val="19"/>
              </w:rPr>
              <w:t>,</w:t>
            </w:r>
            <w:r>
              <w:rPr>
                <w:sz w:val="19"/>
              </w:rPr>
              <w:br/>
              <w:t>section 76</w:t>
            </w:r>
          </w:p>
        </w:tc>
        <w:tc>
          <w:tcPr>
            <w:tcW w:w="992" w:type="dxa"/>
          </w:tcPr>
          <w:p>
            <w:pPr>
              <w:pStyle w:val="nTable"/>
              <w:spacing w:before="120"/>
              <w:rPr>
                <w:sz w:val="19"/>
              </w:rPr>
            </w:pPr>
            <w:r>
              <w:rPr>
                <w:sz w:val="19"/>
              </w:rPr>
              <w:t>10 of 1998</w:t>
            </w:r>
          </w:p>
        </w:tc>
        <w:tc>
          <w:tcPr>
            <w:tcW w:w="1276" w:type="dxa"/>
          </w:tcPr>
          <w:p>
            <w:pPr>
              <w:pStyle w:val="nTable"/>
              <w:spacing w:before="120"/>
              <w:rPr>
                <w:sz w:val="19"/>
              </w:rPr>
            </w:pPr>
            <w:r>
              <w:rPr>
                <w:sz w:val="19"/>
              </w:rPr>
              <w:t>30 April 1998</w:t>
            </w:r>
          </w:p>
        </w:tc>
        <w:tc>
          <w:tcPr>
            <w:tcW w:w="1757" w:type="dxa"/>
          </w:tcPr>
          <w:p>
            <w:pPr>
              <w:pStyle w:val="nTable"/>
              <w:spacing w:before="120"/>
              <w:rPr>
                <w:sz w:val="19"/>
              </w:rPr>
            </w:pPr>
            <w:r>
              <w:rPr>
                <w:sz w:val="19"/>
              </w:rPr>
              <w:t>30 April 1998 (see section 2(1))</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Port Authorities (Consequential Provisions) Act 1999</w:t>
            </w:r>
            <w:r>
              <w:rPr>
                <w:sz w:val="19"/>
              </w:rPr>
              <w:t>,</w:t>
            </w:r>
            <w:r>
              <w:rPr>
                <w:sz w:val="19"/>
              </w:rPr>
              <w:br/>
              <w:t>section 21</w:t>
            </w:r>
          </w:p>
        </w:tc>
        <w:tc>
          <w:tcPr>
            <w:tcW w:w="992" w:type="dxa"/>
          </w:tcPr>
          <w:p>
            <w:pPr>
              <w:pStyle w:val="nTable"/>
              <w:spacing w:before="120"/>
              <w:rPr>
                <w:sz w:val="19"/>
              </w:rPr>
            </w:pPr>
            <w:r>
              <w:rPr>
                <w:sz w:val="19"/>
              </w:rPr>
              <w:t>5 of 1999</w:t>
            </w:r>
          </w:p>
        </w:tc>
        <w:tc>
          <w:tcPr>
            <w:tcW w:w="1276" w:type="dxa"/>
          </w:tcPr>
          <w:p>
            <w:pPr>
              <w:pStyle w:val="nTable"/>
              <w:spacing w:before="120"/>
              <w:rPr>
                <w:sz w:val="19"/>
              </w:rPr>
            </w:pPr>
            <w:r>
              <w:rPr>
                <w:sz w:val="19"/>
              </w:rPr>
              <w:t>13 April 1999</w:t>
            </w:r>
          </w:p>
        </w:tc>
        <w:tc>
          <w:tcPr>
            <w:tcW w:w="1757" w:type="dxa"/>
          </w:tcPr>
          <w:p>
            <w:pPr>
              <w:pStyle w:val="nTable"/>
              <w:spacing w:before="120"/>
              <w:rPr>
                <w:sz w:val="19"/>
              </w:rPr>
            </w:pPr>
            <w:r>
              <w:rPr>
                <w:sz w:val="19"/>
              </w:rPr>
              <w:t xml:space="preserve">14 August 1999 (see section 2(1) and </w:t>
            </w:r>
            <w:r>
              <w:rPr>
                <w:i/>
                <w:sz w:val="19"/>
              </w:rPr>
              <w:t>Gazette</w:t>
            </w:r>
            <w:r>
              <w:rPr>
                <w:sz w:val="19"/>
              </w:rPr>
              <w:t xml:space="preserve"> 13 August 1999 p.3823)</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Perth Parking Management (Consequential Provisions) Act 1999</w:t>
            </w:r>
            <w:r>
              <w:rPr>
                <w:sz w:val="19"/>
              </w:rPr>
              <w:t>,</w:t>
            </w:r>
            <w:r>
              <w:rPr>
                <w:sz w:val="19"/>
              </w:rPr>
              <w:br/>
              <w:t>section 7(1)</w:t>
            </w:r>
          </w:p>
        </w:tc>
        <w:tc>
          <w:tcPr>
            <w:tcW w:w="992" w:type="dxa"/>
          </w:tcPr>
          <w:p>
            <w:pPr>
              <w:pStyle w:val="nTable"/>
              <w:spacing w:before="120"/>
              <w:rPr>
                <w:sz w:val="19"/>
              </w:rPr>
            </w:pPr>
            <w:r>
              <w:rPr>
                <w:sz w:val="19"/>
              </w:rPr>
              <w:t>16 of 1999</w:t>
            </w:r>
          </w:p>
        </w:tc>
        <w:tc>
          <w:tcPr>
            <w:tcW w:w="1276" w:type="dxa"/>
          </w:tcPr>
          <w:p>
            <w:pPr>
              <w:pStyle w:val="nTable"/>
              <w:spacing w:before="120"/>
              <w:rPr>
                <w:sz w:val="19"/>
              </w:rPr>
            </w:pPr>
            <w:r>
              <w:rPr>
                <w:sz w:val="19"/>
              </w:rPr>
              <w:t>19 May 1999</w:t>
            </w:r>
          </w:p>
        </w:tc>
        <w:tc>
          <w:tcPr>
            <w:tcW w:w="1757" w:type="dxa"/>
          </w:tcPr>
          <w:p>
            <w:pPr>
              <w:pStyle w:val="nTable"/>
              <w:spacing w:before="120"/>
              <w:rPr>
                <w:sz w:val="19"/>
              </w:rPr>
            </w:pPr>
            <w:r>
              <w:rPr>
                <w:sz w:val="19"/>
              </w:rPr>
              <w:t xml:space="preserve">7 August 1999 (see section 2 and </w:t>
            </w:r>
            <w:r>
              <w:rPr>
                <w:i/>
                <w:sz w:val="19"/>
              </w:rPr>
              <w:t>Gazette</w:t>
            </w:r>
            <w:r>
              <w:rPr>
                <w:sz w:val="19"/>
              </w:rPr>
              <w:t xml:space="preserve"> 6 August 1999 p.3727)</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Public Transport Authority Act 2003</w:t>
            </w:r>
            <w:r>
              <w:rPr>
                <w:sz w:val="19"/>
              </w:rPr>
              <w:t xml:space="preserve"> s. 157 and 203</w:t>
            </w:r>
          </w:p>
        </w:tc>
        <w:tc>
          <w:tcPr>
            <w:tcW w:w="992" w:type="dxa"/>
          </w:tcPr>
          <w:p>
            <w:pPr>
              <w:pStyle w:val="nTable"/>
              <w:spacing w:before="120" w:after="60"/>
              <w:rPr>
                <w:sz w:val="19"/>
              </w:rPr>
            </w:pPr>
            <w:r>
              <w:rPr>
                <w:sz w:val="19"/>
              </w:rPr>
              <w:t>31 of 2003</w:t>
            </w:r>
          </w:p>
        </w:tc>
        <w:tc>
          <w:tcPr>
            <w:tcW w:w="1276" w:type="dxa"/>
          </w:tcPr>
          <w:p>
            <w:pPr>
              <w:pStyle w:val="nTable"/>
              <w:spacing w:before="120"/>
              <w:rPr>
                <w:sz w:val="19"/>
              </w:rPr>
            </w:pPr>
            <w:r>
              <w:rPr>
                <w:sz w:val="19"/>
              </w:rPr>
              <w:t>26 May 2003</w:t>
            </w:r>
          </w:p>
        </w:tc>
        <w:tc>
          <w:tcPr>
            <w:tcW w:w="1757" w:type="dxa"/>
          </w:tcPr>
          <w:p>
            <w:pPr>
              <w:pStyle w:val="nTable"/>
              <w:spacing w:before="120"/>
              <w:rPr>
                <w:sz w:val="19"/>
              </w:rPr>
            </w:pPr>
            <w:r>
              <w:rPr>
                <w:sz w:val="19"/>
              </w:rPr>
              <w:t xml:space="preserve">1 July 2003 (see s. 2(1) and </w:t>
            </w:r>
            <w:r>
              <w:rPr>
                <w:i/>
                <w:sz w:val="19"/>
              </w:rPr>
              <w:t xml:space="preserve">Gazette </w:t>
            </w:r>
            <w:r>
              <w:rPr>
                <w:sz w:val="19"/>
              </w:rPr>
              <w:t>27 June 2003 p. 2384)</w:t>
            </w:r>
          </w:p>
        </w:tc>
        <w:tc>
          <w:tcPr>
            <w:tcW w:w="1417" w:type="dxa"/>
          </w:tcPr>
          <w:p>
            <w:pPr>
              <w:pStyle w:val="nTable"/>
              <w:spacing w:before="120" w:after="60"/>
              <w:rPr>
                <w:sz w:val="19"/>
              </w:rPr>
            </w:pPr>
          </w:p>
        </w:tc>
      </w:tr>
      <w:tr>
        <w:trPr>
          <w:cantSplit/>
        </w:trPr>
        <w:tc>
          <w:tcPr>
            <w:tcW w:w="1701" w:type="dxa"/>
            <w:tcBorders>
              <w:bottom w:val="single" w:sz="4" w:space="0" w:color="auto"/>
            </w:tcBorders>
          </w:tcPr>
          <w:p>
            <w:pPr>
              <w:pStyle w:val="nTable"/>
              <w:spacing w:before="120"/>
              <w:ind w:right="113"/>
              <w:rPr>
                <w:i/>
                <w:sz w:val="19"/>
              </w:rPr>
            </w:pPr>
            <w:r>
              <w:rPr>
                <w:i/>
                <w:snapToGrid w:val="0"/>
                <w:sz w:val="19"/>
                <w:lang w:val="en-US"/>
              </w:rPr>
              <w:t>Courts Legislation Amendment and Repeal Act 2004</w:t>
            </w:r>
            <w:r>
              <w:rPr>
                <w:snapToGrid w:val="0"/>
                <w:sz w:val="19"/>
                <w:lang w:val="en-US"/>
              </w:rPr>
              <w:t xml:space="preserve"> s. 141</w:t>
            </w:r>
          </w:p>
        </w:tc>
        <w:tc>
          <w:tcPr>
            <w:tcW w:w="992" w:type="dxa"/>
            <w:tcBorders>
              <w:bottom w:val="single" w:sz="4" w:space="0" w:color="auto"/>
            </w:tcBorders>
          </w:tcPr>
          <w:p>
            <w:pPr>
              <w:pStyle w:val="nTable"/>
              <w:spacing w:before="120" w:after="60"/>
              <w:rPr>
                <w:sz w:val="19"/>
              </w:rPr>
            </w:pPr>
            <w:r>
              <w:rPr>
                <w:snapToGrid w:val="0"/>
                <w:sz w:val="19"/>
                <w:lang w:val="en-US"/>
              </w:rPr>
              <w:t>59 of 2004</w:t>
            </w:r>
          </w:p>
        </w:tc>
        <w:tc>
          <w:tcPr>
            <w:tcW w:w="1276" w:type="dxa"/>
            <w:tcBorders>
              <w:bottom w:val="single" w:sz="4" w:space="0" w:color="auto"/>
            </w:tcBorders>
          </w:tcPr>
          <w:p>
            <w:pPr>
              <w:pStyle w:val="nTable"/>
              <w:spacing w:before="120"/>
              <w:rPr>
                <w:sz w:val="19"/>
              </w:rPr>
            </w:pPr>
            <w:r>
              <w:rPr>
                <w:snapToGrid w:val="0"/>
                <w:sz w:val="19"/>
                <w:lang w:val="en-US"/>
              </w:rPr>
              <w:t>23 Nov 2004</w:t>
            </w:r>
          </w:p>
        </w:tc>
        <w:tc>
          <w:tcPr>
            <w:tcW w:w="1757" w:type="dxa"/>
            <w:tcBorders>
              <w:bottom w:val="single" w:sz="4" w:space="0" w:color="auto"/>
            </w:tcBorders>
          </w:tcPr>
          <w:p>
            <w:pPr>
              <w:pStyle w:val="nTable"/>
              <w:spacing w:before="1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c>
          <w:tcPr>
            <w:tcW w:w="1417" w:type="dxa"/>
            <w:tcBorders>
              <w:bottom w:val="single" w:sz="4" w:space="0" w:color="auto"/>
            </w:tcBorders>
          </w:tcPr>
          <w:p>
            <w:pPr>
              <w:pStyle w:val="nTable"/>
              <w:spacing w:before="120" w:after="60"/>
              <w:rPr>
                <w:sz w:val="19"/>
              </w:rPr>
            </w:pPr>
          </w:p>
        </w:tc>
      </w:tr>
    </w:tbl>
    <w:p>
      <w:pPr>
        <w:pStyle w:val="nSubsection"/>
        <w:rPr>
          <w:snapToGrid w:val="0"/>
        </w:rPr>
      </w:pPr>
      <w:r>
        <w:rPr>
          <w:snapToGrid w:val="0"/>
        </w:rPr>
        <w:t>N.B.</w:t>
      </w:r>
      <w:r>
        <w:rPr>
          <w:snapToGrid w:val="0"/>
        </w:rPr>
        <w:tab/>
        <w:t xml:space="preserve">This Act is affected by the </w:t>
      </w:r>
      <w:r>
        <w:rPr>
          <w:i/>
          <w:snapToGrid w:val="0"/>
        </w:rPr>
        <w:t>Unclaimed Money Act 1990</w:t>
      </w:r>
      <w:r>
        <w:rPr>
          <w:snapToGrid w:val="0"/>
        </w:rPr>
        <w:t xml:space="preserve"> (No. 31 of 1990).</w:t>
      </w:r>
    </w:p>
    <w:p>
      <w:pPr>
        <w:pStyle w:val="nSubsection"/>
        <w:rPr>
          <w:snapToGrid w:val="0"/>
        </w:rPr>
      </w:pPr>
      <w:r>
        <w:rPr>
          <w:snapToGrid w:val="0"/>
          <w:vertAlign w:val="superscript"/>
        </w:rPr>
        <w:t>2</w:t>
      </w:r>
      <w:r>
        <w:rPr>
          <w:snapToGrid w:val="0"/>
        </w:rPr>
        <w:tab/>
        <w:t xml:space="preserve">Repealed by the </w:t>
      </w:r>
      <w:r>
        <w:rPr>
          <w:i/>
          <w:snapToGrid w:val="0"/>
        </w:rPr>
        <w:t>Firearms Act 1973</w:t>
      </w:r>
      <w:r>
        <w:rPr>
          <w:snapToGrid w:val="0"/>
        </w:rPr>
        <w:t xml:space="preserve"> (No. 36 of 1973).</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rPr>
        <w:noProof/>
        <w:sz w:val="20"/>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56B0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94D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9A0A7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7884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9988A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AE1FE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743A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924D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91608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066FB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1822E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3E6D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08C3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8CEFBA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755"/>
    <w:docVar w:name="WAFER_20151210085755" w:val="RemoveTrackChanges"/>
    <w:docVar w:name="WAFER_20151210085755_GUID" w:val="3f36de90-38d8-4e8f-968c-7010decd49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7257</Words>
  <Characters>32661</Characters>
  <Application>Microsoft Office Word</Application>
  <DocSecurity>0</DocSecurity>
  <Lines>933</Lines>
  <Paragraphs>469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1970 - 01-b0-04</dc:title>
  <dc:subject/>
  <dc:creator/>
  <cp:keywords/>
  <dc:description/>
  <cp:lastModifiedBy>svcMRProcess</cp:lastModifiedBy>
  <cp:revision>4</cp:revision>
  <cp:lastPrinted>2000-02-08T07:17:00Z</cp:lastPrinted>
  <dcterms:created xsi:type="dcterms:W3CDTF">2015-12-11T04:11:00Z</dcterms:created>
  <dcterms:modified xsi:type="dcterms:W3CDTF">2015-12-11T04:11:00Z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226</vt:i4>
  </property>
  <property fmtid="{D5CDD505-2E9C-101B-9397-08002B2CF9AE}" pid="6" name="AsAtDate">
    <vt:lpwstr>01 May 2005</vt:lpwstr>
  </property>
  <property fmtid="{D5CDD505-2E9C-101B-9397-08002B2CF9AE}" pid="7" name="Suffix">
    <vt:lpwstr>01-b0-04</vt:lpwstr>
  </property>
</Properties>
</file>