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District Court of Western Australia Act 1969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District Court of Western Australia Act 1969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_Toc194986563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_Toc194986564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Construction and application of certain Acts</w:t>
      </w:r>
      <w:r>
        <w:tab/>
      </w:r>
      <w:r>
        <w:fldChar w:fldCharType="begin"/>
      </w:r>
      <w:r>
        <w:instrText xml:space="preserve"> PAGEREF _Toc194986565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Definitions</w:t>
      </w:r>
      <w:r>
        <w:tab/>
      </w:r>
      <w:r>
        <w:fldChar w:fldCharType="begin"/>
      </w:r>
      <w:r>
        <w:instrText xml:space="preserve"> PAGEREF _Toc194986566 \h </w:instrText>
      </w:r>
      <w:r>
        <w:fldChar w:fldCharType="separate"/>
      </w:r>
      <w:r>
        <w:t>3</w:t>
      </w:r>
      <w:r>
        <w:fldChar w:fldCharType="end"/>
      </w:r>
    </w:p>
    <w:p>
      <w:pPr>
        <w:pStyle w:val="TOC2"/>
        <w:tabs>
          <w:tab w:val="right" w:leader="dot" w:pos="7086"/>
        </w:tabs>
        <w:rPr>
          <w:b w:val="0"/>
          <w:sz w:val="24"/>
          <w:szCs w:val="24"/>
        </w:rPr>
      </w:pPr>
      <w:r>
        <w:rPr>
          <w:szCs w:val="30"/>
        </w:rPr>
        <w:t>Part II — The Court</w:t>
      </w:r>
    </w:p>
    <w:p>
      <w:pPr>
        <w:pStyle w:val="TOC4"/>
        <w:tabs>
          <w:tab w:val="right" w:leader="dot" w:pos="7086"/>
        </w:tabs>
        <w:rPr>
          <w:b w:val="0"/>
          <w:sz w:val="24"/>
          <w:szCs w:val="24"/>
        </w:rPr>
      </w:pPr>
      <w:r>
        <w:rPr>
          <w:szCs w:val="26"/>
        </w:rPr>
        <w:t>Division 1 — Establishment of The District Court of Western Australia</w:t>
      </w:r>
    </w:p>
    <w:p>
      <w:pPr>
        <w:pStyle w:val="TOC8"/>
        <w:rPr>
          <w:sz w:val="24"/>
          <w:szCs w:val="24"/>
        </w:rPr>
      </w:pPr>
      <w:r>
        <w:rPr>
          <w:szCs w:val="24"/>
        </w:rPr>
        <w:t xml:space="preserve">7. </w:t>
      </w:r>
      <w:r>
        <w:rPr>
          <w:szCs w:val="24"/>
        </w:rPr>
        <w:tab/>
        <w:t>Establishment of the Court</w:t>
      </w:r>
      <w:r>
        <w:tab/>
      </w:r>
      <w:r>
        <w:fldChar w:fldCharType="begin"/>
      </w:r>
      <w:r>
        <w:instrText xml:space="preserve"> PAGEREF _Toc194986569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Court to be a court of record, constitution</w:t>
      </w:r>
      <w:r>
        <w:tab/>
      </w:r>
      <w:r>
        <w:fldChar w:fldCharType="begin"/>
      </w:r>
      <w:r>
        <w:instrText xml:space="preserve"> PAGEREF _Toc194986570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Seal of the Court</w:t>
      </w:r>
      <w:r>
        <w:tab/>
      </w:r>
      <w:r>
        <w:fldChar w:fldCharType="begin"/>
      </w:r>
      <w:r>
        <w:instrText xml:space="preserve"> PAGEREF _Toc194986571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District Court judges</w:t>
      </w:r>
    </w:p>
    <w:p>
      <w:pPr>
        <w:pStyle w:val="TOC8"/>
        <w:rPr>
          <w:sz w:val="24"/>
          <w:szCs w:val="24"/>
        </w:rPr>
      </w:pPr>
      <w:r>
        <w:rPr>
          <w:szCs w:val="24"/>
        </w:rPr>
        <w:t>10</w:t>
      </w:r>
      <w:r>
        <w:rPr>
          <w:snapToGrid w:val="0"/>
          <w:szCs w:val="24"/>
        </w:rPr>
        <w:t>.</w:t>
      </w:r>
      <w:r>
        <w:rPr>
          <w:snapToGrid w:val="0"/>
          <w:szCs w:val="24"/>
        </w:rPr>
        <w:tab/>
        <w:t>Appointment, qualifications and seniority</w:t>
      </w:r>
      <w:r>
        <w:tab/>
      </w:r>
      <w:r>
        <w:fldChar w:fldCharType="begin"/>
      </w:r>
      <w:r>
        <w:instrText xml:space="preserve"> PAGEREF _Toc194986573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Tenure of office and oath of office</w:t>
      </w:r>
      <w:r>
        <w:tab/>
      </w:r>
      <w:r>
        <w:fldChar w:fldCharType="begin"/>
      </w:r>
      <w:r>
        <w:instrText xml:space="preserve"> PAGEREF _Toc194986574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Salaries and allowances</w:t>
      </w:r>
      <w:r>
        <w:tab/>
      </w:r>
      <w:r>
        <w:fldChar w:fldCharType="begin"/>
      </w:r>
      <w:r>
        <w:instrText xml:space="preserve"> PAGEREF _Toc194986575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Leave of absence</w:t>
      </w:r>
      <w:r>
        <w:tab/>
      </w:r>
      <w:r>
        <w:fldChar w:fldCharType="begin"/>
      </w:r>
      <w:r>
        <w:instrText xml:space="preserve"> PAGEREF _Toc194986576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 xml:space="preserve">Application of </w:t>
      </w:r>
      <w:r>
        <w:rPr>
          <w:i/>
          <w:snapToGrid w:val="0"/>
          <w:szCs w:val="24"/>
        </w:rPr>
        <w:t>Judges’ Salaries and Pensions Act 1950</w:t>
      </w:r>
      <w:r>
        <w:tab/>
      </w:r>
      <w:r>
        <w:fldChar w:fldCharType="begin"/>
      </w:r>
      <w:r>
        <w:instrText xml:space="preserve"> PAGEREF _Toc194986577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 xml:space="preserve">Application of </w:t>
      </w:r>
      <w:r>
        <w:rPr>
          <w:i/>
          <w:snapToGrid w:val="0"/>
          <w:szCs w:val="24"/>
        </w:rPr>
        <w:t>Superannuation and Family Benefits Act 1938</w:t>
      </w:r>
      <w:r>
        <w:tab/>
      </w:r>
      <w:r>
        <w:fldChar w:fldCharType="begin"/>
      </w:r>
      <w:r>
        <w:instrText xml:space="preserve"> PAGEREF _Toc194986578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 xml:space="preserve">Application of </w:t>
      </w:r>
      <w:r>
        <w:rPr>
          <w:i/>
          <w:snapToGrid w:val="0"/>
          <w:szCs w:val="24"/>
        </w:rPr>
        <w:t>Judges’ Retirement Act 1937</w:t>
      </w:r>
      <w:r>
        <w:tab/>
      </w:r>
      <w:r>
        <w:fldChar w:fldCharType="begin"/>
      </w:r>
      <w:r>
        <w:instrText xml:space="preserve"> PAGEREF _Toc194986579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Judge not to practise as legal practitioner</w:t>
      </w:r>
      <w:r>
        <w:tab/>
      </w:r>
      <w:r>
        <w:fldChar w:fldCharType="begin"/>
      </w:r>
      <w:r>
        <w:instrText xml:space="preserve"> PAGEREF _Toc194986580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Acting appointments</w:t>
      </w:r>
      <w:r>
        <w:tab/>
      </w:r>
      <w:r>
        <w:fldChar w:fldCharType="begin"/>
      </w:r>
      <w:r>
        <w:instrText xml:space="preserve"> PAGEREF _Toc194986581 \h </w:instrText>
      </w:r>
      <w:r>
        <w:fldChar w:fldCharType="separate"/>
      </w:r>
      <w:r>
        <w:t>11</w:t>
      </w:r>
      <w:r>
        <w:fldChar w:fldCharType="end"/>
      </w:r>
    </w:p>
    <w:p>
      <w:pPr>
        <w:pStyle w:val="TOC8"/>
        <w:rPr>
          <w:sz w:val="24"/>
          <w:szCs w:val="24"/>
        </w:rPr>
      </w:pPr>
      <w:r>
        <w:rPr>
          <w:szCs w:val="24"/>
        </w:rPr>
        <w:t>18A</w:t>
      </w:r>
      <w:r>
        <w:rPr>
          <w:snapToGrid w:val="0"/>
          <w:szCs w:val="24"/>
        </w:rPr>
        <w:t xml:space="preserve">. </w:t>
      </w:r>
      <w:r>
        <w:rPr>
          <w:snapToGrid w:val="0"/>
          <w:szCs w:val="24"/>
        </w:rPr>
        <w:tab/>
        <w:t>Auxiliary appointments</w:t>
      </w:r>
      <w:r>
        <w:tab/>
      </w:r>
      <w:r>
        <w:fldChar w:fldCharType="begin"/>
      </w:r>
      <w:r>
        <w:instrText xml:space="preserve"> PAGEREF _Toc194986582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Sittings of the Court</w:t>
      </w:r>
    </w:p>
    <w:p>
      <w:pPr>
        <w:pStyle w:val="TOC8"/>
        <w:rPr>
          <w:sz w:val="24"/>
          <w:szCs w:val="24"/>
        </w:rPr>
      </w:pPr>
      <w:r>
        <w:rPr>
          <w:szCs w:val="24"/>
        </w:rPr>
        <w:t>19</w:t>
      </w:r>
      <w:r>
        <w:rPr>
          <w:snapToGrid w:val="0"/>
          <w:szCs w:val="24"/>
        </w:rPr>
        <w:t>.</w:t>
      </w:r>
      <w:r>
        <w:rPr>
          <w:snapToGrid w:val="0"/>
          <w:szCs w:val="24"/>
        </w:rPr>
        <w:tab/>
        <w:t>Places and times</w:t>
      </w:r>
      <w:r>
        <w:tab/>
      </w:r>
      <w:r>
        <w:fldChar w:fldCharType="begin"/>
      </w:r>
      <w:r>
        <w:instrText xml:space="preserve"> PAGEREF _Toc194986584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Chief Judge may direct where judges to sit and may direct 2 or more judges to sit concurrently</w:t>
      </w:r>
      <w:r>
        <w:tab/>
      </w:r>
      <w:r>
        <w:fldChar w:fldCharType="begin"/>
      </w:r>
      <w:r>
        <w:instrText xml:space="preserve"> PAGEREF _Toc194986585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Sitting in chambers</w:t>
      </w:r>
      <w:r>
        <w:tab/>
      </w:r>
      <w:r>
        <w:fldChar w:fldCharType="begin"/>
      </w:r>
      <w:r>
        <w:instrText xml:space="preserve"> PAGEREF _Toc194986586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Records to be moved on discontinuance of a place where Court is held</w:t>
      </w:r>
      <w:r>
        <w:tab/>
      </w:r>
      <w:r>
        <w:fldChar w:fldCharType="begin"/>
      </w:r>
      <w:r>
        <w:instrText xml:space="preserve"> PAGEREF _Toc194986587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Members of the Police Force to attend the Court</w:t>
      </w:r>
      <w:r>
        <w:tab/>
      </w:r>
      <w:r>
        <w:fldChar w:fldCharType="begin"/>
      </w:r>
      <w:r>
        <w:instrText xml:space="preserve"> PAGEREF _Toc194986588 \h </w:instrText>
      </w:r>
      <w:r>
        <w:fldChar w:fldCharType="separate"/>
      </w:r>
      <w:r>
        <w:t>16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Commissioners</w:t>
      </w:r>
    </w:p>
    <w:p>
      <w:pPr>
        <w:pStyle w:val="TOC8"/>
        <w:rPr>
          <w:sz w:val="24"/>
          <w:szCs w:val="24"/>
        </w:rPr>
      </w:pPr>
      <w:r>
        <w:rPr>
          <w:szCs w:val="24"/>
        </w:rPr>
        <w:t>24</w:t>
      </w:r>
      <w:r>
        <w:rPr>
          <w:snapToGrid w:val="0"/>
          <w:szCs w:val="24"/>
        </w:rPr>
        <w:t>.</w:t>
      </w:r>
      <w:r>
        <w:rPr>
          <w:snapToGrid w:val="0"/>
          <w:szCs w:val="24"/>
        </w:rPr>
        <w:tab/>
        <w:t>Appointment and jurisdiction of commissioners</w:t>
      </w:r>
      <w:r>
        <w:tab/>
      </w:r>
      <w:r>
        <w:fldChar w:fldCharType="begin"/>
      </w:r>
      <w:r>
        <w:instrText xml:space="preserve"> PAGEREF _Toc194986590 \h </w:instrText>
      </w:r>
      <w:r>
        <w:fldChar w:fldCharType="separate"/>
      </w:r>
      <w:r>
        <w:t>16</w:t>
      </w:r>
      <w:r>
        <w:fldChar w:fldCharType="end"/>
      </w:r>
    </w:p>
    <w:p>
      <w:pPr>
        <w:pStyle w:val="TOC4"/>
        <w:tabs>
          <w:tab w:val="right" w:leader="dot" w:pos="7086"/>
        </w:tabs>
        <w:rPr>
          <w:b w:val="0"/>
          <w:sz w:val="24"/>
          <w:szCs w:val="24"/>
        </w:rPr>
      </w:pPr>
      <w:r>
        <w:rPr>
          <w:szCs w:val="26"/>
        </w:rPr>
        <w:t>Division 5</w:t>
      </w:r>
      <w:r>
        <w:rPr>
          <w:b w:val="0"/>
          <w:szCs w:val="26"/>
        </w:rPr>
        <w:t> </w:t>
      </w:r>
      <w:r>
        <w:rPr>
          <w:szCs w:val="26"/>
        </w:rPr>
        <w:t>—</w:t>
      </w:r>
      <w:r>
        <w:rPr>
          <w:b w:val="0"/>
          <w:szCs w:val="26"/>
        </w:rPr>
        <w:t xml:space="preserve"> </w:t>
      </w:r>
      <w:r>
        <w:rPr>
          <w:szCs w:val="26"/>
        </w:rPr>
        <w:t>Registrars</w:t>
      </w:r>
    </w:p>
    <w:p>
      <w:pPr>
        <w:pStyle w:val="TOC8"/>
        <w:rPr>
          <w:sz w:val="24"/>
          <w:szCs w:val="24"/>
        </w:rPr>
      </w:pPr>
      <w:r>
        <w:rPr>
          <w:szCs w:val="24"/>
        </w:rPr>
        <w:t>25</w:t>
      </w:r>
      <w:r>
        <w:rPr>
          <w:snapToGrid w:val="0"/>
          <w:szCs w:val="24"/>
        </w:rPr>
        <w:t>.</w:t>
      </w:r>
      <w:r>
        <w:rPr>
          <w:snapToGrid w:val="0"/>
          <w:szCs w:val="24"/>
        </w:rPr>
        <w:tab/>
        <w:t>Appointment of registrars and other officers</w:t>
      </w:r>
      <w:r>
        <w:tab/>
      </w:r>
      <w:r>
        <w:fldChar w:fldCharType="begin"/>
      </w:r>
      <w:r>
        <w:instrText xml:space="preserve"> PAGEREF _Toc194986592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Registrar’s functions and evidentiary provision</w:t>
      </w:r>
      <w:r>
        <w:tab/>
      </w:r>
      <w:r>
        <w:fldChar w:fldCharType="begin"/>
      </w:r>
      <w:r>
        <w:instrText xml:space="preserve"> PAGEREF _Toc194986593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Registrar may administer oaths, etc.</w:t>
      </w:r>
      <w:r>
        <w:tab/>
      </w:r>
      <w:r>
        <w:fldChar w:fldCharType="begin"/>
      </w:r>
      <w:r>
        <w:instrText xml:space="preserve"> PAGEREF _Toc194986594 \h </w:instrText>
      </w:r>
      <w:r>
        <w:fldChar w:fldCharType="separate"/>
      </w:r>
      <w:r>
        <w:t>18</w:t>
      </w:r>
      <w:r>
        <w:fldChar w:fldCharType="end"/>
      </w:r>
    </w:p>
    <w:p>
      <w:pPr>
        <w:pStyle w:val="TOC8"/>
        <w:rPr>
          <w:sz w:val="24"/>
          <w:szCs w:val="24"/>
        </w:rPr>
      </w:pPr>
      <w:r>
        <w:rPr>
          <w:szCs w:val="24"/>
        </w:rPr>
        <w:t>27A.</w:t>
      </w:r>
      <w:r>
        <w:rPr>
          <w:szCs w:val="24"/>
        </w:rPr>
        <w:tab/>
        <w:t>Employment of personal staff for judges</w:t>
      </w:r>
      <w:r>
        <w:tab/>
      </w:r>
      <w:r>
        <w:fldChar w:fldCharType="begin"/>
      </w:r>
      <w:r>
        <w:instrText xml:space="preserve"> PAGEREF _Toc194986595 \h </w:instrText>
      </w:r>
      <w:r>
        <w:fldChar w:fldCharType="separate"/>
      </w:r>
      <w:r>
        <w:t>18</w:t>
      </w:r>
      <w:r>
        <w:fldChar w:fldCharType="end"/>
      </w:r>
    </w:p>
    <w:p>
      <w:pPr>
        <w:pStyle w:val="TOC8"/>
        <w:rPr>
          <w:sz w:val="24"/>
          <w:szCs w:val="24"/>
        </w:rPr>
      </w:pPr>
      <w:r>
        <w:rPr>
          <w:szCs w:val="24"/>
        </w:rPr>
        <w:t>36</w:t>
      </w:r>
      <w:r>
        <w:rPr>
          <w:snapToGrid w:val="0"/>
          <w:szCs w:val="24"/>
        </w:rPr>
        <w:t>.</w:t>
      </w:r>
      <w:r>
        <w:rPr>
          <w:snapToGrid w:val="0"/>
          <w:szCs w:val="24"/>
        </w:rPr>
        <w:tab/>
        <w:t>Indemnity to persons acting under this Act</w:t>
      </w:r>
      <w:r>
        <w:tab/>
      </w:r>
      <w:r>
        <w:fldChar w:fldCharType="begin"/>
      </w:r>
      <w:r>
        <w:instrText xml:space="preserve"> PAGEREF _Toc194986596 \h </w:instrText>
      </w:r>
      <w:r>
        <w:fldChar w:fldCharType="separate"/>
      </w:r>
      <w:r>
        <w:t>18</w:t>
      </w:r>
      <w:r>
        <w:fldChar w:fldCharType="end"/>
      </w:r>
    </w:p>
    <w:p>
      <w:pPr>
        <w:pStyle w:val="TOC8"/>
        <w:rPr>
          <w:sz w:val="24"/>
          <w:szCs w:val="24"/>
        </w:rPr>
      </w:pPr>
      <w:r>
        <w:rPr>
          <w:szCs w:val="24"/>
        </w:rPr>
        <w:t>37</w:t>
      </w:r>
      <w:r>
        <w:rPr>
          <w:snapToGrid w:val="0"/>
          <w:szCs w:val="24"/>
        </w:rPr>
        <w:t>.</w:t>
      </w:r>
      <w:r>
        <w:rPr>
          <w:snapToGrid w:val="0"/>
          <w:szCs w:val="24"/>
        </w:rPr>
        <w:tab/>
        <w:t>Limitation period for actions that contravene this Act</w:t>
      </w:r>
      <w:r>
        <w:tab/>
      </w:r>
      <w:r>
        <w:fldChar w:fldCharType="begin"/>
      </w:r>
      <w:r>
        <w:instrText xml:space="preserve"> PAGEREF _Toc194986597 \h </w:instrText>
      </w:r>
      <w:r>
        <w:fldChar w:fldCharType="separate"/>
      </w:r>
      <w:r>
        <w:t>19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Representation in the Court</w:t>
      </w:r>
    </w:p>
    <w:p>
      <w:pPr>
        <w:pStyle w:val="TOC8"/>
        <w:rPr>
          <w:sz w:val="24"/>
          <w:szCs w:val="24"/>
        </w:rPr>
      </w:pPr>
      <w:r>
        <w:rPr>
          <w:szCs w:val="24"/>
        </w:rPr>
        <w:t>39</w:t>
      </w:r>
      <w:r>
        <w:rPr>
          <w:snapToGrid w:val="0"/>
          <w:szCs w:val="24"/>
        </w:rPr>
        <w:t>.</w:t>
      </w:r>
      <w:r>
        <w:rPr>
          <w:snapToGrid w:val="0"/>
          <w:szCs w:val="24"/>
        </w:rPr>
        <w:tab/>
        <w:t>Who may appear</w:t>
      </w:r>
      <w:r>
        <w:tab/>
      </w:r>
      <w:r>
        <w:fldChar w:fldCharType="begin"/>
      </w:r>
      <w:r>
        <w:instrText xml:space="preserve"> PAGEREF _Toc194986599 \h </w:instrText>
      </w:r>
      <w:r>
        <w:fldChar w:fldCharType="separate"/>
      </w:r>
      <w:r>
        <w:t>19</w:t>
      </w:r>
      <w:r>
        <w:fldChar w:fldCharType="end"/>
      </w:r>
    </w:p>
    <w:p>
      <w:pPr>
        <w:pStyle w:val="TOC8"/>
        <w:rPr>
          <w:sz w:val="24"/>
          <w:szCs w:val="24"/>
        </w:rPr>
      </w:pPr>
      <w:r>
        <w:rPr>
          <w:szCs w:val="24"/>
        </w:rPr>
        <w:t>40</w:t>
      </w:r>
      <w:r>
        <w:rPr>
          <w:snapToGrid w:val="0"/>
          <w:szCs w:val="24"/>
        </w:rPr>
        <w:t>.</w:t>
      </w:r>
      <w:r>
        <w:rPr>
          <w:snapToGrid w:val="0"/>
          <w:szCs w:val="24"/>
        </w:rPr>
        <w:tab/>
        <w:t>Legal practitioners to have no privilege</w:t>
      </w:r>
      <w:r>
        <w:tab/>
      </w:r>
      <w:r>
        <w:fldChar w:fldCharType="begin"/>
      </w:r>
      <w:r>
        <w:instrText xml:space="preserve"> PAGEREF _Toc194986600 \h </w:instrText>
      </w:r>
      <w:r>
        <w:fldChar w:fldCharType="separate"/>
      </w:r>
      <w:r>
        <w:t>19</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Jurors</w:t>
      </w:r>
    </w:p>
    <w:p>
      <w:pPr>
        <w:pStyle w:val="TOC8"/>
        <w:rPr>
          <w:sz w:val="24"/>
          <w:szCs w:val="24"/>
        </w:rPr>
      </w:pPr>
      <w:r>
        <w:rPr>
          <w:szCs w:val="24"/>
        </w:rPr>
        <w:t>41</w:t>
      </w:r>
      <w:r>
        <w:rPr>
          <w:snapToGrid w:val="0"/>
          <w:szCs w:val="24"/>
        </w:rPr>
        <w:t>.</w:t>
      </w:r>
      <w:r>
        <w:rPr>
          <w:snapToGrid w:val="0"/>
          <w:szCs w:val="24"/>
        </w:rPr>
        <w:tab/>
        <w:t xml:space="preserve">Application of </w:t>
      </w:r>
      <w:r>
        <w:rPr>
          <w:i/>
          <w:snapToGrid w:val="0"/>
          <w:szCs w:val="24"/>
        </w:rPr>
        <w:t>Juries Act 1957</w:t>
      </w:r>
      <w:r>
        <w:tab/>
      </w:r>
      <w:r>
        <w:fldChar w:fldCharType="begin"/>
      </w:r>
      <w:r>
        <w:instrText xml:space="preserve"> PAGEREF _Toc194986602 \h </w:instrText>
      </w:r>
      <w:r>
        <w:fldChar w:fldCharType="separate"/>
      </w:r>
      <w:r>
        <w:t>20</w:t>
      </w:r>
      <w:r>
        <w:fldChar w:fldCharType="end"/>
      </w:r>
    </w:p>
    <w:p>
      <w:pPr>
        <w:pStyle w:val="TOC2"/>
        <w:tabs>
          <w:tab w:val="right" w:leader="dot" w:pos="7086"/>
        </w:tabs>
        <w:rPr>
          <w:b w:val="0"/>
          <w:sz w:val="24"/>
          <w:szCs w:val="24"/>
        </w:rPr>
      </w:pPr>
      <w:r>
        <w:rPr>
          <w:szCs w:val="30"/>
        </w:rPr>
        <w:t>Part III — Jurisdiction of the Court</w:t>
      </w:r>
    </w:p>
    <w:p>
      <w:pPr>
        <w:pStyle w:val="TOC4"/>
        <w:tabs>
          <w:tab w:val="right" w:leader="dot" w:pos="7086"/>
        </w:tabs>
        <w:rPr>
          <w:b w:val="0"/>
          <w:sz w:val="24"/>
          <w:szCs w:val="24"/>
        </w:rPr>
      </w:pPr>
      <w:r>
        <w:rPr>
          <w:szCs w:val="26"/>
        </w:rPr>
        <w:t>Division 1</w:t>
      </w:r>
      <w:r>
        <w:rPr>
          <w:snapToGrid w:val="0"/>
          <w:szCs w:val="26"/>
        </w:rPr>
        <w:t> — </w:t>
      </w:r>
      <w:r>
        <w:rPr>
          <w:szCs w:val="26"/>
        </w:rPr>
        <w:t>Criminal jurisdiction and procedure</w:t>
      </w:r>
    </w:p>
    <w:p>
      <w:pPr>
        <w:pStyle w:val="TOC8"/>
        <w:rPr>
          <w:sz w:val="24"/>
          <w:szCs w:val="24"/>
        </w:rPr>
      </w:pPr>
      <w:r>
        <w:rPr>
          <w:szCs w:val="24"/>
        </w:rPr>
        <w:t>42</w:t>
      </w:r>
      <w:r>
        <w:rPr>
          <w:snapToGrid w:val="0"/>
          <w:szCs w:val="24"/>
        </w:rPr>
        <w:t>.</w:t>
      </w:r>
      <w:r>
        <w:rPr>
          <w:snapToGrid w:val="0"/>
          <w:szCs w:val="24"/>
        </w:rPr>
        <w:tab/>
        <w:t>Criminal jurisdiction</w:t>
      </w:r>
      <w:r>
        <w:tab/>
      </w:r>
      <w:r>
        <w:fldChar w:fldCharType="begin"/>
      </w:r>
      <w:r>
        <w:instrText xml:space="preserve"> PAGEREF _Toc194986605 \h </w:instrText>
      </w:r>
      <w:r>
        <w:fldChar w:fldCharType="separate"/>
      </w:r>
      <w:r>
        <w:t>22</w:t>
      </w:r>
      <w:r>
        <w:fldChar w:fldCharType="end"/>
      </w:r>
    </w:p>
    <w:p>
      <w:pPr>
        <w:pStyle w:val="TOC8"/>
        <w:rPr>
          <w:sz w:val="24"/>
          <w:szCs w:val="24"/>
        </w:rPr>
      </w:pPr>
      <w:r>
        <w:rPr>
          <w:szCs w:val="24"/>
        </w:rPr>
        <w:t>43.</w:t>
      </w:r>
      <w:r>
        <w:rPr>
          <w:szCs w:val="24"/>
        </w:rPr>
        <w:tab/>
        <w:t>Exercise of criminal jurisdiction</w:t>
      </w:r>
      <w:r>
        <w:tab/>
      </w:r>
      <w:r>
        <w:fldChar w:fldCharType="begin"/>
      </w:r>
      <w:r>
        <w:instrText xml:space="preserve"> PAGEREF _Toc194986606 \h </w:instrText>
      </w:r>
      <w:r>
        <w:fldChar w:fldCharType="separate"/>
      </w:r>
      <w:r>
        <w:t>22</w:t>
      </w:r>
      <w:r>
        <w:fldChar w:fldCharType="end"/>
      </w:r>
    </w:p>
    <w:p>
      <w:pPr>
        <w:pStyle w:val="TOC8"/>
        <w:rPr>
          <w:sz w:val="24"/>
          <w:szCs w:val="24"/>
        </w:rPr>
      </w:pPr>
      <w:r>
        <w:rPr>
          <w:szCs w:val="24"/>
        </w:rPr>
        <w:t>44</w:t>
      </w:r>
      <w:r>
        <w:rPr>
          <w:snapToGrid w:val="0"/>
          <w:szCs w:val="24"/>
        </w:rPr>
        <w:t>.</w:t>
      </w:r>
      <w:r>
        <w:rPr>
          <w:snapToGrid w:val="0"/>
          <w:szCs w:val="24"/>
        </w:rPr>
        <w:tab/>
        <w:t>Practice and procedure to be same as Supreme Court</w:t>
      </w:r>
      <w:r>
        <w:tab/>
      </w:r>
      <w:r>
        <w:fldChar w:fldCharType="begin"/>
      </w:r>
      <w:r>
        <w:instrText xml:space="preserve"> PAGEREF _Toc194986607 \h </w:instrText>
      </w:r>
      <w:r>
        <w:fldChar w:fldCharType="separate"/>
      </w:r>
      <w:r>
        <w:t>22</w:t>
      </w:r>
      <w:r>
        <w:fldChar w:fldCharType="end"/>
      </w:r>
    </w:p>
    <w:p>
      <w:pPr>
        <w:pStyle w:val="TOC8"/>
        <w:rPr>
          <w:sz w:val="24"/>
          <w:szCs w:val="24"/>
        </w:rPr>
      </w:pPr>
      <w:r>
        <w:rPr>
          <w:szCs w:val="24"/>
        </w:rPr>
        <w:t>45</w:t>
      </w:r>
      <w:r>
        <w:rPr>
          <w:snapToGrid w:val="0"/>
          <w:szCs w:val="24"/>
        </w:rPr>
        <w:t>.</w:t>
      </w:r>
      <w:r>
        <w:rPr>
          <w:snapToGrid w:val="0"/>
          <w:szCs w:val="24"/>
        </w:rPr>
        <w:tab/>
        <w:t>Change of trial from or to Supreme Court</w:t>
      </w:r>
      <w:r>
        <w:tab/>
      </w:r>
      <w:r>
        <w:fldChar w:fldCharType="begin"/>
      </w:r>
      <w:r>
        <w:instrText xml:space="preserve"> PAGEREF _Toc194986608 \h </w:instrText>
      </w:r>
      <w:r>
        <w:fldChar w:fldCharType="separate"/>
      </w:r>
      <w:r>
        <w:t>23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Civil jurisdiction</w:t>
      </w:r>
    </w:p>
    <w:p>
      <w:pPr>
        <w:pStyle w:val="TOC8"/>
        <w:rPr>
          <w:sz w:val="24"/>
          <w:szCs w:val="24"/>
        </w:rPr>
      </w:pPr>
      <w:r>
        <w:rPr>
          <w:szCs w:val="24"/>
        </w:rPr>
        <w:t>50</w:t>
      </w:r>
      <w:r>
        <w:rPr>
          <w:snapToGrid w:val="0"/>
          <w:szCs w:val="24"/>
        </w:rPr>
        <w:t>.</w:t>
      </w:r>
      <w:r>
        <w:rPr>
          <w:snapToGrid w:val="0"/>
          <w:szCs w:val="24"/>
        </w:rPr>
        <w:tab/>
        <w:t>Civil jurisdiction</w:t>
      </w:r>
      <w:r>
        <w:tab/>
      </w:r>
      <w:r>
        <w:fldChar w:fldCharType="begin"/>
      </w:r>
      <w:r>
        <w:instrText xml:space="preserve"> PAGEREF _Toc194986610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 xml:space="preserve">Verdict or judgment for amount over </w:t>
      </w:r>
      <w:r>
        <w:rPr>
          <w:szCs w:val="24"/>
        </w:rPr>
        <w:t>the jurisdictional limit</w:t>
      </w:r>
      <w:r>
        <w:tab/>
      </w:r>
      <w:r>
        <w:fldChar w:fldCharType="begin"/>
      </w:r>
      <w:r>
        <w:instrText xml:space="preserve"> PAGEREF _Toc194986611 \h </w:instrText>
      </w:r>
      <w:r>
        <w:fldChar w:fldCharType="separate"/>
      </w:r>
      <w:r>
        <w:t>25</w:t>
      </w:r>
      <w:r>
        <w:fldChar w:fldCharType="end"/>
      </w:r>
    </w:p>
    <w:p>
      <w:pPr>
        <w:pStyle w:val="TOC8"/>
        <w:rPr>
          <w:sz w:val="24"/>
          <w:szCs w:val="24"/>
        </w:rPr>
      </w:pPr>
      <w:r>
        <w:rPr>
          <w:szCs w:val="24"/>
        </w:rPr>
        <w:t>52</w:t>
      </w:r>
      <w:r>
        <w:rPr>
          <w:snapToGrid w:val="0"/>
          <w:szCs w:val="24"/>
        </w:rPr>
        <w:t>.</w:t>
      </w:r>
      <w:r>
        <w:rPr>
          <w:snapToGrid w:val="0"/>
          <w:szCs w:val="24"/>
        </w:rPr>
        <w:tab/>
        <w:t>Practice and procedure to be same as Supreme Court</w:t>
      </w:r>
      <w:r>
        <w:tab/>
      </w:r>
      <w:r>
        <w:fldChar w:fldCharType="begin"/>
      </w:r>
      <w:r>
        <w:instrText xml:space="preserve"> PAGEREF _Toc194986612 \h </w:instrText>
      </w:r>
      <w:r>
        <w:fldChar w:fldCharType="separate"/>
      </w:r>
      <w:r>
        <w:t>26</w:t>
      </w:r>
      <w:r>
        <w:fldChar w:fldCharType="end"/>
      </w:r>
    </w:p>
    <w:p>
      <w:pPr>
        <w:pStyle w:val="TOC8"/>
        <w:rPr>
          <w:sz w:val="24"/>
          <w:szCs w:val="24"/>
        </w:rPr>
      </w:pPr>
      <w:r>
        <w:rPr>
          <w:szCs w:val="24"/>
        </w:rPr>
        <w:t>53</w:t>
      </w:r>
      <w:r>
        <w:rPr>
          <w:snapToGrid w:val="0"/>
          <w:szCs w:val="24"/>
        </w:rPr>
        <w:t>.</w:t>
      </w:r>
      <w:r>
        <w:rPr>
          <w:snapToGrid w:val="0"/>
          <w:szCs w:val="24"/>
        </w:rPr>
        <w:tab/>
        <w:t>Powers and authorities of judges, registrars, etc.</w:t>
      </w:r>
      <w:r>
        <w:tab/>
      </w:r>
      <w:r>
        <w:fldChar w:fldCharType="begin"/>
      </w:r>
      <w:r>
        <w:instrText xml:space="preserve"> PAGEREF _Toc194986613 \h </w:instrText>
      </w:r>
      <w:r>
        <w:fldChar w:fldCharType="separate"/>
      </w:r>
      <w:r>
        <w:t>26</w:t>
      </w:r>
      <w:r>
        <w:fldChar w:fldCharType="end"/>
      </w:r>
    </w:p>
    <w:p>
      <w:pPr>
        <w:pStyle w:val="TOC8"/>
        <w:rPr>
          <w:sz w:val="24"/>
          <w:szCs w:val="24"/>
        </w:rPr>
      </w:pPr>
      <w:r>
        <w:rPr>
          <w:szCs w:val="24"/>
        </w:rPr>
        <w:t>54</w:t>
      </w:r>
      <w:r>
        <w:rPr>
          <w:snapToGrid w:val="0"/>
          <w:szCs w:val="24"/>
        </w:rPr>
        <w:t>.</w:t>
      </w:r>
      <w:r>
        <w:rPr>
          <w:snapToGrid w:val="0"/>
          <w:szCs w:val="24"/>
        </w:rPr>
        <w:tab/>
        <w:t>Absconding debtors, jurisdiction over</w:t>
      </w:r>
      <w:r>
        <w:tab/>
      </w:r>
      <w:r>
        <w:fldChar w:fldCharType="begin"/>
      </w:r>
      <w:r>
        <w:instrText xml:space="preserve"> PAGEREF _Toc194986614 \h </w:instrText>
      </w:r>
      <w:r>
        <w:fldChar w:fldCharType="separate"/>
      </w:r>
      <w:r>
        <w:t>27</w:t>
      </w:r>
      <w:r>
        <w:fldChar w:fldCharType="end"/>
      </w:r>
    </w:p>
    <w:p>
      <w:pPr>
        <w:pStyle w:val="TOC8"/>
        <w:rPr>
          <w:sz w:val="24"/>
          <w:szCs w:val="24"/>
        </w:rPr>
      </w:pPr>
      <w:r>
        <w:rPr>
          <w:szCs w:val="24"/>
        </w:rPr>
        <w:t>55</w:t>
      </w:r>
      <w:r>
        <w:rPr>
          <w:snapToGrid w:val="0"/>
          <w:szCs w:val="24"/>
        </w:rPr>
        <w:t>.</w:t>
      </w:r>
      <w:r>
        <w:rPr>
          <w:snapToGrid w:val="0"/>
          <w:szCs w:val="24"/>
        </w:rPr>
        <w:tab/>
        <w:t>Court has powers of Supreme Court</w:t>
      </w:r>
      <w:r>
        <w:tab/>
      </w:r>
      <w:r>
        <w:fldChar w:fldCharType="begin"/>
      </w:r>
      <w:r>
        <w:instrText xml:space="preserve"> PAGEREF _Toc194986615 \h </w:instrText>
      </w:r>
      <w:r>
        <w:fldChar w:fldCharType="separate"/>
      </w:r>
      <w:r>
        <w:t>27</w:t>
      </w:r>
      <w:r>
        <w:fldChar w:fldCharType="end"/>
      </w:r>
    </w:p>
    <w:p>
      <w:pPr>
        <w:pStyle w:val="TOC8"/>
        <w:rPr>
          <w:sz w:val="24"/>
          <w:szCs w:val="24"/>
        </w:rPr>
      </w:pPr>
      <w:r>
        <w:rPr>
          <w:szCs w:val="24"/>
        </w:rPr>
        <w:t>57</w:t>
      </w:r>
      <w:r>
        <w:rPr>
          <w:snapToGrid w:val="0"/>
          <w:szCs w:val="24"/>
        </w:rPr>
        <w:t>.</w:t>
      </w:r>
      <w:r>
        <w:rPr>
          <w:snapToGrid w:val="0"/>
          <w:szCs w:val="24"/>
        </w:rPr>
        <w:tab/>
        <w:t>Rules of law and equity applicable to the Court</w:t>
      </w:r>
      <w:r>
        <w:tab/>
      </w:r>
      <w:r>
        <w:fldChar w:fldCharType="begin"/>
      </w:r>
      <w:r>
        <w:instrText xml:space="preserve"> PAGEREF _Toc194986616 \h </w:instrText>
      </w:r>
      <w:r>
        <w:fldChar w:fldCharType="separate"/>
      </w:r>
      <w:r>
        <w:t>27</w:t>
      </w:r>
      <w:r>
        <w:fldChar w:fldCharType="end"/>
      </w:r>
    </w:p>
    <w:p>
      <w:pPr>
        <w:pStyle w:val="TOC8"/>
        <w:rPr>
          <w:sz w:val="24"/>
          <w:szCs w:val="24"/>
        </w:rPr>
      </w:pPr>
      <w:r>
        <w:rPr>
          <w:szCs w:val="24"/>
        </w:rPr>
        <w:t>58</w:t>
      </w:r>
      <w:r>
        <w:rPr>
          <w:snapToGrid w:val="0"/>
          <w:szCs w:val="24"/>
        </w:rPr>
        <w:t>.</w:t>
      </w:r>
      <w:r>
        <w:rPr>
          <w:snapToGrid w:val="0"/>
          <w:szCs w:val="24"/>
        </w:rPr>
        <w:tab/>
        <w:t>Defences or counterclaims in the Court and transfers from the Court</w:t>
      </w:r>
      <w:r>
        <w:tab/>
      </w:r>
      <w:r>
        <w:fldChar w:fldCharType="begin"/>
      </w:r>
      <w:r>
        <w:instrText xml:space="preserve"> PAGEREF _Toc194986617 \h </w:instrText>
      </w:r>
      <w:r>
        <w:fldChar w:fldCharType="separate"/>
      </w:r>
      <w:r>
        <w:t>28</w:t>
      </w:r>
      <w:r>
        <w:fldChar w:fldCharType="end"/>
      </w:r>
    </w:p>
    <w:p>
      <w:pPr>
        <w:pStyle w:val="TOC8"/>
        <w:rPr>
          <w:sz w:val="24"/>
          <w:szCs w:val="24"/>
        </w:rPr>
      </w:pPr>
      <w:r>
        <w:rPr>
          <w:szCs w:val="24"/>
        </w:rPr>
        <w:t>59</w:t>
      </w:r>
      <w:r>
        <w:rPr>
          <w:snapToGrid w:val="0"/>
          <w:szCs w:val="24"/>
        </w:rPr>
        <w:t>.</w:t>
      </w:r>
      <w:r>
        <w:rPr>
          <w:snapToGrid w:val="0"/>
          <w:szCs w:val="24"/>
        </w:rPr>
        <w:tab/>
        <w:t>Splitting demands, abandonment of excess</w:t>
      </w:r>
      <w:r>
        <w:tab/>
      </w:r>
      <w:r>
        <w:fldChar w:fldCharType="begin"/>
      </w:r>
      <w:r>
        <w:instrText xml:space="preserve"> PAGEREF _Toc194986618 \h </w:instrText>
      </w:r>
      <w:r>
        <w:fldChar w:fldCharType="separate"/>
      </w:r>
      <w:r>
        <w:t>28</w:t>
      </w:r>
      <w:r>
        <w:fldChar w:fldCharType="end"/>
      </w:r>
    </w:p>
    <w:p>
      <w:pPr>
        <w:pStyle w:val="TOC8"/>
        <w:rPr>
          <w:sz w:val="24"/>
          <w:szCs w:val="24"/>
        </w:rPr>
      </w:pPr>
      <w:r>
        <w:rPr>
          <w:szCs w:val="24"/>
        </w:rPr>
        <w:t>60</w:t>
      </w:r>
      <w:r>
        <w:rPr>
          <w:snapToGrid w:val="0"/>
          <w:szCs w:val="24"/>
        </w:rPr>
        <w:t>.</w:t>
      </w:r>
      <w:r>
        <w:rPr>
          <w:snapToGrid w:val="0"/>
          <w:szCs w:val="24"/>
        </w:rPr>
        <w:tab/>
        <w:t>Suing on separate security a separate cause of action</w:t>
      </w:r>
      <w:r>
        <w:tab/>
      </w:r>
      <w:r>
        <w:fldChar w:fldCharType="begin"/>
      </w:r>
      <w:r>
        <w:instrText xml:space="preserve"> PAGEREF _Toc194986619 \h </w:instrText>
      </w:r>
      <w:r>
        <w:fldChar w:fldCharType="separate"/>
      </w:r>
      <w:r>
        <w:t>28</w:t>
      </w:r>
      <w:r>
        <w:fldChar w:fldCharType="end"/>
      </w:r>
    </w:p>
    <w:p>
      <w:pPr>
        <w:pStyle w:val="TOC8"/>
        <w:rPr>
          <w:sz w:val="24"/>
          <w:szCs w:val="24"/>
        </w:rPr>
      </w:pPr>
      <w:r>
        <w:rPr>
          <w:szCs w:val="24"/>
        </w:rPr>
        <w:t>61</w:t>
      </w:r>
      <w:r>
        <w:rPr>
          <w:snapToGrid w:val="0"/>
          <w:szCs w:val="24"/>
        </w:rPr>
        <w:t>.</w:t>
      </w:r>
      <w:r>
        <w:rPr>
          <w:snapToGrid w:val="0"/>
          <w:szCs w:val="24"/>
        </w:rPr>
        <w:tab/>
        <w:t>Facts establishing jurisdiction need not be stated</w:t>
      </w:r>
      <w:r>
        <w:tab/>
      </w:r>
      <w:r>
        <w:fldChar w:fldCharType="begin"/>
      </w:r>
      <w:r>
        <w:instrText xml:space="preserve"> PAGEREF _Toc194986620 \h </w:instrText>
      </w:r>
      <w:r>
        <w:fldChar w:fldCharType="separate"/>
      </w:r>
      <w:r>
        <w:t>29</w:t>
      </w:r>
      <w:r>
        <w:fldChar w:fldCharType="end"/>
      </w:r>
    </w:p>
    <w:p>
      <w:pPr>
        <w:pStyle w:val="TOC8"/>
        <w:rPr>
          <w:sz w:val="24"/>
          <w:szCs w:val="24"/>
        </w:rPr>
      </w:pPr>
      <w:r>
        <w:rPr>
          <w:szCs w:val="24"/>
        </w:rPr>
        <w:t>63</w:t>
      </w:r>
      <w:r>
        <w:rPr>
          <w:snapToGrid w:val="0"/>
          <w:szCs w:val="24"/>
        </w:rPr>
        <w:t>.</w:t>
      </w:r>
      <w:r>
        <w:rPr>
          <w:snapToGrid w:val="0"/>
          <w:szCs w:val="24"/>
        </w:rPr>
        <w:tab/>
        <w:t>Contempt</w:t>
      </w:r>
      <w:r>
        <w:tab/>
      </w:r>
      <w:r>
        <w:fldChar w:fldCharType="begin"/>
      </w:r>
      <w:r>
        <w:instrText xml:space="preserve"> PAGEREF _Toc194986621 \h </w:instrText>
      </w:r>
      <w:r>
        <w:fldChar w:fldCharType="separate"/>
      </w:r>
      <w:r>
        <w:t>29</w:t>
      </w:r>
      <w:r>
        <w:fldChar w:fldCharType="end"/>
      </w:r>
    </w:p>
    <w:p>
      <w:pPr>
        <w:pStyle w:val="TOC2"/>
        <w:tabs>
          <w:tab w:val="right" w:leader="dot" w:pos="7086"/>
        </w:tabs>
        <w:rPr>
          <w:b w:val="0"/>
          <w:sz w:val="24"/>
          <w:szCs w:val="24"/>
        </w:rPr>
      </w:pPr>
      <w:r>
        <w:rPr>
          <w:szCs w:val="30"/>
        </w:rPr>
        <w:t>Part IV — Costs</w:t>
      </w:r>
    </w:p>
    <w:p>
      <w:pPr>
        <w:pStyle w:val="TOC8"/>
        <w:rPr>
          <w:sz w:val="24"/>
          <w:szCs w:val="24"/>
        </w:rPr>
      </w:pPr>
      <w:r>
        <w:rPr>
          <w:szCs w:val="24"/>
        </w:rPr>
        <w:t>64</w:t>
      </w:r>
      <w:r>
        <w:rPr>
          <w:snapToGrid w:val="0"/>
          <w:szCs w:val="24"/>
        </w:rPr>
        <w:t>.</w:t>
      </w:r>
      <w:r>
        <w:rPr>
          <w:snapToGrid w:val="0"/>
          <w:szCs w:val="24"/>
        </w:rPr>
        <w:tab/>
        <w:t>Costs of action or proceeding</w:t>
      </w:r>
      <w:r>
        <w:tab/>
      </w:r>
      <w:r>
        <w:fldChar w:fldCharType="begin"/>
      </w:r>
      <w:r>
        <w:instrText xml:space="preserve"> PAGEREF _Toc194986623 \h </w:instrText>
      </w:r>
      <w:r>
        <w:fldChar w:fldCharType="separate"/>
      </w:r>
      <w:r>
        <w:t>31</w:t>
      </w:r>
      <w:r>
        <w:fldChar w:fldCharType="end"/>
      </w:r>
    </w:p>
    <w:p>
      <w:pPr>
        <w:pStyle w:val="TOC8"/>
        <w:rPr>
          <w:sz w:val="24"/>
          <w:szCs w:val="24"/>
        </w:rPr>
      </w:pPr>
      <w:r>
        <w:rPr>
          <w:szCs w:val="24"/>
        </w:rPr>
        <w:t>65</w:t>
      </w:r>
      <w:r>
        <w:rPr>
          <w:snapToGrid w:val="0"/>
          <w:szCs w:val="24"/>
        </w:rPr>
        <w:t>.</w:t>
      </w:r>
      <w:r>
        <w:rPr>
          <w:snapToGrid w:val="0"/>
          <w:szCs w:val="24"/>
        </w:rPr>
        <w:tab/>
        <w:t>Costs where the Court has no jurisdiction</w:t>
      </w:r>
      <w:r>
        <w:tab/>
      </w:r>
      <w:r>
        <w:fldChar w:fldCharType="begin"/>
      </w:r>
      <w:r>
        <w:instrText xml:space="preserve"> PAGEREF _Toc194986624 \h </w:instrText>
      </w:r>
      <w:r>
        <w:fldChar w:fldCharType="separate"/>
      </w:r>
      <w:r>
        <w:t>31</w:t>
      </w:r>
      <w:r>
        <w:fldChar w:fldCharType="end"/>
      </w:r>
    </w:p>
    <w:p>
      <w:pPr>
        <w:pStyle w:val="TOC8"/>
        <w:rPr>
          <w:sz w:val="24"/>
          <w:szCs w:val="24"/>
        </w:rPr>
      </w:pPr>
      <w:r>
        <w:rPr>
          <w:szCs w:val="24"/>
        </w:rPr>
        <w:t>66</w:t>
      </w:r>
      <w:r>
        <w:rPr>
          <w:snapToGrid w:val="0"/>
          <w:szCs w:val="24"/>
        </w:rPr>
        <w:t>.</w:t>
      </w:r>
      <w:r>
        <w:rPr>
          <w:snapToGrid w:val="0"/>
          <w:szCs w:val="24"/>
        </w:rPr>
        <w:tab/>
        <w:t>Solicitor and client costs, witness expenses</w:t>
      </w:r>
      <w:r>
        <w:tab/>
      </w:r>
      <w:r>
        <w:fldChar w:fldCharType="begin"/>
      </w:r>
      <w:r>
        <w:instrText xml:space="preserve"> PAGEREF _Toc194986625 \h </w:instrText>
      </w:r>
      <w:r>
        <w:fldChar w:fldCharType="separate"/>
      </w:r>
      <w:r>
        <w:t>31</w:t>
      </w:r>
      <w:r>
        <w:fldChar w:fldCharType="end"/>
      </w:r>
    </w:p>
    <w:p>
      <w:pPr>
        <w:pStyle w:val="TOC8"/>
        <w:rPr>
          <w:sz w:val="24"/>
          <w:szCs w:val="24"/>
        </w:rPr>
      </w:pPr>
      <w:r>
        <w:rPr>
          <w:szCs w:val="24"/>
        </w:rPr>
        <w:t>67</w:t>
      </w:r>
      <w:r>
        <w:rPr>
          <w:snapToGrid w:val="0"/>
          <w:szCs w:val="24"/>
        </w:rPr>
        <w:t>.</w:t>
      </w:r>
      <w:r>
        <w:rPr>
          <w:snapToGrid w:val="0"/>
          <w:szCs w:val="24"/>
        </w:rPr>
        <w:tab/>
        <w:t>Costs, taxation of</w:t>
      </w:r>
      <w:r>
        <w:tab/>
      </w:r>
      <w:r>
        <w:fldChar w:fldCharType="begin"/>
      </w:r>
      <w:r>
        <w:instrText xml:space="preserve"> PAGEREF _Toc194986626 \h </w:instrText>
      </w:r>
      <w:r>
        <w:fldChar w:fldCharType="separate"/>
      </w:r>
      <w:r>
        <w:t>32</w:t>
      </w:r>
      <w:r>
        <w:fldChar w:fldCharType="end"/>
      </w:r>
    </w:p>
    <w:p>
      <w:pPr>
        <w:pStyle w:val="TOC8"/>
        <w:rPr>
          <w:sz w:val="24"/>
          <w:szCs w:val="24"/>
        </w:rPr>
      </w:pPr>
      <w:r>
        <w:rPr>
          <w:szCs w:val="24"/>
        </w:rPr>
        <w:t>68</w:t>
      </w:r>
      <w:r>
        <w:rPr>
          <w:snapToGrid w:val="0"/>
          <w:szCs w:val="24"/>
        </w:rPr>
        <w:t>.</w:t>
      </w:r>
      <w:r>
        <w:rPr>
          <w:snapToGrid w:val="0"/>
          <w:szCs w:val="24"/>
        </w:rPr>
        <w:tab/>
        <w:t>Solicitor and client costs to be taxed in Supreme Court</w:t>
      </w:r>
      <w:r>
        <w:tab/>
      </w:r>
      <w:r>
        <w:fldChar w:fldCharType="begin"/>
      </w:r>
      <w:r>
        <w:instrText xml:space="preserve"> PAGEREF _Toc194986627 \h </w:instrText>
      </w:r>
      <w:r>
        <w:fldChar w:fldCharType="separate"/>
      </w:r>
      <w:r>
        <w:t>32</w:t>
      </w:r>
      <w:r>
        <w:fldChar w:fldCharType="end"/>
      </w:r>
    </w:p>
    <w:p>
      <w:pPr>
        <w:pStyle w:val="TOC2"/>
        <w:tabs>
          <w:tab w:val="right" w:leader="dot" w:pos="7086"/>
        </w:tabs>
        <w:rPr>
          <w:b w:val="0"/>
          <w:sz w:val="24"/>
          <w:szCs w:val="24"/>
        </w:rPr>
      </w:pPr>
      <w:r>
        <w:rPr>
          <w:szCs w:val="30"/>
        </w:rPr>
        <w:t>Part V — Commencement of action</w:t>
      </w:r>
    </w:p>
    <w:p>
      <w:pPr>
        <w:pStyle w:val="TOC8"/>
        <w:rPr>
          <w:sz w:val="24"/>
          <w:szCs w:val="24"/>
        </w:rPr>
      </w:pPr>
      <w:r>
        <w:rPr>
          <w:szCs w:val="24"/>
        </w:rPr>
        <w:t>69</w:t>
      </w:r>
      <w:r>
        <w:rPr>
          <w:snapToGrid w:val="0"/>
          <w:szCs w:val="24"/>
        </w:rPr>
        <w:t>.</w:t>
      </w:r>
      <w:r>
        <w:rPr>
          <w:snapToGrid w:val="0"/>
          <w:szCs w:val="24"/>
        </w:rPr>
        <w:tab/>
        <w:t>Where action to be commenced</w:t>
      </w:r>
      <w:r>
        <w:tab/>
      </w:r>
      <w:r>
        <w:fldChar w:fldCharType="begin"/>
      </w:r>
      <w:r>
        <w:instrText xml:space="preserve"> PAGEREF _Toc194986629 \h </w:instrText>
      </w:r>
      <w:r>
        <w:fldChar w:fldCharType="separate"/>
      </w:r>
      <w:r>
        <w:t>33</w:t>
      </w:r>
      <w:r>
        <w:fldChar w:fldCharType="end"/>
      </w:r>
    </w:p>
    <w:p>
      <w:pPr>
        <w:pStyle w:val="TOC8"/>
        <w:rPr>
          <w:sz w:val="24"/>
          <w:szCs w:val="24"/>
        </w:rPr>
      </w:pPr>
      <w:r>
        <w:rPr>
          <w:szCs w:val="24"/>
        </w:rPr>
        <w:t>70</w:t>
      </w:r>
      <w:r>
        <w:rPr>
          <w:snapToGrid w:val="0"/>
          <w:szCs w:val="24"/>
        </w:rPr>
        <w:t>.</w:t>
      </w:r>
      <w:r>
        <w:rPr>
          <w:snapToGrid w:val="0"/>
          <w:szCs w:val="24"/>
        </w:rPr>
        <w:tab/>
        <w:t>Defendant may object to where action commenced</w:t>
      </w:r>
      <w:r>
        <w:tab/>
      </w:r>
      <w:r>
        <w:fldChar w:fldCharType="begin"/>
      </w:r>
      <w:r>
        <w:instrText xml:space="preserve"> PAGEREF _Toc194986630 \h </w:instrText>
      </w:r>
      <w:r>
        <w:fldChar w:fldCharType="separate"/>
      </w:r>
      <w:r>
        <w:t>33</w:t>
      </w:r>
      <w:r>
        <w:fldChar w:fldCharType="end"/>
      </w:r>
    </w:p>
    <w:p>
      <w:pPr>
        <w:pStyle w:val="TOC2"/>
        <w:tabs>
          <w:tab w:val="right" w:leader="dot" w:pos="7086"/>
        </w:tabs>
        <w:rPr>
          <w:b w:val="0"/>
          <w:sz w:val="24"/>
          <w:szCs w:val="24"/>
        </w:rPr>
      </w:pPr>
      <w:r>
        <w:rPr>
          <w:szCs w:val="30"/>
        </w:rPr>
        <w:t>Part VI — Remitting and transferring actions and matters</w:t>
      </w:r>
    </w:p>
    <w:p>
      <w:pPr>
        <w:pStyle w:val="TOC8"/>
        <w:rPr>
          <w:sz w:val="24"/>
          <w:szCs w:val="24"/>
        </w:rPr>
      </w:pPr>
      <w:r>
        <w:rPr>
          <w:szCs w:val="24"/>
        </w:rPr>
        <w:t>71</w:t>
      </w:r>
      <w:r>
        <w:rPr>
          <w:snapToGrid w:val="0"/>
          <w:szCs w:val="24"/>
        </w:rPr>
        <w:t>.</w:t>
      </w:r>
      <w:r>
        <w:rPr>
          <w:snapToGrid w:val="0"/>
          <w:szCs w:val="24"/>
        </w:rPr>
        <w:tab/>
        <w:t>Transfer to different place</w:t>
      </w:r>
      <w:r>
        <w:tab/>
      </w:r>
      <w:r>
        <w:fldChar w:fldCharType="begin"/>
      </w:r>
      <w:r>
        <w:instrText xml:space="preserve"> PAGEREF _Toc194986632 \h </w:instrText>
      </w:r>
      <w:r>
        <w:fldChar w:fldCharType="separate"/>
      </w:r>
      <w:r>
        <w:t>34</w:t>
      </w:r>
      <w:r>
        <w:fldChar w:fldCharType="end"/>
      </w:r>
    </w:p>
    <w:p>
      <w:pPr>
        <w:pStyle w:val="TOC8"/>
        <w:rPr>
          <w:sz w:val="24"/>
          <w:szCs w:val="24"/>
        </w:rPr>
      </w:pPr>
      <w:r>
        <w:rPr>
          <w:szCs w:val="24"/>
        </w:rPr>
        <w:t>72</w:t>
      </w:r>
      <w:r>
        <w:rPr>
          <w:snapToGrid w:val="0"/>
          <w:szCs w:val="24"/>
        </w:rPr>
        <w:t>.</w:t>
      </w:r>
      <w:r>
        <w:rPr>
          <w:snapToGrid w:val="0"/>
          <w:szCs w:val="24"/>
        </w:rPr>
        <w:tab/>
        <w:t>Judge may change venue</w:t>
      </w:r>
      <w:r>
        <w:tab/>
      </w:r>
      <w:r>
        <w:fldChar w:fldCharType="begin"/>
      </w:r>
      <w:r>
        <w:instrText xml:space="preserve"> PAGEREF _Toc194986633 \h </w:instrText>
      </w:r>
      <w:r>
        <w:fldChar w:fldCharType="separate"/>
      </w:r>
      <w:r>
        <w:t>34</w:t>
      </w:r>
      <w:r>
        <w:fldChar w:fldCharType="end"/>
      </w:r>
    </w:p>
    <w:p>
      <w:pPr>
        <w:pStyle w:val="TOC8"/>
        <w:rPr>
          <w:sz w:val="24"/>
          <w:szCs w:val="24"/>
        </w:rPr>
      </w:pPr>
      <w:r>
        <w:rPr>
          <w:szCs w:val="24"/>
        </w:rPr>
        <w:t>74.</w:t>
      </w:r>
      <w:r>
        <w:rPr>
          <w:szCs w:val="24"/>
        </w:rPr>
        <w:tab/>
        <w:t>Court may transfer case to Magistrates Court</w:t>
      </w:r>
      <w:r>
        <w:tab/>
      </w:r>
      <w:r>
        <w:fldChar w:fldCharType="begin"/>
      </w:r>
      <w:r>
        <w:instrText xml:space="preserve"> PAGEREF _Toc194986634 \h </w:instrText>
      </w:r>
      <w:r>
        <w:fldChar w:fldCharType="separate"/>
      </w:r>
      <w:r>
        <w:t>34</w:t>
      </w:r>
      <w:r>
        <w:fldChar w:fldCharType="end"/>
      </w:r>
    </w:p>
    <w:p>
      <w:pPr>
        <w:pStyle w:val="TOC8"/>
        <w:rPr>
          <w:sz w:val="24"/>
          <w:szCs w:val="24"/>
        </w:rPr>
      </w:pPr>
      <w:r>
        <w:rPr>
          <w:szCs w:val="24"/>
        </w:rPr>
        <w:t>76</w:t>
      </w:r>
      <w:r>
        <w:rPr>
          <w:snapToGrid w:val="0"/>
          <w:szCs w:val="24"/>
        </w:rPr>
        <w:t>.</w:t>
      </w:r>
      <w:r>
        <w:rPr>
          <w:snapToGrid w:val="0"/>
          <w:szCs w:val="24"/>
        </w:rPr>
        <w:tab/>
        <w:t>Supreme Court may remit District Court action to Supreme Court</w:t>
      </w:r>
      <w:r>
        <w:tab/>
      </w:r>
      <w:r>
        <w:fldChar w:fldCharType="begin"/>
      </w:r>
      <w:r>
        <w:instrText xml:space="preserve"> PAGEREF _Toc194986635 \h </w:instrText>
      </w:r>
      <w:r>
        <w:fldChar w:fldCharType="separate"/>
      </w:r>
      <w:r>
        <w:t>35</w:t>
      </w:r>
      <w:r>
        <w:fldChar w:fldCharType="end"/>
      </w:r>
    </w:p>
    <w:p>
      <w:pPr>
        <w:pStyle w:val="TOC8"/>
        <w:rPr>
          <w:sz w:val="24"/>
          <w:szCs w:val="24"/>
        </w:rPr>
      </w:pPr>
      <w:r>
        <w:rPr>
          <w:szCs w:val="24"/>
        </w:rPr>
        <w:t>77</w:t>
      </w:r>
      <w:r>
        <w:rPr>
          <w:snapToGrid w:val="0"/>
          <w:szCs w:val="24"/>
        </w:rPr>
        <w:t>.</w:t>
      </w:r>
      <w:r>
        <w:rPr>
          <w:snapToGrid w:val="0"/>
          <w:szCs w:val="24"/>
        </w:rPr>
        <w:tab/>
        <w:t>District Court may remit to Supreme Court</w:t>
      </w:r>
      <w:r>
        <w:tab/>
      </w:r>
      <w:r>
        <w:fldChar w:fldCharType="begin"/>
      </w:r>
      <w:r>
        <w:instrText xml:space="preserve"> PAGEREF _Toc194986636 \h </w:instrText>
      </w:r>
      <w:r>
        <w:fldChar w:fldCharType="separate"/>
      </w:r>
      <w:r>
        <w:t>35</w:t>
      </w:r>
      <w:r>
        <w:fldChar w:fldCharType="end"/>
      </w:r>
    </w:p>
    <w:p>
      <w:pPr>
        <w:pStyle w:val="TOC8"/>
        <w:rPr>
          <w:sz w:val="24"/>
          <w:szCs w:val="24"/>
        </w:rPr>
      </w:pPr>
      <w:r>
        <w:rPr>
          <w:szCs w:val="24"/>
        </w:rPr>
        <w:t>78</w:t>
      </w:r>
      <w:r>
        <w:rPr>
          <w:snapToGrid w:val="0"/>
          <w:szCs w:val="24"/>
        </w:rPr>
        <w:t>.</w:t>
      </w:r>
      <w:r>
        <w:rPr>
          <w:snapToGrid w:val="0"/>
          <w:szCs w:val="24"/>
        </w:rPr>
        <w:tab/>
        <w:t>Proceedings after order to remit</w:t>
      </w:r>
      <w:r>
        <w:tab/>
      </w:r>
      <w:r>
        <w:fldChar w:fldCharType="begin"/>
      </w:r>
      <w:r>
        <w:instrText xml:space="preserve"> PAGEREF _Toc194986637 \h </w:instrText>
      </w:r>
      <w:r>
        <w:fldChar w:fldCharType="separate"/>
      </w:r>
      <w:r>
        <w:t>36</w:t>
      </w:r>
      <w:r>
        <w:fldChar w:fldCharType="end"/>
      </w:r>
    </w:p>
    <w:p>
      <w:pPr>
        <w:pStyle w:val="TOC2"/>
        <w:tabs>
          <w:tab w:val="right" w:leader="dot" w:pos="7086"/>
        </w:tabs>
        <w:rPr>
          <w:b w:val="0"/>
          <w:sz w:val="24"/>
          <w:szCs w:val="24"/>
        </w:rPr>
      </w:pPr>
      <w:r>
        <w:rPr>
          <w:szCs w:val="30"/>
        </w:rPr>
        <w:t>Part VII — Appeals, certiorari, prohibition and mandamus</w:t>
      </w:r>
    </w:p>
    <w:p>
      <w:pPr>
        <w:pStyle w:val="TOC8"/>
        <w:rPr>
          <w:sz w:val="24"/>
          <w:szCs w:val="24"/>
        </w:rPr>
      </w:pPr>
      <w:r>
        <w:rPr>
          <w:szCs w:val="24"/>
        </w:rPr>
        <w:t>79</w:t>
      </w:r>
      <w:r>
        <w:rPr>
          <w:snapToGrid w:val="0"/>
          <w:szCs w:val="24"/>
        </w:rPr>
        <w:t>.</w:t>
      </w:r>
      <w:r>
        <w:rPr>
          <w:snapToGrid w:val="0"/>
          <w:szCs w:val="24"/>
        </w:rPr>
        <w:tab/>
        <w:t>Appeal to the Court of Appeal</w:t>
      </w:r>
      <w:r>
        <w:tab/>
      </w:r>
      <w:r>
        <w:fldChar w:fldCharType="begin"/>
      </w:r>
      <w:r>
        <w:instrText xml:space="preserve"> PAGEREF _Toc194986639 \h </w:instrText>
      </w:r>
      <w:r>
        <w:fldChar w:fldCharType="separate"/>
      </w:r>
      <w:r>
        <w:t>37</w:t>
      </w:r>
      <w:r>
        <w:fldChar w:fldCharType="end"/>
      </w:r>
    </w:p>
    <w:p>
      <w:pPr>
        <w:pStyle w:val="TOC8"/>
        <w:rPr>
          <w:sz w:val="24"/>
          <w:szCs w:val="24"/>
        </w:rPr>
      </w:pPr>
      <w:r>
        <w:rPr>
          <w:szCs w:val="24"/>
        </w:rPr>
        <w:t>80</w:t>
      </w:r>
      <w:r>
        <w:rPr>
          <w:snapToGrid w:val="0"/>
          <w:szCs w:val="24"/>
        </w:rPr>
        <w:t>.</w:t>
      </w:r>
      <w:r>
        <w:rPr>
          <w:snapToGrid w:val="0"/>
          <w:szCs w:val="24"/>
        </w:rPr>
        <w:tab/>
        <w:t>Appeals, etc. to be only as provided by this Act</w:t>
      </w:r>
      <w:r>
        <w:tab/>
      </w:r>
      <w:r>
        <w:fldChar w:fldCharType="begin"/>
      </w:r>
      <w:r>
        <w:instrText xml:space="preserve"> PAGEREF _Toc194986640 \h </w:instrText>
      </w:r>
      <w:r>
        <w:fldChar w:fldCharType="separate"/>
      </w:r>
      <w:r>
        <w:t>38</w:t>
      </w:r>
      <w:r>
        <w:fldChar w:fldCharType="end"/>
      </w:r>
    </w:p>
    <w:p>
      <w:pPr>
        <w:pStyle w:val="TOC8"/>
        <w:rPr>
          <w:sz w:val="24"/>
          <w:szCs w:val="24"/>
        </w:rPr>
      </w:pPr>
      <w:r>
        <w:rPr>
          <w:szCs w:val="24"/>
        </w:rPr>
        <w:t>81</w:t>
      </w:r>
      <w:r>
        <w:rPr>
          <w:snapToGrid w:val="0"/>
          <w:szCs w:val="24"/>
        </w:rPr>
        <w:t>.</w:t>
      </w:r>
      <w:r>
        <w:rPr>
          <w:snapToGrid w:val="0"/>
          <w:szCs w:val="24"/>
        </w:rPr>
        <w:tab/>
        <w:t>Certiorari may issue, procedure</w:t>
      </w:r>
      <w:r>
        <w:tab/>
      </w:r>
      <w:r>
        <w:fldChar w:fldCharType="begin"/>
      </w:r>
      <w:r>
        <w:instrText xml:space="preserve"> PAGEREF _Toc194986641 \h </w:instrText>
      </w:r>
      <w:r>
        <w:fldChar w:fldCharType="separate"/>
      </w:r>
      <w:r>
        <w:t>38</w:t>
      </w:r>
      <w:r>
        <w:fldChar w:fldCharType="end"/>
      </w:r>
    </w:p>
    <w:p>
      <w:pPr>
        <w:pStyle w:val="TOC8"/>
        <w:rPr>
          <w:sz w:val="24"/>
          <w:szCs w:val="24"/>
        </w:rPr>
      </w:pPr>
      <w:r>
        <w:rPr>
          <w:szCs w:val="24"/>
        </w:rPr>
        <w:t>82</w:t>
      </w:r>
      <w:r>
        <w:rPr>
          <w:snapToGrid w:val="0"/>
          <w:szCs w:val="24"/>
        </w:rPr>
        <w:t>.</w:t>
      </w:r>
      <w:r>
        <w:rPr>
          <w:snapToGrid w:val="0"/>
          <w:szCs w:val="24"/>
        </w:rPr>
        <w:tab/>
        <w:t>Stay of proceedings may be ordered in certiorari or prohibition proceedings</w:t>
      </w:r>
      <w:r>
        <w:tab/>
      </w:r>
      <w:r>
        <w:fldChar w:fldCharType="begin"/>
      </w:r>
      <w:r>
        <w:instrText xml:space="preserve"> PAGEREF _Toc194986642 \h </w:instrText>
      </w:r>
      <w:r>
        <w:fldChar w:fldCharType="separate"/>
      </w:r>
      <w:r>
        <w:t>38</w:t>
      </w:r>
      <w:r>
        <w:fldChar w:fldCharType="end"/>
      </w:r>
    </w:p>
    <w:p>
      <w:pPr>
        <w:pStyle w:val="TOC8"/>
        <w:rPr>
          <w:sz w:val="24"/>
          <w:szCs w:val="24"/>
        </w:rPr>
      </w:pPr>
      <w:r>
        <w:rPr>
          <w:szCs w:val="24"/>
        </w:rPr>
        <w:t>83</w:t>
      </w:r>
      <w:r>
        <w:rPr>
          <w:snapToGrid w:val="0"/>
          <w:szCs w:val="24"/>
        </w:rPr>
        <w:t>.</w:t>
      </w:r>
      <w:r>
        <w:rPr>
          <w:snapToGrid w:val="0"/>
          <w:szCs w:val="24"/>
        </w:rPr>
        <w:tab/>
        <w:t>Prohibition proceedings, procedure</w:t>
      </w:r>
      <w:r>
        <w:tab/>
      </w:r>
      <w:r>
        <w:fldChar w:fldCharType="begin"/>
      </w:r>
      <w:r>
        <w:instrText xml:space="preserve"> PAGEREF _Toc194986643 \h </w:instrText>
      </w:r>
      <w:r>
        <w:fldChar w:fldCharType="separate"/>
      </w:r>
      <w:r>
        <w:t>39</w:t>
      </w:r>
      <w:r>
        <w:fldChar w:fldCharType="end"/>
      </w:r>
    </w:p>
    <w:p>
      <w:pPr>
        <w:pStyle w:val="TOC8"/>
        <w:rPr>
          <w:sz w:val="24"/>
          <w:szCs w:val="24"/>
        </w:rPr>
      </w:pPr>
      <w:r>
        <w:rPr>
          <w:szCs w:val="24"/>
        </w:rPr>
        <w:t>84</w:t>
      </w:r>
      <w:r>
        <w:rPr>
          <w:snapToGrid w:val="0"/>
          <w:szCs w:val="24"/>
        </w:rPr>
        <w:t>.</w:t>
      </w:r>
      <w:r>
        <w:rPr>
          <w:snapToGrid w:val="0"/>
          <w:szCs w:val="24"/>
        </w:rPr>
        <w:tab/>
        <w:t>Order in lieu of mandamus</w:t>
      </w:r>
      <w:r>
        <w:tab/>
      </w:r>
      <w:r>
        <w:fldChar w:fldCharType="begin"/>
      </w:r>
      <w:r>
        <w:instrText xml:space="preserve"> PAGEREF _Toc194986644 \h </w:instrText>
      </w:r>
      <w:r>
        <w:fldChar w:fldCharType="separate"/>
      </w:r>
      <w:r>
        <w:t>40</w:t>
      </w:r>
      <w:r>
        <w:fldChar w:fldCharType="end"/>
      </w:r>
    </w:p>
    <w:p>
      <w:pPr>
        <w:pStyle w:val="TOC8"/>
        <w:rPr>
          <w:sz w:val="24"/>
          <w:szCs w:val="24"/>
        </w:rPr>
      </w:pPr>
      <w:r>
        <w:rPr>
          <w:szCs w:val="24"/>
        </w:rPr>
        <w:t>85</w:t>
      </w:r>
      <w:r>
        <w:rPr>
          <w:snapToGrid w:val="0"/>
          <w:szCs w:val="24"/>
        </w:rPr>
        <w:t>.</w:t>
      </w:r>
      <w:r>
        <w:rPr>
          <w:snapToGrid w:val="0"/>
          <w:szCs w:val="24"/>
        </w:rPr>
        <w:tab/>
        <w:t>Notice to be given of writ of certiorari or prohibition on ex parte application</w:t>
      </w:r>
      <w:r>
        <w:tab/>
      </w:r>
      <w:r>
        <w:fldChar w:fldCharType="begin"/>
      </w:r>
      <w:r>
        <w:instrText xml:space="preserve"> PAGEREF _Toc194986645 \h </w:instrText>
      </w:r>
      <w:r>
        <w:fldChar w:fldCharType="separate"/>
      </w:r>
      <w:r>
        <w:t>40</w:t>
      </w:r>
      <w:r>
        <w:fldChar w:fldCharType="end"/>
      </w:r>
    </w:p>
    <w:p>
      <w:pPr>
        <w:pStyle w:val="TOC2"/>
        <w:tabs>
          <w:tab w:val="right" w:leader="dot" w:pos="7086"/>
        </w:tabs>
        <w:rPr>
          <w:b w:val="0"/>
          <w:sz w:val="24"/>
          <w:szCs w:val="24"/>
        </w:rPr>
      </w:pPr>
      <w:r>
        <w:rPr>
          <w:szCs w:val="30"/>
        </w:rPr>
        <w:t>Part VIII — Practice and procedure and rules of court</w:t>
      </w:r>
    </w:p>
    <w:p>
      <w:pPr>
        <w:pStyle w:val="TOC8"/>
        <w:rPr>
          <w:sz w:val="24"/>
          <w:szCs w:val="24"/>
        </w:rPr>
      </w:pPr>
      <w:r>
        <w:rPr>
          <w:szCs w:val="24"/>
        </w:rPr>
        <w:t>86</w:t>
      </w:r>
      <w:r>
        <w:rPr>
          <w:snapToGrid w:val="0"/>
          <w:szCs w:val="24"/>
        </w:rPr>
        <w:t>.</w:t>
      </w:r>
      <w:r>
        <w:rPr>
          <w:snapToGrid w:val="0"/>
          <w:szCs w:val="24"/>
        </w:rPr>
        <w:tab/>
        <w:t>Action may be dealt with at more than one place</w:t>
      </w:r>
      <w:r>
        <w:tab/>
      </w:r>
      <w:r>
        <w:fldChar w:fldCharType="begin"/>
      </w:r>
      <w:r>
        <w:instrText xml:space="preserve"> PAGEREF _Toc194986647 \h </w:instrText>
      </w:r>
      <w:r>
        <w:fldChar w:fldCharType="separate"/>
      </w:r>
      <w:r>
        <w:t>41</w:t>
      </w:r>
      <w:r>
        <w:fldChar w:fldCharType="end"/>
      </w:r>
    </w:p>
    <w:p>
      <w:pPr>
        <w:pStyle w:val="TOC8"/>
        <w:rPr>
          <w:sz w:val="24"/>
          <w:szCs w:val="24"/>
        </w:rPr>
      </w:pPr>
      <w:r>
        <w:rPr>
          <w:szCs w:val="24"/>
        </w:rPr>
        <w:t>87</w:t>
      </w:r>
      <w:r>
        <w:rPr>
          <w:snapToGrid w:val="0"/>
          <w:szCs w:val="24"/>
        </w:rPr>
        <w:t>.</w:t>
      </w:r>
      <w:r>
        <w:rPr>
          <w:snapToGrid w:val="0"/>
          <w:szCs w:val="24"/>
        </w:rPr>
        <w:tab/>
        <w:t>Rules of court to govern practice and procedure</w:t>
      </w:r>
      <w:r>
        <w:tab/>
      </w:r>
      <w:r>
        <w:fldChar w:fldCharType="begin"/>
      </w:r>
      <w:r>
        <w:instrText xml:space="preserve"> PAGEREF _Toc194986648 \h </w:instrText>
      </w:r>
      <w:r>
        <w:fldChar w:fldCharType="separate"/>
      </w:r>
      <w:r>
        <w:t>41</w:t>
      </w:r>
      <w:r>
        <w:fldChar w:fldCharType="end"/>
      </w:r>
    </w:p>
    <w:p>
      <w:pPr>
        <w:pStyle w:val="TOC8"/>
        <w:rPr>
          <w:sz w:val="24"/>
          <w:szCs w:val="24"/>
        </w:rPr>
      </w:pPr>
      <w:r>
        <w:rPr>
          <w:szCs w:val="24"/>
        </w:rPr>
        <w:t>88</w:t>
      </w:r>
      <w:r>
        <w:rPr>
          <w:snapToGrid w:val="0"/>
          <w:szCs w:val="24"/>
        </w:rPr>
        <w:t>.</w:t>
      </w:r>
      <w:r>
        <w:rPr>
          <w:snapToGrid w:val="0"/>
          <w:szCs w:val="24"/>
        </w:rPr>
        <w:tab/>
        <w:t>Rules of court, making, content</w:t>
      </w:r>
      <w:r>
        <w:tab/>
      </w:r>
      <w:r>
        <w:fldChar w:fldCharType="begin"/>
      </w:r>
      <w:r>
        <w:instrText xml:space="preserve"> PAGEREF _Toc194986649 \h </w:instrText>
      </w:r>
      <w:r>
        <w:fldChar w:fldCharType="separate"/>
      </w:r>
      <w:r>
        <w:t>41</w:t>
      </w:r>
      <w:r>
        <w:fldChar w:fldCharType="end"/>
      </w:r>
    </w:p>
    <w:p>
      <w:pPr>
        <w:pStyle w:val="TOC8"/>
        <w:rPr>
          <w:sz w:val="24"/>
          <w:szCs w:val="24"/>
        </w:rPr>
      </w:pPr>
      <w:r>
        <w:rPr>
          <w:szCs w:val="24"/>
        </w:rPr>
        <w:t>89</w:t>
      </w:r>
      <w:r>
        <w:rPr>
          <w:snapToGrid w:val="0"/>
          <w:szCs w:val="24"/>
        </w:rPr>
        <w:t>.</w:t>
      </w:r>
      <w:r>
        <w:rPr>
          <w:snapToGrid w:val="0"/>
          <w:szCs w:val="24"/>
        </w:rPr>
        <w:tab/>
        <w:t>Rules to be published and laid before Parliament</w:t>
      </w:r>
      <w:r>
        <w:tab/>
      </w:r>
      <w:r>
        <w:fldChar w:fldCharType="begin"/>
      </w:r>
      <w:r>
        <w:instrText xml:space="preserve"> PAGEREF _Toc194986650 \h </w:instrText>
      </w:r>
      <w:r>
        <w:fldChar w:fldCharType="separate"/>
      </w:r>
      <w:r>
        <w:t>43</w:t>
      </w:r>
      <w:r>
        <w:fldChar w:fldCharType="end"/>
      </w:r>
    </w:p>
    <w:p>
      <w:pPr>
        <w:pStyle w:val="TOC8"/>
        <w:rPr>
          <w:sz w:val="24"/>
          <w:szCs w:val="24"/>
        </w:rPr>
      </w:pPr>
      <w:r>
        <w:rPr>
          <w:szCs w:val="24"/>
        </w:rPr>
        <w:t>89A.</w:t>
      </w:r>
      <w:r>
        <w:rPr>
          <w:szCs w:val="24"/>
        </w:rPr>
        <w:tab/>
        <w:t>Fees, regulations may prescribe</w:t>
      </w:r>
      <w:r>
        <w:tab/>
      </w:r>
      <w:r>
        <w:fldChar w:fldCharType="begin"/>
      </w:r>
      <w:r>
        <w:instrText xml:space="preserve"> PAGEREF _Toc194986651 \h </w:instrText>
      </w:r>
      <w:r>
        <w:fldChar w:fldCharType="separate"/>
      </w:r>
      <w:r>
        <w:t>44</w:t>
      </w:r>
      <w:r>
        <w:fldChar w:fldCharType="end"/>
      </w:r>
    </w:p>
    <w:p>
      <w:pPr>
        <w:pStyle w:val="TOC8"/>
        <w:rPr>
          <w:sz w:val="24"/>
          <w:szCs w:val="24"/>
        </w:rPr>
      </w:pPr>
      <w:r>
        <w:rPr>
          <w:szCs w:val="24"/>
        </w:rPr>
        <w:t>90</w:t>
      </w:r>
      <w:r>
        <w:rPr>
          <w:snapToGrid w:val="0"/>
          <w:szCs w:val="24"/>
        </w:rPr>
        <w:t>.</w:t>
      </w:r>
      <w:r>
        <w:rPr>
          <w:snapToGrid w:val="0"/>
          <w:szCs w:val="24"/>
        </w:rPr>
        <w:tab/>
        <w:t>Saving</w:t>
      </w:r>
      <w:r>
        <w:tab/>
      </w:r>
      <w:r>
        <w:fldChar w:fldCharType="begin"/>
      </w:r>
      <w:r>
        <w:instrText xml:space="preserve"> PAGEREF _Toc194986652 \h </w:instrText>
      </w:r>
      <w:r>
        <w:fldChar w:fldCharType="separate"/>
      </w:r>
      <w:r>
        <w:t>44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_Toc194986655 \h </w:instrText>
      </w:r>
      <w:r>
        <w:fldChar w:fldCharType="separate"/>
      </w:r>
      <w:r>
        <w:t>47</w:t>
      </w:r>
      <w:r>
        <w:fldChar w:fldCharType="end"/>
      </w:r>
    </w:p>
    <w:p>
      <w:pPr>
        <w:pStyle w:val="TOC8"/>
        <w:rPr>
          <w:sz w:val="24"/>
        </w:rPr>
      </w:pPr>
      <w:r>
        <w:rPr>
          <w:snapToGrid w:val="0"/>
        </w:rPr>
        <w:tab/>
        <w:t>Provisions that have not come into operation</w:t>
      </w:r>
      <w:r>
        <w:tab/>
      </w:r>
      <w:r>
        <w:fldChar w:fldCharType="begin"/>
      </w:r>
      <w:r>
        <w:instrText xml:space="preserve"> PAGEREF _Toc194986656 \h </w:instrText>
      </w:r>
      <w:r>
        <w:fldChar w:fldCharType="separate"/>
      </w:r>
      <w:r>
        <w:t>51</w:t>
      </w:r>
      <w:r>
        <w:fldChar w:fldCharType="end"/>
      </w:r>
    </w:p>
    <w:p>
      <w:pPr>
        <w:pStyle w:val="TOC3"/>
        <w:tabs>
          <w:tab w:val="right" w:leader="dot" w:pos="7086"/>
        </w:tabs>
        <w:rPr>
          <w:rFonts w:ascii="Times New Roman" w:hAnsi="Times New Roman"/>
          <w:b w:val="0"/>
          <w:sz w:val="24"/>
          <w:szCs w:val="24"/>
        </w:rPr>
      </w:pPr>
      <w:r>
        <w:rPr>
          <w:szCs w:val="26"/>
        </w:rPr>
        <w:t>Schedule 1 — Oath and affirmation of office</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 xml:space="preserve">District Court of Western Australia Act 1969 </w:t>
      </w:r>
    </w:p>
    <w:p>
      <w:pPr>
        <w:pStyle w:val="LongTitle"/>
        <w:rPr>
          <w:snapToGrid w:val="0"/>
        </w:rPr>
      </w:pPr>
      <w:r>
        <w:rPr>
          <w:snapToGrid w:val="0"/>
        </w:rPr>
        <w:t xml:space="preserve">An Act to establish The District Court of Western Australia and for incidental purposes. </w:t>
      </w:r>
    </w:p>
    <w:p>
      <w:pPr>
        <w:pStyle w:val="Heading2"/>
      </w:pPr>
      <w:bookmarkStart w:id="1" w:name="_Toc88026349"/>
      <w:bookmarkStart w:id="2" w:name="_Toc89515463"/>
      <w:bookmarkStart w:id="3" w:name="_Toc90176300"/>
      <w:bookmarkStart w:id="4" w:name="_Toc94947217"/>
      <w:bookmarkStart w:id="5" w:name="_Toc101669783"/>
      <w:bookmarkStart w:id="6" w:name="_Toc102719607"/>
      <w:bookmarkStart w:id="7" w:name="_Toc107824148"/>
      <w:bookmarkStart w:id="8" w:name="_Toc107887219"/>
      <w:bookmarkStart w:id="9" w:name="_Toc108434998"/>
      <w:bookmarkStart w:id="10" w:name="_Toc108518445"/>
      <w:bookmarkStart w:id="11" w:name="_Toc111880800"/>
      <w:bookmarkStart w:id="12" w:name="_Toc112035595"/>
      <w:bookmarkStart w:id="13" w:name="_Toc113079859"/>
      <w:bookmarkStart w:id="14" w:name="_Toc113079984"/>
      <w:bookmarkStart w:id="15" w:name="_Toc114285752"/>
      <w:bookmarkStart w:id="16" w:name="_Toc119915923"/>
      <w:bookmarkStart w:id="17" w:name="_Toc121551110"/>
      <w:bookmarkStart w:id="18" w:name="_Toc19498656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spacing w:before="120"/>
        <w:rPr>
          <w:snapToGrid w:val="0"/>
        </w:rPr>
      </w:pPr>
      <w:bookmarkStart w:id="19" w:name="_Toc487616498"/>
      <w:bookmarkStart w:id="20" w:name="_Toc504897692"/>
      <w:bookmarkStart w:id="21" w:name="_Toc514029054"/>
      <w:bookmarkStart w:id="22" w:name="_Toc113079860"/>
      <w:bookmarkStart w:id="23" w:name="_Toc194986563"/>
      <w:r>
        <w:rPr>
          <w:rStyle w:val="CharSectno"/>
        </w:rPr>
        <w:t>1</w:t>
      </w:r>
      <w:r>
        <w:rPr>
          <w:snapToGrid w:val="0"/>
        </w:rPr>
        <w:t>.</w:t>
      </w:r>
      <w:r>
        <w:rPr>
          <w:snapToGrid w:val="0"/>
        </w:rPr>
        <w:tab/>
        <w:t>Short title</w:t>
      </w:r>
      <w:bookmarkEnd w:id="19"/>
      <w:bookmarkEnd w:id="20"/>
      <w:bookmarkEnd w:id="21"/>
      <w:bookmarkEnd w:id="22"/>
      <w:bookmarkEnd w:id="23"/>
      <w:r>
        <w:rPr>
          <w:snapToGrid w:val="0"/>
        </w:rPr>
        <w:t xml:space="preserve"> </w:t>
      </w:r>
    </w:p>
    <w:p>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 </w:t>
      </w:r>
      <w:r>
        <w:rPr>
          <w:snapToGrid w:val="0"/>
          <w:vertAlign w:val="superscript"/>
        </w:rPr>
        <w:t>1</w:t>
      </w:r>
      <w:r>
        <w:rPr>
          <w:snapToGrid w:val="0"/>
        </w:rPr>
        <w:t>.</w:t>
      </w:r>
    </w:p>
    <w:p>
      <w:pPr>
        <w:pStyle w:val="Heading5"/>
        <w:spacing w:before="120"/>
        <w:rPr>
          <w:snapToGrid w:val="0"/>
        </w:rPr>
      </w:pPr>
      <w:bookmarkStart w:id="24" w:name="_Toc487616499"/>
      <w:bookmarkStart w:id="25" w:name="_Toc504897693"/>
      <w:bookmarkStart w:id="26" w:name="_Toc514029055"/>
      <w:bookmarkStart w:id="27" w:name="_Toc113079861"/>
      <w:bookmarkStart w:id="28" w:name="_Toc194986564"/>
      <w:r>
        <w:rPr>
          <w:rStyle w:val="CharSectno"/>
        </w:rPr>
        <w:t>2</w:t>
      </w:r>
      <w:r>
        <w:rPr>
          <w:snapToGrid w:val="0"/>
        </w:rPr>
        <w:t>.</w:t>
      </w:r>
      <w:r>
        <w:rPr>
          <w:snapToGrid w:val="0"/>
        </w:rPr>
        <w:tab/>
        <w:t>Commencement</w:t>
      </w:r>
      <w:bookmarkEnd w:id="24"/>
      <w:bookmarkEnd w:id="25"/>
      <w:bookmarkEnd w:id="26"/>
      <w:bookmarkEnd w:id="27"/>
      <w:bookmarkEnd w:id="28"/>
      <w:r>
        <w:rPr>
          <w:snapToGrid w:val="0"/>
        </w:rPr>
        <w:t xml:space="preserve"> </w:t>
      </w:r>
    </w:p>
    <w:p>
      <w:pPr>
        <w:pStyle w:val="Subsection"/>
        <w:spacing w:before="100"/>
      </w:pPr>
      <w:r>
        <w:tab/>
      </w:r>
      <w:r>
        <w:tab/>
        <w:t xml:space="preserve">This Act shall come </w:t>
      </w:r>
      <w:r>
        <w:rPr>
          <w:snapToGrid w:val="0"/>
        </w:rPr>
        <w:t>into</w:t>
      </w:r>
      <w:r>
        <w:t xml:space="preserve"> operation on a date to be fixed by proclamation </w:t>
      </w:r>
      <w:r>
        <w:rPr>
          <w:vertAlign w:val="superscript"/>
        </w:rPr>
        <w:t>1</w:t>
      </w:r>
      <w:r>
        <w:t>.</w:t>
      </w:r>
    </w:p>
    <w:p>
      <w:pPr>
        <w:pStyle w:val="Ednotesection"/>
        <w:spacing w:before="120"/>
        <w:ind w:left="890" w:hanging="890"/>
      </w:pPr>
      <w:r>
        <w:t>[</w:t>
      </w:r>
      <w:r>
        <w:rPr>
          <w:b/>
        </w:rPr>
        <w:t>3.</w:t>
      </w:r>
      <w:r>
        <w:tab/>
        <w:t xml:space="preserve">Repealed by No. 122 of 1984 s. 3.] </w:t>
      </w:r>
    </w:p>
    <w:p>
      <w:pPr>
        <w:pStyle w:val="Ednotesection"/>
        <w:spacing w:before="120"/>
        <w:ind w:left="890" w:hanging="890"/>
      </w:pPr>
      <w:r>
        <w:t>[</w:t>
      </w:r>
      <w:r>
        <w:rPr>
          <w:b/>
        </w:rPr>
        <w:t>4.</w:t>
      </w:r>
      <w:r>
        <w:tab/>
        <w:t>Omitted under the Reprints Act 1984 s. 7(4)(e)</w:t>
      </w:r>
      <w:r>
        <w:noBreakHyphen/>
        <w:t>(g).]</w:t>
      </w:r>
    </w:p>
    <w:p>
      <w:pPr>
        <w:pStyle w:val="Heading5"/>
        <w:spacing w:before="120"/>
        <w:rPr>
          <w:snapToGrid w:val="0"/>
        </w:rPr>
      </w:pPr>
      <w:bookmarkStart w:id="29" w:name="_Toc487616501"/>
      <w:bookmarkStart w:id="30" w:name="_Toc504897695"/>
      <w:bookmarkStart w:id="31" w:name="_Toc514029057"/>
      <w:bookmarkStart w:id="32" w:name="_Toc107887223"/>
      <w:bookmarkStart w:id="33" w:name="_Toc113079862"/>
      <w:bookmarkStart w:id="34" w:name="_Toc194986565"/>
      <w:bookmarkStart w:id="35" w:name="_Toc487616502"/>
      <w:bookmarkStart w:id="36" w:name="_Toc504897696"/>
      <w:bookmarkStart w:id="37" w:name="_Toc514029058"/>
      <w:r>
        <w:rPr>
          <w:rStyle w:val="CharSectno"/>
        </w:rPr>
        <w:t>5</w:t>
      </w:r>
      <w:r>
        <w:rPr>
          <w:snapToGrid w:val="0"/>
        </w:rPr>
        <w:t>.</w:t>
      </w:r>
      <w:r>
        <w:rPr>
          <w:snapToGrid w:val="0"/>
        </w:rPr>
        <w:tab/>
        <w:t>Construction and application of certain Acts</w:t>
      </w:r>
      <w:bookmarkEnd w:id="29"/>
      <w:bookmarkEnd w:id="30"/>
      <w:bookmarkEnd w:id="31"/>
      <w:bookmarkEnd w:id="32"/>
      <w:bookmarkEnd w:id="33"/>
      <w:bookmarkEnd w:id="34"/>
      <w:r>
        <w:rPr>
          <w:snapToGrid w:val="0"/>
        </w:rPr>
        <w:t xml:space="preserve"> </w:t>
      </w:r>
    </w:p>
    <w:p>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pPr>
        <w:pStyle w:val="Ednotesubsection"/>
      </w:pPr>
      <w:r>
        <w:tab/>
        <w:t>[(2)</w:t>
      </w:r>
      <w:r>
        <w:tab/>
        <w:t>repealed]</w:t>
      </w:r>
    </w:p>
    <w:p>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pPr>
        <w:pStyle w:val="Ednotesubsection"/>
        <w:spacing w:before="100"/>
      </w:pPr>
      <w:r>
        <w:tab/>
        <w:t>[(4)</w:t>
      </w:r>
      <w:r>
        <w:tab/>
        <w:t>repealed]</w:t>
      </w:r>
    </w:p>
    <w:p>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pPr>
        <w:pStyle w:val="Footnotesection"/>
        <w:keepLines w:val="0"/>
      </w:pPr>
      <w:r>
        <w:tab/>
        <w:t xml:space="preserve">[Section 5 amended by No. 14 of 1970 s. 4; No. 40 of 1972 s. 4; No. 122 of 1984 s. 5; No. 14 of 1996 s. 4; No. 23 of 2002 s. 13; No. 59 of 2004 s. 85; No. 84 of 2004 s. 33.] </w:t>
      </w:r>
    </w:p>
    <w:p>
      <w:pPr>
        <w:pStyle w:val="Heading5"/>
        <w:rPr>
          <w:snapToGrid w:val="0"/>
        </w:rPr>
      </w:pPr>
      <w:bookmarkStart w:id="38" w:name="_Toc113079863"/>
      <w:bookmarkStart w:id="39" w:name="_Toc194986566"/>
      <w:r>
        <w:rPr>
          <w:rStyle w:val="CharSectno"/>
        </w:rPr>
        <w:t>6</w:t>
      </w:r>
      <w:r>
        <w:rPr>
          <w:snapToGrid w:val="0"/>
        </w:rPr>
        <w:t>.</w:t>
      </w:r>
      <w:r>
        <w:rPr>
          <w:snapToGrid w:val="0"/>
        </w:rPr>
        <w:tab/>
        <w:t>Definitions</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action</w:t>
      </w:r>
      <w:r>
        <w:rPr>
          <w:b/>
        </w:rPr>
        <w:t>”</w:t>
      </w:r>
      <w:r>
        <w:t xml:space="preserve"> means a civil proceeding commenced by writ or in such other manner as is prescribed by rules of court and includes suit but does not include any criminal proceeding;</w:t>
      </w:r>
    </w:p>
    <w:p>
      <w:pPr>
        <w:pStyle w:val="Defstart"/>
      </w:pPr>
      <w:r>
        <w:rPr>
          <w:b/>
        </w:rPr>
        <w:tab/>
        <w:t>“</w:t>
      </w:r>
      <w:r>
        <w:rPr>
          <w:rStyle w:val="CharDefText"/>
        </w:rPr>
        <w:t>auxiliary District Court judge</w:t>
      </w:r>
      <w:r>
        <w:rPr>
          <w:b/>
        </w:rPr>
        <w:t>”</w:t>
      </w:r>
      <w:r>
        <w:t xml:space="preserve"> means an auxiliary District Court judge appointed under section 18A(1);</w:t>
      </w:r>
    </w:p>
    <w:p>
      <w:pPr>
        <w:pStyle w:val="Defstart"/>
      </w:pPr>
      <w:r>
        <w:rPr>
          <w:b/>
        </w:rPr>
        <w:tab/>
        <w:t>“</w:t>
      </w:r>
      <w:r>
        <w:rPr>
          <w:rStyle w:val="CharDefText"/>
        </w:rPr>
        <w:t>cause</w:t>
      </w:r>
      <w:r>
        <w:rPr>
          <w:b/>
        </w:rPr>
        <w:t>”</w:t>
      </w:r>
      <w:r>
        <w:t xml:space="preserve"> includes any action, suit or other original proceeding between a plaintiff and a defendant and any criminal proceeding;</w:t>
      </w:r>
    </w:p>
    <w:p>
      <w:pPr>
        <w:pStyle w:val="Defstart"/>
      </w:pPr>
      <w:r>
        <w:rPr>
          <w:b/>
        </w:rPr>
        <w:tab/>
        <w:t>“</w:t>
      </w:r>
      <w:r>
        <w:rPr>
          <w:rStyle w:val="CharDefText"/>
        </w:rPr>
        <w:t>defendant</w:t>
      </w:r>
      <w:r>
        <w:rPr>
          <w:b/>
        </w:rPr>
        <w:t>”</w:t>
      </w:r>
      <w:r>
        <w:t xml:space="preserve"> includes every person served with any writ of summons or process, or served with notice of, or entitled to attend, a civil proceeding;</w:t>
      </w:r>
    </w:p>
    <w:p>
      <w:pPr>
        <w:pStyle w:val="Defstart"/>
      </w:pPr>
      <w:r>
        <w:rPr>
          <w:b/>
        </w:rPr>
        <w:tab/>
        <w:t>“</w:t>
      </w:r>
      <w:r>
        <w:rPr>
          <w:rStyle w:val="CharDefText"/>
        </w:rPr>
        <w:t>District Court judge</w:t>
      </w:r>
      <w:r>
        <w:rPr>
          <w:b/>
        </w:rPr>
        <w:t>”</w:t>
      </w:r>
      <w:r>
        <w:t xml:space="preserve"> means a judge of the Court, acting judge of the Court or auxiliary District Court judge;</w:t>
      </w:r>
    </w:p>
    <w:p>
      <w:pPr>
        <w:pStyle w:val="Defstart"/>
      </w:pPr>
      <w:r>
        <w:rPr>
          <w:b/>
        </w:rPr>
        <w:tab/>
        <w:t>“</w:t>
      </w:r>
      <w:r>
        <w:rPr>
          <w:rStyle w:val="CharDefText"/>
        </w:rPr>
        <w:t>judgment</w:t>
      </w:r>
      <w:r>
        <w:rPr>
          <w:b/>
        </w:rPr>
        <w:t>”</w:t>
      </w:r>
      <w:r>
        <w:t xml:space="preserve"> includes a judgment, order or other decision or determination of the Court or a District Court judge;</w:t>
      </w:r>
    </w:p>
    <w:p>
      <w:pPr>
        <w:pStyle w:val="Defstart"/>
      </w:pPr>
      <w:r>
        <w:rPr>
          <w:b/>
        </w:rPr>
        <w:tab/>
        <w:t>“</w:t>
      </w:r>
      <w:r>
        <w:rPr>
          <w:rStyle w:val="CharDefText"/>
        </w:rPr>
        <w:t>jurisdiction</w:t>
      </w:r>
      <w:r>
        <w:rPr>
          <w:b/>
        </w:rPr>
        <w:t>”</w:t>
      </w:r>
      <w:r>
        <w:t xml:space="preserve"> includes all powers and authorities incidental to the exercise of jurisdiction;</w:t>
      </w:r>
    </w:p>
    <w:p>
      <w:pPr>
        <w:pStyle w:val="Defstart"/>
      </w:pPr>
      <w:r>
        <w:rPr>
          <w:b/>
        </w:rPr>
        <w:tab/>
        <w:t>“</w:t>
      </w:r>
      <w:r>
        <w:rPr>
          <w:rStyle w:val="CharDefText"/>
        </w:rPr>
        <w:t>jurisdictional limit</w:t>
      </w:r>
      <w:r>
        <w:rPr>
          <w:b/>
        </w:rPr>
        <w:t>”</w:t>
      </w:r>
      <w:r>
        <w:t xml:space="preserve"> means $500 000 and, on and after 1 January 2009, means $750 000;</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matter</w:t>
      </w:r>
      <w:r>
        <w:rPr>
          <w:b/>
        </w:rPr>
        <w:t>”</w:t>
      </w:r>
      <w:r>
        <w:t xml:space="preserve"> means a proceeding in the Court that is commenced otherwise than by writ;</w:t>
      </w:r>
    </w:p>
    <w:p>
      <w:pPr>
        <w:pStyle w:val="Defstart"/>
      </w:pPr>
      <w:r>
        <w:rPr>
          <w:b/>
        </w:rPr>
        <w:tab/>
        <w:t>“</w:t>
      </w:r>
      <w:r>
        <w:rPr>
          <w:rStyle w:val="CharDefText"/>
        </w:rPr>
        <w:t>party</w:t>
      </w:r>
      <w:r>
        <w:rPr>
          <w:b/>
        </w:rPr>
        <w:t>”</w:t>
      </w:r>
      <w:r>
        <w:t xml:space="preserve"> includes a person served with notice of, or attending a proceeding, although not named in the record;</w:t>
      </w:r>
    </w:p>
    <w:p>
      <w:pPr>
        <w:pStyle w:val="Defstart"/>
      </w:pPr>
      <w:r>
        <w:rPr>
          <w:b/>
        </w:rPr>
        <w:tab/>
        <w:t>“</w:t>
      </w:r>
      <w:r>
        <w:rPr>
          <w:rStyle w:val="CharDefText"/>
        </w:rPr>
        <w:t>plaintiff</w:t>
      </w:r>
      <w:r>
        <w:rPr>
          <w:b/>
        </w:rPr>
        <w:t>”</w:t>
      </w:r>
      <w:r>
        <w:t xml:space="preserve"> includes every person asking any relief (otherwise than by way of counterclaim as a defendant) against any other person by any form of proceeding;</w:t>
      </w:r>
    </w:p>
    <w:p>
      <w:pPr>
        <w:pStyle w:val="Defstart"/>
      </w:pPr>
      <w:r>
        <w:rPr>
          <w:b/>
        </w:rPr>
        <w:tab/>
        <w:t>“</w:t>
      </w:r>
      <w:r>
        <w:rPr>
          <w:rStyle w:val="CharDefText"/>
        </w:rPr>
        <w:t>practice and procedure</w:t>
      </w:r>
      <w:r>
        <w:rPr>
          <w:b/>
        </w:rPr>
        <w:t>”</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pPr>
        <w:pStyle w:val="Defstart"/>
      </w:pPr>
      <w:r>
        <w:rPr>
          <w:b/>
        </w:rPr>
        <w:tab/>
        <w:t>“</w:t>
      </w:r>
      <w:r>
        <w:rPr>
          <w:rStyle w:val="CharDefText"/>
        </w:rPr>
        <w:t>registrar</w:t>
      </w:r>
      <w:r>
        <w:rPr>
          <w:b/>
        </w:rPr>
        <w:t>”</w:t>
      </w:r>
      <w:r>
        <w:t xml:space="preserve"> means the Principal Registrar, a registrar, or a deputy registrar, appointed under section 25;</w:t>
      </w:r>
    </w:p>
    <w:p>
      <w:pPr>
        <w:pStyle w:val="Defstart"/>
      </w:pPr>
      <w:r>
        <w:rPr>
          <w:b/>
        </w:rPr>
        <w:tab/>
        <w:t>“</w:t>
      </w:r>
      <w:r>
        <w:rPr>
          <w:rStyle w:val="CharDefText"/>
        </w:rPr>
        <w:t>section</w:t>
      </w:r>
      <w:r>
        <w:rPr>
          <w:b/>
        </w:rPr>
        <w:t>”</w:t>
      </w:r>
      <w:r>
        <w:t xml:space="preserve"> means a section of this Act;</w:t>
      </w:r>
    </w:p>
    <w:p>
      <w:pPr>
        <w:pStyle w:val="Defstart"/>
        <w:rPr>
          <w:b/>
        </w:rPr>
      </w:pPr>
      <w:r>
        <w:rPr>
          <w:b/>
        </w:rPr>
        <w:tab/>
        <w:t>“</w:t>
      </w:r>
      <w:r>
        <w:rPr>
          <w:rStyle w:val="CharDefText"/>
        </w:rPr>
        <w:t>sheriff</w:t>
      </w:r>
      <w:r>
        <w:rPr>
          <w:b/>
        </w:rPr>
        <w:t>”</w:t>
      </w:r>
      <w:r>
        <w:t xml:space="preserve"> means the Sheriff of Western Australia and any deputy sheriff appointed by the Sheriff of Western Australia;</w:t>
      </w:r>
    </w:p>
    <w:p>
      <w:pPr>
        <w:pStyle w:val="Defstart"/>
      </w:pPr>
      <w:r>
        <w:rPr>
          <w:b/>
        </w:rPr>
        <w:tab/>
        <w:t>“</w:t>
      </w:r>
      <w:r>
        <w:rPr>
          <w:rStyle w:val="CharDefText"/>
        </w:rPr>
        <w:t>the Chief Judge</w:t>
      </w:r>
      <w:r>
        <w:rPr>
          <w:b/>
        </w:rPr>
        <w:t>”</w:t>
      </w:r>
      <w:r>
        <w:t xml:space="preserve"> means the District Court judge appointed the Chief Judge and includes a District Court judge appointed to Act in the office of Chief Judge under section 18(2a);</w:t>
      </w:r>
    </w:p>
    <w:p>
      <w:pPr>
        <w:pStyle w:val="Defstart"/>
      </w:pPr>
      <w:r>
        <w:rPr>
          <w:b/>
        </w:rPr>
        <w:tab/>
        <w:t>“</w:t>
      </w:r>
      <w:r>
        <w:rPr>
          <w:rStyle w:val="CharDefText"/>
        </w:rPr>
        <w:t>the Court</w:t>
      </w:r>
      <w:r>
        <w:rPr>
          <w:b/>
        </w:rPr>
        <w:t>”</w:t>
      </w:r>
      <w:r>
        <w:t xml:space="preserve"> means The District Court of Western Australia established under this Act.</w:t>
      </w:r>
    </w:p>
    <w:p>
      <w:pPr>
        <w:pStyle w:val="Subsection"/>
      </w:pPr>
      <w:r>
        <w:tab/>
        <w:t>(2)</w:t>
      </w:r>
      <w:r>
        <w:tab/>
        <w:t xml:space="preserve">For the purposes of this Act, </w:t>
      </w:r>
      <w:r>
        <w:rPr>
          <w:b/>
        </w:rPr>
        <w:t>“</w:t>
      </w:r>
      <w:r>
        <w:rPr>
          <w:rStyle w:val="CharDefText"/>
        </w:rPr>
        <w:t>legal experience</w:t>
      </w:r>
      <w:r>
        <w:rPr>
          <w:b/>
        </w:rPr>
        <w:t>”</w:t>
      </w:r>
      <w:r>
        <w:t xml:space="preserve"> is — </w:t>
      </w:r>
    </w:p>
    <w:p>
      <w:pPr>
        <w:pStyle w:val="Indenta"/>
      </w:pPr>
      <w:r>
        <w:tab/>
        <w:t>(a)</w:t>
      </w:r>
      <w:r>
        <w:tab/>
        <w:t>standing and practice in the State as a legal practitioner;</w:t>
      </w:r>
    </w:p>
    <w:p>
      <w:pPr>
        <w:pStyle w:val="Indenta"/>
      </w:pPr>
      <w:r>
        <w:tab/>
        <w:t>(b)</w:t>
      </w:r>
      <w:r>
        <w:tab/>
        <w:t>standing and practice in another State or a Territory as a barrister or solicitor of the Supreme Court of that State or Territory;</w:t>
      </w:r>
    </w:p>
    <w:p>
      <w:pPr>
        <w:pStyle w:val="Indenta"/>
      </w:pPr>
      <w:r>
        <w:tab/>
        <w:t>(c)</w:t>
      </w:r>
      <w:r>
        <w:tab/>
        <w:t>judicial service (including service as a judge of a court, a magistrate or other judicial officer) in the State or elsewhere in a common law jurisdiction; or</w:t>
      </w:r>
    </w:p>
    <w:p>
      <w:pPr>
        <w:pStyle w:val="Indenta"/>
        <w:keepNext/>
        <w:keepLines/>
      </w:pPr>
      <w:r>
        <w:tab/>
        <w:t>(d)</w:t>
      </w:r>
      <w:r>
        <w:tab/>
        <w:t>a combination of 2 or more kinds of legal experience defined in this subsection.</w:t>
      </w:r>
    </w:p>
    <w:p>
      <w:pPr>
        <w:pStyle w:val="Footnotesection"/>
      </w:pPr>
      <w:r>
        <w:tab/>
        <w:t xml:space="preserve">[Section 6 amended by No. 7 of 1982 s. 8; No. 122 of 1984 s. 6; No. 53 of 1992 s. 9(3); No. 23 of 1997 s. 4; No. 57 of 1997 s. 48(1); No. 65 of 2003 s. 32(2), 111(2), (3), 125(2); No. 59 of 2004 s. 82(1) and 85.] </w:t>
      </w:r>
    </w:p>
    <w:p>
      <w:pPr>
        <w:pStyle w:val="Heading2"/>
      </w:pPr>
      <w:bookmarkStart w:id="40" w:name="_Toc88026355"/>
      <w:bookmarkStart w:id="41" w:name="_Toc89515469"/>
      <w:bookmarkStart w:id="42" w:name="_Toc90176306"/>
      <w:bookmarkStart w:id="43" w:name="_Toc94947223"/>
      <w:bookmarkStart w:id="44" w:name="_Toc101669789"/>
      <w:bookmarkStart w:id="45" w:name="_Toc102719613"/>
      <w:bookmarkStart w:id="46" w:name="_Toc107824154"/>
      <w:bookmarkStart w:id="47" w:name="_Toc107887225"/>
      <w:bookmarkStart w:id="48" w:name="_Toc108435003"/>
      <w:bookmarkStart w:id="49" w:name="_Toc108518450"/>
      <w:bookmarkStart w:id="50" w:name="_Toc111880804"/>
      <w:bookmarkStart w:id="51" w:name="_Toc112035599"/>
      <w:bookmarkStart w:id="52" w:name="_Toc113079864"/>
      <w:bookmarkStart w:id="53" w:name="_Toc113079989"/>
      <w:bookmarkStart w:id="54" w:name="_Toc114285757"/>
      <w:bookmarkStart w:id="55" w:name="_Toc119915928"/>
      <w:bookmarkStart w:id="56" w:name="_Toc121551115"/>
      <w:bookmarkStart w:id="57" w:name="_Toc194986567"/>
      <w:r>
        <w:rPr>
          <w:rStyle w:val="CharPartNo"/>
        </w:rPr>
        <w:t>Part II</w:t>
      </w:r>
      <w:r>
        <w:t> — </w:t>
      </w:r>
      <w:r>
        <w:rPr>
          <w:rStyle w:val="CharPartText"/>
        </w:rPr>
        <w:t>The Court</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3"/>
      </w:pPr>
      <w:bookmarkStart w:id="58" w:name="_Toc88026356"/>
      <w:bookmarkStart w:id="59" w:name="_Toc89515470"/>
      <w:bookmarkStart w:id="60" w:name="_Toc90176307"/>
      <w:bookmarkStart w:id="61" w:name="_Toc94947224"/>
      <w:bookmarkStart w:id="62" w:name="_Toc101669790"/>
      <w:bookmarkStart w:id="63" w:name="_Toc102719614"/>
      <w:bookmarkStart w:id="64" w:name="_Toc107824155"/>
      <w:bookmarkStart w:id="65" w:name="_Toc107887226"/>
      <w:bookmarkStart w:id="66" w:name="_Toc108435004"/>
      <w:bookmarkStart w:id="67" w:name="_Toc108518451"/>
      <w:bookmarkStart w:id="68" w:name="_Toc111880805"/>
      <w:bookmarkStart w:id="69" w:name="_Toc112035600"/>
      <w:bookmarkStart w:id="70" w:name="_Toc113079865"/>
      <w:bookmarkStart w:id="71" w:name="_Toc113079990"/>
      <w:bookmarkStart w:id="72" w:name="_Toc114285758"/>
      <w:bookmarkStart w:id="73" w:name="_Toc119915929"/>
      <w:bookmarkStart w:id="74" w:name="_Toc121551116"/>
      <w:bookmarkStart w:id="75" w:name="_Toc194986568"/>
      <w:r>
        <w:rPr>
          <w:rStyle w:val="CharDivNo"/>
        </w:rPr>
        <w:t>Division 1</w:t>
      </w:r>
      <w:r>
        <w:t> — </w:t>
      </w:r>
      <w:r>
        <w:rPr>
          <w:rStyle w:val="CharDivText"/>
        </w:rPr>
        <w:t>Establishment of The District Court of Western Australia</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DivText"/>
        </w:rPr>
        <w:t xml:space="preserve"> </w:t>
      </w:r>
    </w:p>
    <w:p>
      <w:pPr>
        <w:pStyle w:val="Heading5"/>
      </w:pPr>
      <w:bookmarkStart w:id="76" w:name="_Toc487616503"/>
      <w:bookmarkStart w:id="77" w:name="_Toc504897697"/>
      <w:bookmarkStart w:id="78" w:name="_Toc514029059"/>
      <w:bookmarkStart w:id="79" w:name="_Toc113079866"/>
      <w:bookmarkStart w:id="80" w:name="_Toc194986569"/>
      <w:r>
        <w:rPr>
          <w:rStyle w:val="CharSectno"/>
        </w:rPr>
        <w:t>7</w:t>
      </w:r>
      <w:r>
        <w:t xml:space="preserve">. </w:t>
      </w:r>
      <w:r>
        <w:tab/>
        <w:t>Establishment of the Court</w:t>
      </w:r>
      <w:bookmarkEnd w:id="76"/>
      <w:bookmarkEnd w:id="77"/>
      <w:bookmarkEnd w:id="78"/>
      <w:bookmarkEnd w:id="79"/>
      <w:bookmarkEnd w:id="80"/>
    </w:p>
    <w:p>
      <w:pPr>
        <w:pStyle w:val="Subsection"/>
      </w:pPr>
      <w:r>
        <w:tab/>
        <w:t>(1)</w:t>
      </w:r>
      <w:r>
        <w:tab/>
        <w:t>There shall be in and for the State a Court to be known as The District Court of Western Australia.</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81" w:name="_Toc487616504"/>
      <w:bookmarkStart w:id="82" w:name="_Toc504897698"/>
      <w:bookmarkStart w:id="83" w:name="_Toc514029060"/>
      <w:bookmarkStart w:id="84" w:name="_Toc113079867"/>
      <w:bookmarkStart w:id="85" w:name="_Toc194986570"/>
      <w:r>
        <w:rPr>
          <w:rStyle w:val="CharSectno"/>
        </w:rPr>
        <w:t>8</w:t>
      </w:r>
      <w:r>
        <w:rPr>
          <w:snapToGrid w:val="0"/>
        </w:rPr>
        <w:t>.</w:t>
      </w:r>
      <w:r>
        <w:rPr>
          <w:snapToGrid w:val="0"/>
        </w:rPr>
        <w:tab/>
        <w:t>Court to be a court of record, constitution</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Court — </w:t>
      </w:r>
    </w:p>
    <w:p>
      <w:pPr>
        <w:pStyle w:val="Indenta"/>
        <w:rPr>
          <w:snapToGrid w:val="0"/>
        </w:rPr>
      </w:pPr>
      <w:r>
        <w:rPr>
          <w:snapToGrid w:val="0"/>
        </w:rPr>
        <w:tab/>
        <w:t>(a)</w:t>
      </w:r>
      <w:r>
        <w:rPr>
          <w:snapToGrid w:val="0"/>
        </w:rPr>
        <w:tab/>
        <w:t>is a court of record;</w:t>
      </w:r>
    </w:p>
    <w:p>
      <w:pPr>
        <w:pStyle w:val="Indenta"/>
        <w:rPr>
          <w:snapToGrid w:val="0"/>
        </w:rPr>
      </w:pPr>
      <w:r>
        <w:rPr>
          <w:snapToGrid w:val="0"/>
        </w:rPr>
        <w:tab/>
        <w:t>(b)</w:t>
      </w:r>
      <w:r>
        <w:rPr>
          <w:snapToGrid w:val="0"/>
        </w:rPr>
        <w:tab/>
        <w:t>shall be constituted by a District Court judge as provided in this Act; and</w:t>
      </w:r>
    </w:p>
    <w:p>
      <w:pPr>
        <w:pStyle w:val="Indenta"/>
        <w:rPr>
          <w:snapToGrid w:val="0"/>
        </w:rPr>
      </w:pPr>
      <w:r>
        <w:rPr>
          <w:snapToGrid w:val="0"/>
        </w:rPr>
        <w:tab/>
        <w:t>(c)</w:t>
      </w:r>
      <w:r>
        <w:rPr>
          <w:snapToGrid w:val="0"/>
        </w:rPr>
        <w:tab/>
        <w:t>has the criminal and civil jurisdiction conferred on it by this Act.</w:t>
      </w:r>
    </w:p>
    <w:p>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pPr>
        <w:pStyle w:val="Heading5"/>
        <w:rPr>
          <w:snapToGrid w:val="0"/>
        </w:rPr>
      </w:pPr>
      <w:bookmarkStart w:id="86" w:name="_Toc487616505"/>
      <w:bookmarkStart w:id="87" w:name="_Toc504897699"/>
      <w:bookmarkStart w:id="88" w:name="_Toc514029061"/>
      <w:bookmarkStart w:id="89" w:name="_Toc113079868"/>
      <w:bookmarkStart w:id="90" w:name="_Toc194986571"/>
      <w:r>
        <w:rPr>
          <w:rStyle w:val="CharSectno"/>
        </w:rPr>
        <w:t>9</w:t>
      </w:r>
      <w:r>
        <w:rPr>
          <w:snapToGrid w:val="0"/>
        </w:rPr>
        <w:t>.</w:t>
      </w:r>
      <w:r>
        <w:rPr>
          <w:snapToGrid w:val="0"/>
        </w:rPr>
        <w:tab/>
        <w:t>Seal of the Court</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There shall be a seal of the Court at each place at which the Court is held under this Act.</w:t>
      </w:r>
    </w:p>
    <w:p>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pPr>
        <w:pStyle w:val="Heading3"/>
        <w:rPr>
          <w:snapToGrid w:val="0"/>
        </w:rPr>
      </w:pPr>
      <w:bookmarkStart w:id="91" w:name="_Toc88026360"/>
      <w:bookmarkStart w:id="92" w:name="_Toc89515474"/>
      <w:bookmarkStart w:id="93" w:name="_Toc90176311"/>
      <w:bookmarkStart w:id="94" w:name="_Toc94947228"/>
      <w:bookmarkStart w:id="95" w:name="_Toc101669794"/>
      <w:bookmarkStart w:id="96" w:name="_Toc102719618"/>
      <w:bookmarkStart w:id="97" w:name="_Toc107824159"/>
      <w:bookmarkStart w:id="98" w:name="_Toc107887230"/>
      <w:bookmarkStart w:id="99" w:name="_Toc108435008"/>
      <w:bookmarkStart w:id="100" w:name="_Toc108518455"/>
      <w:bookmarkStart w:id="101" w:name="_Toc111880809"/>
      <w:bookmarkStart w:id="102" w:name="_Toc112035604"/>
      <w:bookmarkStart w:id="103" w:name="_Toc113079869"/>
      <w:bookmarkStart w:id="104" w:name="_Toc113079994"/>
      <w:bookmarkStart w:id="105" w:name="_Toc114285762"/>
      <w:bookmarkStart w:id="106" w:name="_Toc119915933"/>
      <w:bookmarkStart w:id="107" w:name="_Toc121551120"/>
      <w:bookmarkStart w:id="108" w:name="_Toc194986572"/>
      <w:r>
        <w:rPr>
          <w:rStyle w:val="CharDivNo"/>
        </w:rPr>
        <w:t>Division 2</w:t>
      </w:r>
      <w:r>
        <w:rPr>
          <w:snapToGrid w:val="0"/>
        </w:rPr>
        <w:t> — </w:t>
      </w:r>
      <w:r>
        <w:rPr>
          <w:rStyle w:val="CharDivText"/>
        </w:rPr>
        <w:t>District Court judges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DivText"/>
        </w:rPr>
        <w:t xml:space="preserve"> </w:t>
      </w:r>
    </w:p>
    <w:p>
      <w:pPr>
        <w:pStyle w:val="Heading5"/>
        <w:spacing w:before="120"/>
        <w:rPr>
          <w:snapToGrid w:val="0"/>
        </w:rPr>
      </w:pPr>
      <w:bookmarkStart w:id="109" w:name="_Toc487616506"/>
      <w:bookmarkStart w:id="110" w:name="_Toc504897700"/>
      <w:bookmarkStart w:id="111" w:name="_Toc514029062"/>
      <w:bookmarkStart w:id="112" w:name="_Toc113079870"/>
      <w:bookmarkStart w:id="113" w:name="_Toc194986573"/>
      <w:r>
        <w:rPr>
          <w:rStyle w:val="CharSectno"/>
        </w:rPr>
        <w:t>10</w:t>
      </w:r>
      <w:r>
        <w:rPr>
          <w:snapToGrid w:val="0"/>
        </w:rPr>
        <w:t>.</w:t>
      </w:r>
      <w:r>
        <w:rPr>
          <w:snapToGrid w:val="0"/>
        </w:rPr>
        <w:tab/>
        <w:t>Appointment, qualifications and seniority</w:t>
      </w:r>
      <w:bookmarkEnd w:id="109"/>
      <w:bookmarkEnd w:id="110"/>
      <w:bookmarkEnd w:id="111"/>
      <w:bookmarkEnd w:id="112"/>
      <w:bookmarkEnd w:id="113"/>
      <w:r>
        <w:rPr>
          <w:snapToGrid w:val="0"/>
        </w:rPr>
        <w:t xml:space="preserve"> </w:t>
      </w:r>
    </w:p>
    <w:p>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pPr>
        <w:pStyle w:val="Subsection"/>
        <w:spacing w:before="120"/>
      </w:pPr>
      <w:r>
        <w:tab/>
        <w:t>(2)</w:t>
      </w:r>
      <w:r>
        <w:tab/>
        <w:t xml:space="preserve">A person is eligible for appointment as a District Court judge if that person —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pPr>
        <w:pStyle w:val="Ednotesubsection"/>
        <w:spacing w:before="120"/>
      </w:pPr>
      <w:r>
        <w:tab/>
        <w:t>[(4a)</w:t>
      </w:r>
      <w:r>
        <w:tab/>
        <w:t>Omitted under the Reprints Act 1984 s. 7(4)(e).]</w:t>
      </w:r>
    </w:p>
    <w:p>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pPr>
        <w:pStyle w:val="Footnotesection"/>
      </w:pPr>
      <w:r>
        <w:tab/>
        <w:t xml:space="preserve">[Section 10 amended by No. 112 of 1978 s. 6; No. 122 of 1984 s. 7; No. 57 of 1997 s. 48(2); No. 65 of 2003 s. 111(4) and 125(3).] </w:t>
      </w:r>
    </w:p>
    <w:p>
      <w:pPr>
        <w:pStyle w:val="Heading5"/>
        <w:spacing w:before="120"/>
        <w:rPr>
          <w:snapToGrid w:val="0"/>
        </w:rPr>
      </w:pPr>
      <w:bookmarkStart w:id="114" w:name="_Toc487616507"/>
      <w:bookmarkStart w:id="115" w:name="_Toc504897701"/>
      <w:bookmarkStart w:id="116" w:name="_Toc514029063"/>
      <w:bookmarkStart w:id="117" w:name="_Toc113079871"/>
      <w:bookmarkStart w:id="118" w:name="_Toc194986574"/>
      <w:r>
        <w:rPr>
          <w:rStyle w:val="CharSectno"/>
        </w:rPr>
        <w:t>11</w:t>
      </w:r>
      <w:r>
        <w:rPr>
          <w:snapToGrid w:val="0"/>
        </w:rPr>
        <w:t>.</w:t>
      </w:r>
      <w:r>
        <w:rPr>
          <w:snapToGrid w:val="0"/>
        </w:rPr>
        <w:tab/>
        <w:t>Tenure of office and oath of office</w:t>
      </w:r>
      <w:bookmarkEnd w:id="114"/>
      <w:bookmarkEnd w:id="115"/>
      <w:bookmarkEnd w:id="116"/>
      <w:bookmarkEnd w:id="117"/>
      <w:bookmarkEnd w:id="118"/>
      <w:r>
        <w:rPr>
          <w:snapToGrid w:val="0"/>
        </w:rPr>
        <w:t xml:space="preserve"> </w:t>
      </w:r>
    </w:p>
    <w:p>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pPr>
        <w:pStyle w:val="Subsection"/>
        <w:rPr>
          <w:snapToGrid w:val="0"/>
        </w:rPr>
      </w:pPr>
      <w:r>
        <w:rPr>
          <w:snapToGrid w:val="0"/>
        </w:rPr>
        <w:tab/>
        <w:t>(2)</w:t>
      </w:r>
      <w:r>
        <w:rPr>
          <w:snapToGrid w:val="0"/>
        </w:rPr>
        <w:tab/>
        <w:t>Each person appointed to be a District Court judge, acting District Court judge or auxiliary District Court judge shall, before proceeding to discharge the duties of his office, take before the Governor the oath or affirmation of allegiance and an oath or affirmation in accordance with the form set forth in Schedule 1.</w:t>
      </w:r>
    </w:p>
    <w:p>
      <w:pPr>
        <w:pStyle w:val="Footnotesection"/>
      </w:pPr>
      <w:r>
        <w:tab/>
        <w:t xml:space="preserve">[Section 11 amended by No. 7 of 1982 s. 9; No. 23 of 1997 s. 5; No. 65 of 2003 s. 125(4).] </w:t>
      </w:r>
    </w:p>
    <w:p>
      <w:pPr>
        <w:pStyle w:val="Heading5"/>
        <w:rPr>
          <w:snapToGrid w:val="0"/>
        </w:rPr>
      </w:pPr>
      <w:bookmarkStart w:id="119" w:name="_Toc487616508"/>
      <w:bookmarkStart w:id="120" w:name="_Toc504897702"/>
      <w:bookmarkStart w:id="121" w:name="_Toc514029064"/>
      <w:bookmarkStart w:id="122" w:name="_Toc113079872"/>
      <w:bookmarkStart w:id="123" w:name="_Toc194986575"/>
      <w:r>
        <w:rPr>
          <w:rStyle w:val="CharSectno"/>
        </w:rPr>
        <w:t>12</w:t>
      </w:r>
      <w:r>
        <w:rPr>
          <w:snapToGrid w:val="0"/>
        </w:rPr>
        <w:t>.</w:t>
      </w:r>
      <w:r>
        <w:rPr>
          <w:snapToGrid w:val="0"/>
        </w:rPr>
        <w:tab/>
        <w:t>Salaries and allowances</w:t>
      </w:r>
      <w:bookmarkEnd w:id="119"/>
      <w:bookmarkEnd w:id="120"/>
      <w:bookmarkEnd w:id="121"/>
      <w:bookmarkEnd w:id="122"/>
      <w:bookmarkEnd w:id="123"/>
      <w:r>
        <w:rPr>
          <w:snapToGrid w:val="0"/>
        </w:rPr>
        <w:t xml:space="preserve"> </w:t>
      </w:r>
    </w:p>
    <w:p>
      <w:pPr>
        <w:pStyle w:val="Subsection"/>
        <w:spacing w:before="120"/>
        <w:rPr>
          <w:snapToGrid w:val="0"/>
        </w:rPr>
      </w:pPr>
      <w:r>
        <w:rPr>
          <w:snapToGrid w:val="0"/>
        </w:rPr>
        <w:tab/>
        <w:t>(1)</w:t>
      </w:r>
      <w:r>
        <w:rPr>
          <w:snapToGrid w:val="0"/>
        </w:rPr>
        <w:tab/>
        <w:t>Subject to subsections (3) and (3a), there shall be paid to the District Court judges out of the Consolidated Fund, without further appropriation than this Act, salaries at the following rates — </w:t>
      </w:r>
    </w:p>
    <w:p>
      <w:pPr>
        <w:pStyle w:val="Indenta"/>
        <w:rPr>
          <w:snapToGrid w:val="0"/>
        </w:rPr>
      </w:pPr>
      <w:r>
        <w:rPr>
          <w:snapToGrid w:val="0"/>
        </w:rPr>
        <w:tab/>
        <w:t>(a)</w:t>
      </w:r>
      <w:r>
        <w:rPr>
          <w:snapToGrid w:val="0"/>
        </w:rPr>
        <w:tab/>
        <w:t>to the Chief Judge at the rate of $31 320 a year;</w:t>
      </w:r>
    </w:p>
    <w:p>
      <w:pPr>
        <w:pStyle w:val="Indenta"/>
        <w:rPr>
          <w:snapToGrid w:val="0"/>
        </w:rPr>
      </w:pPr>
      <w:r>
        <w:rPr>
          <w:snapToGrid w:val="0"/>
        </w:rPr>
        <w:tab/>
        <w:t>(b)</w:t>
      </w:r>
      <w:r>
        <w:rPr>
          <w:snapToGrid w:val="0"/>
        </w:rPr>
        <w:tab/>
        <w:t>to each of the other District Court judges, at the rate of $29 150 a year,</w:t>
      </w:r>
    </w:p>
    <w:p>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pPr>
        <w:pStyle w:val="Subsection"/>
        <w:spacing w:before="120"/>
        <w:rPr>
          <w:snapToGrid w:val="0"/>
        </w:rPr>
      </w:pPr>
      <w:r>
        <w:rPr>
          <w:snapToGrid w:val="0"/>
        </w:rPr>
        <w:tab/>
        <w:t>(2)</w:t>
      </w:r>
      <w:r>
        <w:rPr>
          <w:snapToGrid w:val="0"/>
        </w:rPr>
        <w:tab/>
        <w:t>District Court judges are entitled to such travelling and other allowances or reimbursements as the Governor may, from time to time, approve.</w:t>
      </w:r>
    </w:p>
    <w:p>
      <w:pPr>
        <w:pStyle w:val="Subsection"/>
        <w:spacing w:before="120"/>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pPr>
        <w:pStyle w:val="Subsection"/>
        <w:spacing w:before="120"/>
        <w:rPr>
          <w:snapToGrid w:val="0"/>
        </w:rPr>
      </w:pPr>
      <w:r>
        <w:rPr>
          <w:snapToGrid w:val="0"/>
        </w:rPr>
        <w:tab/>
        <w:t>(3a)</w:t>
      </w:r>
      <w:r>
        <w:rPr>
          <w:snapToGrid w:val="0"/>
        </w:rPr>
        <w:tab/>
        <w:t>There shall be paid out of the Consolidated Fund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Commonwealth or of another State or a Territory, the difference between that pension and the salary payable under subsection (1)(b) to an auxiliary District Court judge, in lieu of the full amount of that salary.</w:t>
      </w:r>
    </w:p>
    <w:p>
      <w:pPr>
        <w:pStyle w:val="Subsection"/>
        <w:spacing w:before="120"/>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pPr>
        <w:pStyle w:val="Footnotesection"/>
      </w:pPr>
      <w:r>
        <w:tab/>
        <w:t xml:space="preserve">[Section 12 amended by No. 14 of 1970 s. 5; No. 100 of 1970 s. 2; No. 40 of 1972 s. 5; No. 91 of 1972 s. 6; No. 23 of 1974 s. 5; No. 45 of 1975 s. 6; No. 7 of 1982 s. 10; No. 122 of 1984 s. 13; No. 6 of 1993 s. 11; No. 23 of 1997 s. 6.] </w:t>
      </w:r>
    </w:p>
    <w:p>
      <w:pPr>
        <w:pStyle w:val="Heading5"/>
        <w:rPr>
          <w:snapToGrid w:val="0"/>
        </w:rPr>
      </w:pPr>
      <w:bookmarkStart w:id="124" w:name="_Toc487616509"/>
      <w:bookmarkStart w:id="125" w:name="_Toc504897703"/>
      <w:bookmarkStart w:id="126" w:name="_Toc514029065"/>
      <w:bookmarkStart w:id="127" w:name="_Toc113079873"/>
      <w:bookmarkStart w:id="128" w:name="_Toc194986576"/>
      <w:r>
        <w:rPr>
          <w:rStyle w:val="CharSectno"/>
        </w:rPr>
        <w:t>13</w:t>
      </w:r>
      <w:r>
        <w:rPr>
          <w:snapToGrid w:val="0"/>
        </w:rPr>
        <w:t>.</w:t>
      </w:r>
      <w:r>
        <w:rPr>
          <w:snapToGrid w:val="0"/>
        </w:rPr>
        <w:tab/>
        <w:t>Leave of absence</w:t>
      </w:r>
      <w:bookmarkEnd w:id="124"/>
      <w:bookmarkEnd w:id="125"/>
      <w:bookmarkEnd w:id="126"/>
      <w:bookmarkEnd w:id="127"/>
      <w:bookmarkEnd w:id="128"/>
    </w:p>
    <w:p>
      <w:pPr>
        <w:pStyle w:val="Subsection"/>
        <w:spacing w:before="120"/>
        <w:rPr>
          <w:snapToGrid w:val="0"/>
        </w:rPr>
      </w:pPr>
      <w:r>
        <w:rPr>
          <w:snapToGrid w:val="0"/>
        </w:rPr>
        <w:tab/>
      </w:r>
      <w:r>
        <w:rPr>
          <w:snapToGrid w:val="0"/>
        </w:rPr>
        <w:tab/>
        <w:t>A District Court judge is entitled to the same leave of absence as a judge of the Supreme Court.</w:t>
      </w:r>
    </w:p>
    <w:p>
      <w:pPr>
        <w:pStyle w:val="Heading5"/>
        <w:rPr>
          <w:snapToGrid w:val="0"/>
        </w:rPr>
      </w:pPr>
      <w:bookmarkStart w:id="129" w:name="_Toc487616510"/>
      <w:bookmarkStart w:id="130" w:name="_Toc504897704"/>
      <w:bookmarkStart w:id="131" w:name="_Toc514029066"/>
      <w:bookmarkStart w:id="132" w:name="_Toc113079874"/>
      <w:bookmarkStart w:id="133" w:name="_Toc194986577"/>
      <w:r>
        <w:rPr>
          <w:rStyle w:val="CharSectno"/>
        </w:rPr>
        <w:t>14</w:t>
      </w:r>
      <w:r>
        <w:rPr>
          <w:snapToGrid w:val="0"/>
        </w:rPr>
        <w:t>.</w:t>
      </w:r>
      <w:r>
        <w:rPr>
          <w:snapToGrid w:val="0"/>
        </w:rPr>
        <w:tab/>
        <w:t xml:space="preserve">Application of </w:t>
      </w:r>
      <w:r>
        <w:rPr>
          <w:i/>
          <w:snapToGrid w:val="0"/>
        </w:rPr>
        <w:t>Judges’ Salaries and Pensions Act 1950</w:t>
      </w:r>
      <w:bookmarkEnd w:id="129"/>
      <w:bookmarkEnd w:id="130"/>
      <w:bookmarkEnd w:id="131"/>
      <w:bookmarkEnd w:id="132"/>
      <w:bookmarkEnd w:id="133"/>
    </w:p>
    <w:p>
      <w:pPr>
        <w:pStyle w:val="Subsection"/>
        <w:spacing w:before="120"/>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pPr>
        <w:pStyle w:val="Ednotesubsection"/>
      </w:pPr>
      <w:r>
        <w:tab/>
        <w:t>[(2)</w:t>
      </w:r>
      <w:r>
        <w:tab/>
        <w:t>repealed]</w:t>
      </w:r>
    </w:p>
    <w:p>
      <w:pPr>
        <w:pStyle w:val="Footnotesection"/>
      </w:pPr>
      <w:r>
        <w:tab/>
        <w:t xml:space="preserve">[Section 14 amended by No. 82 of 1987 s. 8; No. 28 of 2003 s. 46.] </w:t>
      </w:r>
    </w:p>
    <w:p>
      <w:pPr>
        <w:pStyle w:val="Heading5"/>
        <w:rPr>
          <w:snapToGrid w:val="0"/>
        </w:rPr>
      </w:pPr>
      <w:bookmarkStart w:id="134" w:name="_Toc487616511"/>
      <w:bookmarkStart w:id="135" w:name="_Toc504897705"/>
      <w:bookmarkStart w:id="136" w:name="_Toc514029067"/>
      <w:bookmarkStart w:id="137" w:name="_Toc113079875"/>
      <w:bookmarkStart w:id="138" w:name="_Toc194986578"/>
      <w:r>
        <w:rPr>
          <w:rStyle w:val="CharSectno"/>
        </w:rPr>
        <w:t>15</w:t>
      </w:r>
      <w:r>
        <w:rPr>
          <w:snapToGrid w:val="0"/>
        </w:rPr>
        <w:t>.</w:t>
      </w:r>
      <w:r>
        <w:rPr>
          <w:snapToGrid w:val="0"/>
        </w:rPr>
        <w:tab/>
        <w:t xml:space="preserve">Application of </w:t>
      </w:r>
      <w:r>
        <w:rPr>
          <w:i/>
          <w:snapToGrid w:val="0"/>
        </w:rPr>
        <w:t>Superannuation and Family Benefits Act 1938</w:t>
      </w:r>
      <w:bookmarkEnd w:id="134"/>
      <w:bookmarkEnd w:id="135"/>
      <w:bookmarkEnd w:id="136"/>
      <w:bookmarkEnd w:id="137"/>
      <w:bookmarkEnd w:id="138"/>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2</w:t>
      </w:r>
      <w:r>
        <w:rPr>
          <w:snapToGrid w:val="0"/>
        </w:rPr>
        <w:t>, at the time he is appointed a District Court judge, he may continue to be such a contributor notwithstanding his appointment as a District Court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2</w:t>
      </w:r>
      <w:r>
        <w:rPr>
          <w:snapToGrid w:val="0"/>
        </w:rPr>
        <w:t>, that Act applies to the person; and if he ceases to be a contributor — </w:t>
      </w:r>
    </w:p>
    <w:p>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(b)</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pPr>
        <w:pStyle w:val="Footnotesection"/>
      </w:pPr>
      <w:r>
        <w:tab/>
        <w:t xml:space="preserve">[Section 15 amended by No. 100 of 1970 s. 3.] </w:t>
      </w:r>
    </w:p>
    <w:p>
      <w:pPr>
        <w:pStyle w:val="Heading5"/>
        <w:rPr>
          <w:snapToGrid w:val="0"/>
        </w:rPr>
      </w:pPr>
      <w:bookmarkStart w:id="139" w:name="_Toc487616512"/>
      <w:bookmarkStart w:id="140" w:name="_Toc504897706"/>
      <w:bookmarkStart w:id="141" w:name="_Toc514029068"/>
      <w:bookmarkStart w:id="142" w:name="_Toc113079876"/>
      <w:bookmarkStart w:id="143" w:name="_Toc194986579"/>
      <w:r>
        <w:rPr>
          <w:rStyle w:val="CharSectno"/>
        </w:rPr>
        <w:t>16</w:t>
      </w:r>
      <w:r>
        <w:rPr>
          <w:snapToGrid w:val="0"/>
        </w:rPr>
        <w:t>.</w:t>
      </w:r>
      <w:r>
        <w:rPr>
          <w:snapToGrid w:val="0"/>
        </w:rPr>
        <w:tab/>
        <w:t xml:space="preserve">Application of </w:t>
      </w:r>
      <w:r>
        <w:rPr>
          <w:i/>
          <w:snapToGrid w:val="0"/>
        </w:rPr>
        <w:t>Judges’ Retirement Act 1937</w:t>
      </w:r>
      <w:bookmarkEnd w:id="139"/>
      <w:bookmarkEnd w:id="140"/>
      <w:bookmarkEnd w:id="141"/>
      <w:bookmarkEnd w:id="142"/>
      <w:bookmarkEnd w:id="143"/>
    </w:p>
    <w:p>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pPr>
        <w:pStyle w:val="Heading5"/>
        <w:rPr>
          <w:snapToGrid w:val="0"/>
        </w:rPr>
      </w:pPr>
      <w:bookmarkStart w:id="144" w:name="_Toc487616513"/>
      <w:bookmarkStart w:id="145" w:name="_Toc504897707"/>
      <w:bookmarkStart w:id="146" w:name="_Toc514029069"/>
      <w:bookmarkStart w:id="147" w:name="_Toc113079877"/>
      <w:bookmarkStart w:id="148" w:name="_Toc194986580"/>
      <w:r>
        <w:rPr>
          <w:rStyle w:val="CharSectno"/>
        </w:rPr>
        <w:t>17</w:t>
      </w:r>
      <w:r>
        <w:rPr>
          <w:snapToGrid w:val="0"/>
        </w:rPr>
        <w:t>.</w:t>
      </w:r>
      <w:r>
        <w:rPr>
          <w:snapToGrid w:val="0"/>
        </w:rPr>
        <w:tab/>
        <w:t>Judge not to practise as legal practitioner</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pPr>
        <w:pStyle w:val="Ednotesubsection"/>
      </w:pPr>
      <w:r>
        <w:tab/>
        <w:t>[(2)</w:t>
      </w:r>
      <w:r>
        <w:tab/>
        <w:t>repealed]</w:t>
      </w:r>
    </w:p>
    <w:p>
      <w:pPr>
        <w:pStyle w:val="Footnotesection"/>
      </w:pPr>
      <w:r>
        <w:tab/>
        <w:t xml:space="preserve">[Section 17 amended by No. 14 of 1970 s. 6; No. 40 of 1972 s. 6; No. 65 of 2003 s. 32(3).] </w:t>
      </w:r>
    </w:p>
    <w:p>
      <w:pPr>
        <w:pStyle w:val="Heading5"/>
        <w:rPr>
          <w:snapToGrid w:val="0"/>
        </w:rPr>
      </w:pPr>
      <w:bookmarkStart w:id="149" w:name="_Toc487616514"/>
      <w:bookmarkStart w:id="150" w:name="_Toc504897708"/>
      <w:bookmarkStart w:id="151" w:name="_Toc514029070"/>
      <w:bookmarkStart w:id="152" w:name="_Toc113079878"/>
      <w:bookmarkStart w:id="153" w:name="_Toc194986581"/>
      <w:r>
        <w:rPr>
          <w:rStyle w:val="CharSectno"/>
        </w:rPr>
        <w:t>18</w:t>
      </w:r>
      <w:r>
        <w:rPr>
          <w:snapToGrid w:val="0"/>
        </w:rPr>
        <w:t>.</w:t>
      </w:r>
      <w:r>
        <w:rPr>
          <w:snapToGrid w:val="0"/>
        </w:rPr>
        <w:tab/>
        <w:t>Acting appointments</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pPr>
        <w:pStyle w:val="Subsection"/>
        <w:rPr>
          <w:snapToGrid w:val="0"/>
        </w:rPr>
      </w:pPr>
      <w:r>
        <w:rPr>
          <w:snapToGrid w:val="0"/>
        </w:rPr>
        <w:tab/>
        <w:t>(2b)</w:t>
      </w:r>
      <w:r>
        <w:rPr>
          <w:snapToGrid w:val="0"/>
        </w:rPr>
        <w:tab/>
        <w:t>The Governor may at any time revoke the appointment of a District Court judge to act as Chief Judge.</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w:t>
      </w:r>
    </w:p>
    <w:p>
      <w:pPr>
        <w:pStyle w:val="Indenta"/>
        <w:rPr>
          <w:snapToGrid w:val="0"/>
        </w:rPr>
      </w:pPr>
      <w:r>
        <w:rPr>
          <w:snapToGrid w:val="0"/>
        </w:rPr>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pPr>
        <w:pStyle w:val="Subsection"/>
        <w:rPr>
          <w:snapToGrid w:val="0"/>
        </w:rPr>
      </w:pPr>
      <w:r>
        <w:rPr>
          <w:snapToGrid w:val="0"/>
        </w:rPr>
        <w:tab/>
        <w:t>(4)</w:t>
      </w:r>
      <w:r>
        <w:rPr>
          <w:snapToGrid w:val="0"/>
        </w:rPr>
        <w:tab/>
        <w:t>A person appointed to be an acting District Court judge under subsection (3) —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pPr>
        <w:pStyle w:val="Footnotesection"/>
      </w:pPr>
      <w:r>
        <w:tab/>
        <w:t xml:space="preserve">[Section 18 amended by No. 7 of 1982 s. 11; No. 122 of 1984 s. 13; No. 23 of 1997 s. 7.] </w:t>
      </w:r>
    </w:p>
    <w:p>
      <w:pPr>
        <w:pStyle w:val="Heading5"/>
        <w:rPr>
          <w:snapToGrid w:val="0"/>
        </w:rPr>
      </w:pPr>
      <w:bookmarkStart w:id="154" w:name="_Toc487616515"/>
      <w:bookmarkStart w:id="155" w:name="_Toc504897709"/>
      <w:bookmarkStart w:id="156" w:name="_Toc514029071"/>
      <w:bookmarkStart w:id="157" w:name="_Toc113079879"/>
      <w:bookmarkStart w:id="158" w:name="_Toc194986582"/>
      <w:r>
        <w:rPr>
          <w:rStyle w:val="CharSectno"/>
        </w:rPr>
        <w:t>18A</w:t>
      </w:r>
      <w:r>
        <w:rPr>
          <w:snapToGrid w:val="0"/>
        </w:rPr>
        <w:t xml:space="preserve">. </w:t>
      </w:r>
      <w:r>
        <w:rPr>
          <w:snapToGrid w:val="0"/>
        </w:rPr>
        <w:tab/>
        <w:t>Auxiliary appointments</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pPr>
        <w:pStyle w:val="Indenta"/>
        <w:rPr>
          <w:snapToGrid w:val="0"/>
        </w:rPr>
      </w:pPr>
      <w:r>
        <w:rPr>
          <w:snapToGrid w:val="0"/>
        </w:rPr>
        <w:tab/>
        <w:t>(b)</w:t>
      </w:r>
      <w:r>
        <w:rPr>
          <w:snapToGrid w:val="0"/>
        </w:rPr>
        <w:tab/>
        <w:t>who is a retired judge of the Supreme Court or a retired District Court judge but has not yet attained that age,</w:t>
      </w:r>
    </w:p>
    <w:p>
      <w:pPr>
        <w:pStyle w:val="Subsection"/>
        <w:rPr>
          <w:snapToGrid w:val="0"/>
        </w:rPr>
      </w:pPr>
      <w:r>
        <w:rPr>
          <w:snapToGrid w:val="0"/>
        </w:rPr>
        <w:tab/>
      </w:r>
      <w:r>
        <w:rPr>
          <w:snapToGrid w:val="0"/>
        </w:rPr>
        <w:tab/>
        <w:t>to be an auxiliary District Court judge for such period not exceeding 12 months as is specified in that commission.</w:t>
      </w:r>
    </w:p>
    <w:p>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pPr>
        <w:pStyle w:val="Subsection"/>
        <w:rPr>
          <w:snapToGrid w:val="0"/>
        </w:rPr>
      </w:pPr>
      <w:r>
        <w:rPr>
          <w:snapToGrid w:val="0"/>
        </w:rPr>
        <w:tab/>
        <w:t>(4)</w:t>
      </w:r>
      <w:r>
        <w:rPr>
          <w:snapToGrid w:val="0"/>
        </w:rPr>
        <w:tab/>
        <w:t>A person appointed to be an auxiliary District Court judge under subsection (1) —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r>
        <w:rPr>
          <w:snapToGrid w:val="0"/>
        </w:rPr>
        <w:t> </w:t>
      </w:r>
    </w:p>
    <w:p>
      <w:pPr>
        <w:pStyle w:val="Indenta"/>
        <w:rPr>
          <w:snapToGrid w:val="0"/>
        </w:rPr>
      </w:pPr>
      <w:r>
        <w:rPr>
          <w:snapToGrid w:val="0"/>
        </w:rPr>
        <w:tab/>
        <w:t>(a)</w:t>
      </w:r>
      <w:r>
        <w:rPr>
          <w:snapToGrid w:val="0"/>
        </w:rPr>
        <w:tab/>
        <w:t>a judge of the Supreme Court; or</w:t>
      </w:r>
    </w:p>
    <w:p>
      <w:pPr>
        <w:pStyle w:val="Indenta"/>
        <w:rPr>
          <w:snapToGrid w:val="0"/>
        </w:rPr>
      </w:pPr>
      <w:r>
        <w:rPr>
          <w:snapToGrid w:val="0"/>
        </w:rPr>
        <w:tab/>
        <w:t>(b)</w:t>
      </w:r>
      <w:r>
        <w:rPr>
          <w:snapToGrid w:val="0"/>
        </w:rPr>
        <w:tab/>
        <w:t>a District Court judge.</w:t>
      </w:r>
    </w:p>
    <w:p>
      <w:pPr>
        <w:pStyle w:val="Footnotesection"/>
      </w:pPr>
      <w:r>
        <w:tab/>
        <w:t xml:space="preserve">[Section 18A inserted by No. 23 of 1997 s. 8; amended by No. 65 of 2003 s. 125(5) and (6).] </w:t>
      </w:r>
    </w:p>
    <w:p>
      <w:pPr>
        <w:pStyle w:val="Heading3"/>
        <w:rPr>
          <w:snapToGrid w:val="0"/>
        </w:rPr>
      </w:pPr>
      <w:bookmarkStart w:id="159" w:name="_Toc88026371"/>
      <w:bookmarkStart w:id="160" w:name="_Toc89515485"/>
      <w:bookmarkStart w:id="161" w:name="_Toc90176322"/>
      <w:bookmarkStart w:id="162" w:name="_Toc94947239"/>
      <w:bookmarkStart w:id="163" w:name="_Toc101669805"/>
      <w:bookmarkStart w:id="164" w:name="_Toc102719629"/>
      <w:bookmarkStart w:id="165" w:name="_Toc107824170"/>
      <w:bookmarkStart w:id="166" w:name="_Toc107887241"/>
      <w:bookmarkStart w:id="167" w:name="_Toc108435019"/>
      <w:bookmarkStart w:id="168" w:name="_Toc108518466"/>
      <w:bookmarkStart w:id="169" w:name="_Toc111880820"/>
      <w:bookmarkStart w:id="170" w:name="_Toc112035615"/>
      <w:bookmarkStart w:id="171" w:name="_Toc113079880"/>
      <w:bookmarkStart w:id="172" w:name="_Toc113080005"/>
      <w:bookmarkStart w:id="173" w:name="_Toc114285773"/>
      <w:bookmarkStart w:id="174" w:name="_Toc119915944"/>
      <w:bookmarkStart w:id="175" w:name="_Toc121551131"/>
      <w:bookmarkStart w:id="176" w:name="_Toc194986583"/>
      <w:r>
        <w:rPr>
          <w:rStyle w:val="CharDivNo"/>
        </w:rPr>
        <w:t>Division 3</w:t>
      </w:r>
      <w:r>
        <w:rPr>
          <w:snapToGrid w:val="0"/>
        </w:rPr>
        <w:t> — </w:t>
      </w:r>
      <w:r>
        <w:rPr>
          <w:rStyle w:val="CharDivText"/>
        </w:rPr>
        <w:t>Sittings of the Court</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DivText"/>
        </w:rPr>
        <w:t xml:space="preserve"> </w:t>
      </w:r>
    </w:p>
    <w:p>
      <w:pPr>
        <w:pStyle w:val="Heading5"/>
        <w:rPr>
          <w:snapToGrid w:val="0"/>
        </w:rPr>
      </w:pPr>
      <w:bookmarkStart w:id="177" w:name="_Toc487616516"/>
      <w:bookmarkStart w:id="178" w:name="_Toc504897710"/>
      <w:bookmarkStart w:id="179" w:name="_Toc514029072"/>
      <w:bookmarkStart w:id="180" w:name="_Toc113079881"/>
      <w:bookmarkStart w:id="181" w:name="_Toc194986584"/>
      <w:r>
        <w:rPr>
          <w:rStyle w:val="CharSectno"/>
        </w:rPr>
        <w:t>19</w:t>
      </w:r>
      <w:r>
        <w:rPr>
          <w:snapToGrid w:val="0"/>
        </w:rPr>
        <w:t>.</w:t>
      </w:r>
      <w:r>
        <w:rPr>
          <w:snapToGrid w:val="0"/>
        </w:rPr>
        <w:tab/>
        <w:t>Places and times</w:t>
      </w:r>
      <w:bookmarkEnd w:id="177"/>
      <w:bookmarkEnd w:id="178"/>
      <w:bookmarkEnd w:id="179"/>
      <w:bookmarkEnd w:id="180"/>
      <w:bookmarkEnd w:id="181"/>
    </w:p>
    <w:p>
      <w:pPr>
        <w:pStyle w:val="Subsection"/>
        <w:rPr>
          <w:snapToGrid w:val="0"/>
        </w:rPr>
      </w:pPr>
      <w:r>
        <w:rPr>
          <w:snapToGrid w:val="0"/>
        </w:rPr>
        <w:tab/>
        <w:t>(1)</w:t>
      </w:r>
      <w:r>
        <w:rPr>
          <w:snapToGrid w:val="0"/>
        </w:rPr>
        <w:tab/>
        <w:t>The Court shall be held at Perth in the State and such other places in the State as the Governor may, from time to time, by proclamation determine.</w:t>
      </w:r>
    </w:p>
    <w:p>
      <w:pPr>
        <w:pStyle w:val="Subsection"/>
        <w:rPr>
          <w:snapToGrid w:val="0"/>
        </w:rPr>
      </w:pPr>
      <w:r>
        <w:rPr>
          <w:snapToGrid w:val="0"/>
        </w:rPr>
        <w:tab/>
        <w:t>(2)</w:t>
      </w:r>
      <w:r>
        <w:rPr>
          <w:snapToGrid w:val="0"/>
        </w:rPr>
        <w:tab/>
        <w:t>The Governor may, by subsequent proclamation, cancel or alter a place so determined for the holding of the Court.</w:t>
      </w:r>
    </w:p>
    <w:p>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pPr>
        <w:pStyle w:val="Subsection"/>
        <w:rPr>
          <w:snapToGrid w:val="0"/>
        </w:rPr>
      </w:pPr>
      <w:r>
        <w:rPr>
          <w:snapToGrid w:val="0"/>
        </w:rPr>
        <w:tab/>
        <w:t>(3a)</w:t>
      </w:r>
      <w:r>
        <w:rPr>
          <w:snapToGrid w:val="0"/>
        </w:rPr>
        <w:tab/>
        <w:t>There shall be a registry of the Court at each place where the Court is held and the principal registry shall be at Perth.</w:t>
      </w:r>
    </w:p>
    <w:p>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pPr>
        <w:pStyle w:val="Subsection"/>
        <w:rPr>
          <w:snapToGrid w:val="0"/>
        </w:rPr>
      </w:pPr>
      <w:r>
        <w:rPr>
          <w:snapToGrid w:val="0"/>
        </w:rPr>
        <w:tab/>
        <w:t>(7)</w:t>
      </w:r>
      <w:r>
        <w:rPr>
          <w:snapToGrid w:val="0"/>
        </w:rPr>
        <w:tab/>
        <w:t>Notwithstanding the provisions of subsections (1) to (6) inclusive, the Court and District Court judges may sit and act at any time and at any place, for the transaction of any part of the business of the Court or a District Court judge, or for the discharge of any duty which by any statute or otherwise is required to be discharged.</w:t>
      </w:r>
    </w:p>
    <w:p>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pPr>
        <w:pStyle w:val="Footnotesection"/>
      </w:pPr>
      <w:r>
        <w:tab/>
        <w:t xml:space="preserve">[Section 19 amended by No. 58 of 1975 s. 3; No. 122 of 1984 s. 13; No. 53 of 1992 s. 9(3).] </w:t>
      </w:r>
    </w:p>
    <w:p>
      <w:pPr>
        <w:pStyle w:val="Heading5"/>
        <w:rPr>
          <w:snapToGrid w:val="0"/>
        </w:rPr>
      </w:pPr>
      <w:bookmarkStart w:id="182" w:name="_Toc487616517"/>
      <w:bookmarkStart w:id="183" w:name="_Toc504897711"/>
      <w:bookmarkStart w:id="184" w:name="_Toc514029073"/>
      <w:bookmarkStart w:id="185" w:name="_Toc113079882"/>
      <w:bookmarkStart w:id="186" w:name="_Toc194986585"/>
      <w:r>
        <w:rPr>
          <w:rStyle w:val="CharSectno"/>
        </w:rPr>
        <w:t>20</w:t>
      </w:r>
      <w:r>
        <w:rPr>
          <w:snapToGrid w:val="0"/>
        </w:rPr>
        <w:t>.</w:t>
      </w:r>
      <w:r>
        <w:rPr>
          <w:snapToGrid w:val="0"/>
        </w:rPr>
        <w:tab/>
        <w:t>Chief Judge may direct where judges to sit and may direct 2 or more judges to sit concurrently</w:t>
      </w:r>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pPr>
        <w:pStyle w:val="Footnotesection"/>
      </w:pPr>
      <w:r>
        <w:tab/>
        <w:t xml:space="preserve">[Section 20 amended by No. 122 of 1984 s. 13.] </w:t>
      </w:r>
    </w:p>
    <w:p>
      <w:pPr>
        <w:pStyle w:val="Heading5"/>
        <w:rPr>
          <w:snapToGrid w:val="0"/>
        </w:rPr>
      </w:pPr>
      <w:bookmarkStart w:id="187" w:name="_Toc487616518"/>
      <w:bookmarkStart w:id="188" w:name="_Toc504897712"/>
      <w:bookmarkStart w:id="189" w:name="_Toc514029074"/>
      <w:bookmarkStart w:id="190" w:name="_Toc113079883"/>
      <w:bookmarkStart w:id="191" w:name="_Toc194986586"/>
      <w:r>
        <w:rPr>
          <w:rStyle w:val="CharSectno"/>
        </w:rPr>
        <w:t>21</w:t>
      </w:r>
      <w:r>
        <w:rPr>
          <w:snapToGrid w:val="0"/>
        </w:rPr>
        <w:t>.</w:t>
      </w:r>
      <w:r>
        <w:rPr>
          <w:snapToGrid w:val="0"/>
        </w:rPr>
        <w:tab/>
        <w:t>Sitting in chambers</w:t>
      </w:r>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pPr>
        <w:pStyle w:val="Heading5"/>
        <w:rPr>
          <w:snapToGrid w:val="0"/>
        </w:rPr>
      </w:pPr>
      <w:bookmarkStart w:id="192" w:name="_Toc487616519"/>
      <w:bookmarkStart w:id="193" w:name="_Toc504897713"/>
      <w:bookmarkStart w:id="194" w:name="_Toc514029075"/>
      <w:bookmarkStart w:id="195" w:name="_Toc113079884"/>
      <w:bookmarkStart w:id="196" w:name="_Toc194986587"/>
      <w:r>
        <w:rPr>
          <w:rStyle w:val="CharSectno"/>
        </w:rPr>
        <w:t>22</w:t>
      </w:r>
      <w:r>
        <w:rPr>
          <w:snapToGrid w:val="0"/>
        </w:rPr>
        <w:t>.</w:t>
      </w:r>
      <w:r>
        <w:rPr>
          <w:snapToGrid w:val="0"/>
        </w:rPr>
        <w:tab/>
        <w:t>Records to be moved on discontinuance of a place where Court is held</w:t>
      </w:r>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 xml:space="preserve">When the holding of the Court at any place is discontinued pursuant to section 19, the Governor may, by notice published in the </w:t>
      </w:r>
      <w:r>
        <w:rPr>
          <w:i/>
          <w:snapToGrid w:val="0"/>
        </w:rPr>
        <w:t>Government Gazette</w:t>
      </w:r>
      <w:r>
        <w:rPr>
          <w:snapToGrid w:val="0"/>
        </w:rPr>
        <w:t>, direct the books and other records of the Court at that place, to be removed to such other place at which the Court is held, as is specified in the notice.</w:t>
      </w:r>
    </w:p>
    <w:p>
      <w:pPr>
        <w:pStyle w:val="Heading5"/>
        <w:rPr>
          <w:snapToGrid w:val="0"/>
        </w:rPr>
      </w:pPr>
      <w:bookmarkStart w:id="197" w:name="_Toc487616520"/>
      <w:bookmarkStart w:id="198" w:name="_Toc504897714"/>
      <w:bookmarkStart w:id="199" w:name="_Toc514029076"/>
      <w:bookmarkStart w:id="200" w:name="_Toc113079885"/>
      <w:bookmarkStart w:id="201" w:name="_Toc194986588"/>
      <w:r>
        <w:rPr>
          <w:rStyle w:val="CharSectno"/>
        </w:rPr>
        <w:t>23</w:t>
      </w:r>
      <w:r>
        <w:rPr>
          <w:snapToGrid w:val="0"/>
        </w:rPr>
        <w:t>.</w:t>
      </w:r>
      <w:r>
        <w:rPr>
          <w:snapToGrid w:val="0"/>
        </w:rPr>
        <w:tab/>
        <w:t>Members of the Police Force to attend the Court</w:t>
      </w:r>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pPr>
        <w:pStyle w:val="Heading3"/>
        <w:rPr>
          <w:snapToGrid w:val="0"/>
        </w:rPr>
      </w:pPr>
      <w:bookmarkStart w:id="202" w:name="_Toc88026377"/>
      <w:bookmarkStart w:id="203" w:name="_Toc89515491"/>
      <w:bookmarkStart w:id="204" w:name="_Toc90176328"/>
      <w:bookmarkStart w:id="205" w:name="_Toc94947245"/>
      <w:bookmarkStart w:id="206" w:name="_Toc101669811"/>
      <w:bookmarkStart w:id="207" w:name="_Toc102719635"/>
      <w:bookmarkStart w:id="208" w:name="_Toc107824176"/>
      <w:bookmarkStart w:id="209" w:name="_Toc107887247"/>
      <w:bookmarkStart w:id="210" w:name="_Toc108435025"/>
      <w:bookmarkStart w:id="211" w:name="_Toc108518472"/>
      <w:bookmarkStart w:id="212" w:name="_Toc111880826"/>
      <w:bookmarkStart w:id="213" w:name="_Toc112035621"/>
      <w:bookmarkStart w:id="214" w:name="_Toc113079886"/>
      <w:bookmarkStart w:id="215" w:name="_Toc113080011"/>
      <w:bookmarkStart w:id="216" w:name="_Toc114285779"/>
      <w:bookmarkStart w:id="217" w:name="_Toc119915950"/>
      <w:bookmarkStart w:id="218" w:name="_Toc121551137"/>
      <w:bookmarkStart w:id="219" w:name="_Toc194986589"/>
      <w:r>
        <w:rPr>
          <w:rStyle w:val="CharDivNo"/>
        </w:rPr>
        <w:t>Division 4</w:t>
      </w:r>
      <w:r>
        <w:rPr>
          <w:snapToGrid w:val="0"/>
        </w:rPr>
        <w:t> — </w:t>
      </w:r>
      <w:r>
        <w:rPr>
          <w:rStyle w:val="CharDivText"/>
        </w:rPr>
        <w:t>Commissioners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DivText"/>
        </w:rPr>
        <w:t xml:space="preserve"> </w:t>
      </w:r>
    </w:p>
    <w:p>
      <w:pPr>
        <w:pStyle w:val="Heading5"/>
        <w:rPr>
          <w:snapToGrid w:val="0"/>
        </w:rPr>
      </w:pPr>
      <w:bookmarkStart w:id="220" w:name="_Toc487616521"/>
      <w:bookmarkStart w:id="221" w:name="_Toc504897715"/>
      <w:bookmarkStart w:id="222" w:name="_Toc514029077"/>
      <w:bookmarkStart w:id="223" w:name="_Toc113079887"/>
      <w:bookmarkStart w:id="224" w:name="_Toc194986590"/>
      <w:r>
        <w:rPr>
          <w:rStyle w:val="CharSectno"/>
        </w:rPr>
        <w:t>24</w:t>
      </w:r>
      <w:r>
        <w:rPr>
          <w:snapToGrid w:val="0"/>
        </w:rPr>
        <w:t>.</w:t>
      </w:r>
      <w:r>
        <w:rPr>
          <w:snapToGrid w:val="0"/>
        </w:rPr>
        <w:tab/>
        <w:t>Appointment and jurisdiction of commissioners</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pPr>
        <w:pStyle w:val="Subsection"/>
        <w:rPr>
          <w:snapToGrid w:val="0"/>
        </w:rPr>
      </w:pPr>
      <w:r>
        <w:rPr>
          <w:snapToGrid w:val="0"/>
        </w:rPr>
        <w:tab/>
        <w:t>(3)</w:t>
      </w:r>
      <w:r>
        <w:rPr>
          <w:snapToGrid w:val="0"/>
        </w:rPr>
        <w:tab/>
        <w:t>The Governor may, at any time, annul, vary or amend any commission given by him under this section.</w:t>
      </w:r>
    </w:p>
    <w:p>
      <w:pPr>
        <w:pStyle w:val="Footnotesection"/>
      </w:pPr>
      <w:r>
        <w:tab/>
        <w:t>[Section 24 amended by No. 57 of 1997 s. 48(3); No. 27 of 2000 s. 4; No. 65 of 2003 s. 125(7); No. 59 of 2004 s. 85.]</w:t>
      </w:r>
    </w:p>
    <w:p>
      <w:pPr>
        <w:pStyle w:val="Heading3"/>
        <w:rPr>
          <w:b w:val="0"/>
        </w:rPr>
      </w:pPr>
      <w:bookmarkStart w:id="225" w:name="_Toc101669814"/>
      <w:bookmarkStart w:id="226" w:name="_Toc102719637"/>
      <w:bookmarkStart w:id="227" w:name="_Toc107824178"/>
      <w:bookmarkStart w:id="228" w:name="_Toc107887249"/>
      <w:bookmarkStart w:id="229" w:name="_Toc108435027"/>
      <w:bookmarkStart w:id="230" w:name="_Toc108518474"/>
      <w:bookmarkStart w:id="231" w:name="_Toc111880828"/>
      <w:bookmarkStart w:id="232" w:name="_Toc112035623"/>
      <w:bookmarkStart w:id="233" w:name="_Toc113079888"/>
      <w:bookmarkStart w:id="234" w:name="_Toc113080013"/>
      <w:bookmarkStart w:id="235" w:name="_Toc114285781"/>
      <w:bookmarkStart w:id="236" w:name="_Toc119915952"/>
      <w:bookmarkStart w:id="237" w:name="_Toc121551139"/>
      <w:bookmarkStart w:id="238" w:name="_Toc194986591"/>
      <w:r>
        <w:rPr>
          <w:rStyle w:val="CharDivNo"/>
        </w:rPr>
        <w:t>Division 5</w:t>
      </w:r>
      <w:r>
        <w:rPr>
          <w:b w:val="0"/>
        </w:rPr>
        <w:t> </w:t>
      </w:r>
      <w:r>
        <w:t>—</w:t>
      </w:r>
      <w:r>
        <w:rPr>
          <w:b w:val="0"/>
        </w:rPr>
        <w:t xml:space="preserve"> </w:t>
      </w:r>
      <w:r>
        <w:rPr>
          <w:rStyle w:val="CharDivText"/>
        </w:rPr>
        <w:t>Registrars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Footnoteheading"/>
        <w:tabs>
          <w:tab w:val="left" w:pos="851"/>
        </w:tabs>
      </w:pPr>
      <w:r>
        <w:tab/>
        <w:t>[Heading inserted by No. 59 of 2004 s. 85.]</w:t>
      </w:r>
    </w:p>
    <w:p>
      <w:pPr>
        <w:pStyle w:val="Heading5"/>
        <w:rPr>
          <w:snapToGrid w:val="0"/>
        </w:rPr>
      </w:pPr>
      <w:bookmarkStart w:id="239" w:name="_Toc487616522"/>
      <w:bookmarkStart w:id="240" w:name="_Toc504897716"/>
      <w:bookmarkStart w:id="241" w:name="_Toc514029078"/>
      <w:bookmarkStart w:id="242" w:name="_Toc113079889"/>
      <w:bookmarkStart w:id="243" w:name="_Toc194986592"/>
      <w:r>
        <w:rPr>
          <w:rStyle w:val="CharSectno"/>
        </w:rPr>
        <w:t>25</w:t>
      </w:r>
      <w:r>
        <w:rPr>
          <w:snapToGrid w:val="0"/>
        </w:rPr>
        <w:t>.</w:t>
      </w:r>
      <w:r>
        <w:rPr>
          <w:snapToGrid w:val="0"/>
        </w:rPr>
        <w:tab/>
        <w:t>Appointment of registrars and other officers</w:t>
      </w:r>
      <w:bookmarkEnd w:id="239"/>
      <w:bookmarkEnd w:id="240"/>
      <w:bookmarkEnd w:id="241"/>
      <w:bookmarkEnd w:id="242"/>
      <w:bookmarkEnd w:id="243"/>
      <w:r>
        <w:rPr>
          <w:snapToGrid w:val="0"/>
        </w:rPr>
        <w:t xml:space="preserve"> </w:t>
      </w:r>
    </w:p>
    <w:p>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pPr>
        <w:pStyle w:val="Ednotesubsection"/>
        <w:tabs>
          <w:tab w:val="clear" w:pos="595"/>
          <w:tab w:val="left" w:pos="240"/>
        </w:tabs>
      </w:pPr>
      <w:r>
        <w:tab/>
        <w:t>[(2)</w:t>
      </w:r>
      <w:r>
        <w:noBreakHyphen/>
        <w:t>(4)</w:t>
      </w:r>
      <w:r>
        <w:tab/>
        <w:t>repealed]</w:t>
      </w:r>
    </w:p>
    <w:p>
      <w:pPr>
        <w:pStyle w:val="Footnotesection"/>
      </w:pPr>
      <w:r>
        <w:tab/>
        <w:t xml:space="preserve">[Section 25 amended by No. 40 of 1972 s. 7; No. 53 of 1992 s. 9; No. 32 of 1994 s. 3(2).] </w:t>
      </w:r>
    </w:p>
    <w:p>
      <w:pPr>
        <w:pStyle w:val="Heading5"/>
        <w:rPr>
          <w:snapToGrid w:val="0"/>
        </w:rPr>
      </w:pPr>
      <w:bookmarkStart w:id="244" w:name="_Toc487616523"/>
      <w:bookmarkStart w:id="245" w:name="_Toc504897717"/>
      <w:bookmarkStart w:id="246" w:name="_Toc514029079"/>
      <w:bookmarkStart w:id="247" w:name="_Toc113079890"/>
      <w:bookmarkStart w:id="248" w:name="_Toc194986593"/>
      <w:r>
        <w:rPr>
          <w:rStyle w:val="CharSectno"/>
        </w:rPr>
        <w:t>26</w:t>
      </w:r>
      <w:r>
        <w:rPr>
          <w:snapToGrid w:val="0"/>
        </w:rPr>
        <w:t>.</w:t>
      </w:r>
      <w:r>
        <w:rPr>
          <w:snapToGrid w:val="0"/>
        </w:rPr>
        <w:tab/>
        <w:t>Registrar’s functions and evidentiary provision</w:t>
      </w:r>
      <w:bookmarkEnd w:id="244"/>
      <w:bookmarkEnd w:id="245"/>
      <w:bookmarkEnd w:id="246"/>
      <w:bookmarkEnd w:id="247"/>
      <w:bookmarkEnd w:id="248"/>
      <w:r>
        <w:rPr>
          <w:snapToGrid w:val="0"/>
        </w:rPr>
        <w:t xml:space="preserve"> </w:t>
      </w:r>
    </w:p>
    <w:p>
      <w:pPr>
        <w:pStyle w:val="Subsection"/>
        <w:spacing w:before="120"/>
        <w:rPr>
          <w:snapToGrid w:val="0"/>
        </w:rPr>
      </w:pPr>
      <w:r>
        <w:rPr>
          <w:snapToGrid w:val="0"/>
        </w:rPr>
        <w:tab/>
        <w:t>(1)</w:t>
      </w:r>
      <w:r>
        <w:rPr>
          <w:snapToGrid w:val="0"/>
        </w:rPr>
        <w:tab/>
        <w:t>The functions of a registrar are as set out in this Act and in the rules of court.</w:t>
      </w:r>
    </w:p>
    <w:p>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pPr>
        <w:pStyle w:val="Footnotesection"/>
      </w:pPr>
      <w:r>
        <w:tab/>
        <w:t xml:space="preserve">[Section 26 amended by No. 14 of 1970 s. 7; No. 98 of 1985 s. 3; No. 53 of 1992 s. 9(3).] </w:t>
      </w:r>
    </w:p>
    <w:p>
      <w:pPr>
        <w:pStyle w:val="Heading5"/>
        <w:rPr>
          <w:snapToGrid w:val="0"/>
        </w:rPr>
      </w:pPr>
      <w:bookmarkStart w:id="249" w:name="_Toc487616524"/>
      <w:bookmarkStart w:id="250" w:name="_Toc504897718"/>
      <w:bookmarkStart w:id="251" w:name="_Toc514029080"/>
      <w:bookmarkStart w:id="252" w:name="_Toc113079891"/>
      <w:bookmarkStart w:id="253" w:name="_Toc194986594"/>
      <w:r>
        <w:rPr>
          <w:rStyle w:val="CharSectno"/>
        </w:rPr>
        <w:t>27</w:t>
      </w:r>
      <w:r>
        <w:rPr>
          <w:snapToGrid w:val="0"/>
        </w:rPr>
        <w:t>.</w:t>
      </w:r>
      <w:r>
        <w:rPr>
          <w:snapToGrid w:val="0"/>
        </w:rPr>
        <w:tab/>
        <w:t>Registrar may administer oaths, etc.</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pPr>
        <w:pStyle w:val="Subsection"/>
        <w:rPr>
          <w:snapToGrid w:val="0"/>
        </w:rPr>
      </w:pPr>
      <w:r>
        <w:rPr>
          <w:snapToGrid w:val="0"/>
        </w:rPr>
        <w:tab/>
        <w:t>(2)</w:t>
      </w:r>
      <w:r>
        <w:rPr>
          <w:snapToGrid w:val="0"/>
        </w:rPr>
        <w:tab/>
        <w:t>Any affidavit to be used in the Court shall and may be sworn before a registrar or District Court judge or commissioner for taking affidavits in the Supreme Court.</w:t>
      </w:r>
    </w:p>
    <w:p>
      <w:pPr>
        <w:pStyle w:val="Subsection"/>
        <w:rPr>
          <w:snapToGrid w:val="0"/>
        </w:rPr>
      </w:pPr>
      <w:r>
        <w:rPr>
          <w:snapToGrid w:val="0"/>
        </w:rPr>
        <w:tab/>
        <w:t>(3)</w:t>
      </w:r>
      <w:r>
        <w:rPr>
          <w:snapToGrid w:val="0"/>
        </w:rPr>
        <w:tab/>
        <w:t xml:space="preserve">Sections 174, 176 and 177 of the </w:t>
      </w:r>
      <w:r>
        <w:rPr>
          <w:i/>
          <w:snapToGrid w:val="0"/>
        </w:rPr>
        <w:t>Supreme Court Act 1935</w:t>
      </w:r>
      <w:r>
        <w:rPr>
          <w:snapToGrid w:val="0"/>
        </w:rPr>
        <w:t>, apply to the Court, a judge thereof or officer of the Court as they apply to the Supreme Court, a judge thereof or officer of that Court.</w:t>
      </w:r>
    </w:p>
    <w:p>
      <w:pPr>
        <w:pStyle w:val="Heading5"/>
      </w:pPr>
      <w:bookmarkStart w:id="254" w:name="_Toc487616525"/>
      <w:bookmarkStart w:id="255" w:name="_Toc504897719"/>
      <w:bookmarkStart w:id="256" w:name="_Toc514029081"/>
      <w:bookmarkStart w:id="257" w:name="_Toc113079892"/>
      <w:bookmarkStart w:id="258" w:name="_Toc194986595"/>
      <w:r>
        <w:rPr>
          <w:rStyle w:val="CharSectno"/>
        </w:rPr>
        <w:t>27A</w:t>
      </w:r>
      <w:r>
        <w:t>.</w:t>
      </w:r>
      <w:r>
        <w:tab/>
        <w:t>Employment of personal staff for judges</w:t>
      </w:r>
      <w:bookmarkEnd w:id="254"/>
      <w:bookmarkEnd w:id="255"/>
      <w:bookmarkEnd w:id="256"/>
      <w:bookmarkEnd w:id="257"/>
      <w:bookmarkEnd w:id="258"/>
    </w:p>
    <w:p>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pPr>
        <w:pStyle w:val="Footnotesection"/>
      </w:pPr>
      <w:r>
        <w:tab/>
        <w:t>[Section 27A inserted by No. 27 of 2000 s. 5.]</w:t>
      </w:r>
    </w:p>
    <w:p>
      <w:pPr>
        <w:pStyle w:val="Ednotesection"/>
      </w:pPr>
      <w:r>
        <w:t>[</w:t>
      </w:r>
      <w:r>
        <w:rPr>
          <w:b/>
        </w:rPr>
        <w:t>28</w:t>
      </w:r>
      <w:r>
        <w:rPr>
          <w:b/>
        </w:rPr>
        <w:noBreakHyphen/>
        <w:t>35.</w:t>
      </w:r>
      <w:r>
        <w:tab/>
        <w:t>Repealed by No. 59 of 2004 s. 85.]</w:t>
      </w:r>
    </w:p>
    <w:p>
      <w:pPr>
        <w:pStyle w:val="Heading5"/>
        <w:rPr>
          <w:snapToGrid w:val="0"/>
        </w:rPr>
      </w:pPr>
      <w:bookmarkStart w:id="259" w:name="_Toc487616534"/>
      <w:bookmarkStart w:id="260" w:name="_Toc504897728"/>
      <w:bookmarkStart w:id="261" w:name="_Toc514029090"/>
      <w:bookmarkStart w:id="262" w:name="_Toc113079893"/>
      <w:bookmarkStart w:id="263" w:name="_Toc194986596"/>
      <w:r>
        <w:rPr>
          <w:rStyle w:val="CharSectno"/>
        </w:rPr>
        <w:t>36</w:t>
      </w:r>
      <w:r>
        <w:rPr>
          <w:snapToGrid w:val="0"/>
        </w:rPr>
        <w:t>.</w:t>
      </w:r>
      <w:r>
        <w:rPr>
          <w:snapToGrid w:val="0"/>
        </w:rPr>
        <w:tab/>
        <w:t>Indemnity to persons acting under this Act</w:t>
      </w:r>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pPr>
        <w:pStyle w:val="Heading5"/>
        <w:rPr>
          <w:snapToGrid w:val="0"/>
        </w:rPr>
      </w:pPr>
      <w:bookmarkStart w:id="264" w:name="_Toc487616535"/>
      <w:bookmarkStart w:id="265" w:name="_Toc504897729"/>
      <w:bookmarkStart w:id="266" w:name="_Toc514029091"/>
      <w:bookmarkStart w:id="267" w:name="_Toc113079894"/>
      <w:bookmarkStart w:id="268" w:name="_Toc194986597"/>
      <w:r>
        <w:rPr>
          <w:rStyle w:val="CharSectno"/>
        </w:rPr>
        <w:t>37</w:t>
      </w:r>
      <w:r>
        <w:rPr>
          <w:snapToGrid w:val="0"/>
        </w:rPr>
        <w:t>.</w:t>
      </w:r>
      <w:r>
        <w:rPr>
          <w:snapToGrid w:val="0"/>
        </w:rPr>
        <w:tab/>
        <w:t>Limitation period for actions that contravene this Act</w:t>
      </w:r>
      <w:bookmarkEnd w:id="264"/>
      <w:bookmarkEnd w:id="265"/>
      <w:bookmarkEnd w:id="266"/>
      <w:bookmarkEnd w:id="267"/>
      <w:bookmarkEnd w:id="268"/>
    </w:p>
    <w:p>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pPr>
        <w:pStyle w:val="Footnotesection"/>
      </w:pPr>
      <w:r>
        <w:tab/>
        <w:t>[Section 37 amended by No. 20 of 2005 s. 10(1).]</w:t>
      </w:r>
    </w:p>
    <w:p>
      <w:pPr>
        <w:pStyle w:val="Ednotesection"/>
      </w:pPr>
      <w:bookmarkStart w:id="269" w:name="_Toc88026395"/>
      <w:bookmarkStart w:id="270" w:name="_Toc89515509"/>
      <w:bookmarkStart w:id="271" w:name="_Toc90176346"/>
      <w:bookmarkStart w:id="272" w:name="_Toc94947263"/>
      <w:r>
        <w:t>[</w:t>
      </w:r>
      <w:r>
        <w:rPr>
          <w:b/>
        </w:rPr>
        <w:t>38.</w:t>
      </w:r>
      <w:r>
        <w:rPr>
          <w:b/>
        </w:rPr>
        <w:tab/>
      </w:r>
      <w:r>
        <w:t>Repealed by No. 59 of 2004 s. 85.]</w:t>
      </w:r>
    </w:p>
    <w:p>
      <w:pPr>
        <w:pStyle w:val="Heading3"/>
        <w:rPr>
          <w:snapToGrid w:val="0"/>
        </w:rPr>
      </w:pPr>
      <w:bookmarkStart w:id="273" w:name="_Toc101669830"/>
      <w:bookmarkStart w:id="274" w:name="_Toc102719644"/>
      <w:bookmarkStart w:id="275" w:name="_Toc107824185"/>
      <w:bookmarkStart w:id="276" w:name="_Toc107887256"/>
      <w:bookmarkStart w:id="277" w:name="_Toc108435034"/>
      <w:bookmarkStart w:id="278" w:name="_Toc108518481"/>
      <w:bookmarkStart w:id="279" w:name="_Toc111880835"/>
      <w:bookmarkStart w:id="280" w:name="_Toc112035630"/>
      <w:bookmarkStart w:id="281" w:name="_Toc113079895"/>
      <w:bookmarkStart w:id="282" w:name="_Toc113080020"/>
      <w:bookmarkStart w:id="283" w:name="_Toc114285788"/>
      <w:bookmarkStart w:id="284" w:name="_Toc119915959"/>
      <w:bookmarkStart w:id="285" w:name="_Toc121551146"/>
      <w:bookmarkStart w:id="286" w:name="_Toc194986598"/>
      <w:r>
        <w:rPr>
          <w:rStyle w:val="CharDivNo"/>
        </w:rPr>
        <w:t>Division 6</w:t>
      </w:r>
      <w:r>
        <w:rPr>
          <w:snapToGrid w:val="0"/>
        </w:rPr>
        <w:t> — </w:t>
      </w:r>
      <w:r>
        <w:rPr>
          <w:rStyle w:val="CharDivText"/>
        </w:rPr>
        <w:t>Representation in the Court</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DivText"/>
        </w:rPr>
        <w:t xml:space="preserve"> </w:t>
      </w:r>
    </w:p>
    <w:p>
      <w:pPr>
        <w:pStyle w:val="Heading5"/>
        <w:rPr>
          <w:snapToGrid w:val="0"/>
        </w:rPr>
      </w:pPr>
      <w:bookmarkStart w:id="287" w:name="_Toc487616537"/>
      <w:bookmarkStart w:id="288" w:name="_Toc504897731"/>
      <w:bookmarkStart w:id="289" w:name="_Toc514029093"/>
      <w:bookmarkStart w:id="290" w:name="_Toc113079896"/>
      <w:bookmarkStart w:id="291" w:name="_Toc194986599"/>
      <w:r>
        <w:rPr>
          <w:rStyle w:val="CharSectno"/>
        </w:rPr>
        <w:t>39</w:t>
      </w:r>
      <w:r>
        <w:rPr>
          <w:snapToGrid w:val="0"/>
        </w:rPr>
        <w:t>.</w:t>
      </w:r>
      <w:r>
        <w:rPr>
          <w:snapToGrid w:val="0"/>
        </w:rPr>
        <w:tab/>
        <w:t>Who may appear</w:t>
      </w:r>
      <w:bookmarkEnd w:id="287"/>
      <w:bookmarkEnd w:id="288"/>
      <w:bookmarkEnd w:id="289"/>
      <w:bookmarkEnd w:id="290"/>
      <w:bookmarkEnd w:id="291"/>
    </w:p>
    <w:p>
      <w:pPr>
        <w:pStyle w:val="Subsection"/>
        <w:rPr>
          <w:snapToGrid w:val="0"/>
        </w:rPr>
      </w:pPr>
      <w:r>
        <w:rPr>
          <w:snapToGrid w:val="0"/>
        </w:rPr>
        <w:tab/>
        <w:t>(1)</w:t>
      </w:r>
      <w:r>
        <w:rPr>
          <w:snapToGrid w:val="0"/>
        </w:rPr>
        <w:tab/>
        <w:t>A party to an action, cause or other proceeding may appear before the Court in person or by a certificated practitioner</w:t>
      </w:r>
      <w:r>
        <w:t xml:space="preserve"> (within the meaning of the </w:t>
      </w:r>
      <w:r>
        <w:rPr>
          <w:i/>
        </w:rPr>
        <w:t>Legal Practice Act 2003</w:t>
      </w:r>
      <w:r>
        <w:t>)</w:t>
      </w:r>
      <w:r>
        <w:rPr>
          <w:snapToGrid w:val="0"/>
        </w:rPr>
        <w:t xml:space="preserve"> or by any person allowed by special leave of the presiding District Court judge, in any case.</w:t>
      </w:r>
    </w:p>
    <w:p>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pPr>
        <w:pStyle w:val="Footnotesection"/>
      </w:pPr>
      <w:r>
        <w:tab/>
        <w:t>[Section 39 amended by No. 65 of 2003 s. 32(4).]</w:t>
      </w:r>
    </w:p>
    <w:p>
      <w:pPr>
        <w:pStyle w:val="Heading5"/>
        <w:rPr>
          <w:snapToGrid w:val="0"/>
        </w:rPr>
      </w:pPr>
      <w:bookmarkStart w:id="292" w:name="_Toc487616538"/>
      <w:bookmarkStart w:id="293" w:name="_Toc504897732"/>
      <w:bookmarkStart w:id="294" w:name="_Toc514029094"/>
      <w:bookmarkStart w:id="295" w:name="_Toc113079897"/>
      <w:bookmarkStart w:id="296" w:name="_Toc194986600"/>
      <w:r>
        <w:rPr>
          <w:rStyle w:val="CharSectno"/>
        </w:rPr>
        <w:t>40</w:t>
      </w:r>
      <w:r>
        <w:rPr>
          <w:snapToGrid w:val="0"/>
        </w:rPr>
        <w:t>.</w:t>
      </w:r>
      <w:r>
        <w:rPr>
          <w:snapToGrid w:val="0"/>
        </w:rPr>
        <w:tab/>
        <w:t>Legal practitioners to have no privilege</w:t>
      </w:r>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No privilege shall be allowed to any legal practitioner to exempt him from the provisions of this Act.</w:t>
      </w:r>
    </w:p>
    <w:p>
      <w:pPr>
        <w:pStyle w:val="Footnotesection"/>
      </w:pPr>
      <w:r>
        <w:tab/>
        <w:t>[Section 40 amended by No. 65 of 2003 s. 32(5).]</w:t>
      </w:r>
    </w:p>
    <w:p>
      <w:pPr>
        <w:pStyle w:val="Heading3"/>
        <w:rPr>
          <w:snapToGrid w:val="0"/>
        </w:rPr>
      </w:pPr>
      <w:bookmarkStart w:id="297" w:name="_Toc88026398"/>
      <w:bookmarkStart w:id="298" w:name="_Toc89515512"/>
      <w:bookmarkStart w:id="299" w:name="_Toc90176349"/>
      <w:bookmarkStart w:id="300" w:name="_Toc94947266"/>
      <w:bookmarkStart w:id="301" w:name="_Toc101669833"/>
      <w:bookmarkStart w:id="302" w:name="_Toc102719647"/>
      <w:bookmarkStart w:id="303" w:name="_Toc107824188"/>
      <w:bookmarkStart w:id="304" w:name="_Toc107887259"/>
      <w:bookmarkStart w:id="305" w:name="_Toc108435037"/>
      <w:bookmarkStart w:id="306" w:name="_Toc108518484"/>
      <w:bookmarkStart w:id="307" w:name="_Toc111880838"/>
      <w:bookmarkStart w:id="308" w:name="_Toc112035633"/>
      <w:bookmarkStart w:id="309" w:name="_Toc113079898"/>
      <w:bookmarkStart w:id="310" w:name="_Toc113080023"/>
      <w:bookmarkStart w:id="311" w:name="_Toc114285791"/>
      <w:bookmarkStart w:id="312" w:name="_Toc119915962"/>
      <w:bookmarkStart w:id="313" w:name="_Toc121551149"/>
      <w:bookmarkStart w:id="314" w:name="_Toc194986601"/>
      <w:r>
        <w:rPr>
          <w:rStyle w:val="CharDivNo"/>
        </w:rPr>
        <w:t>Division 7</w:t>
      </w:r>
      <w:r>
        <w:rPr>
          <w:snapToGrid w:val="0"/>
        </w:rPr>
        <w:t> — </w:t>
      </w:r>
      <w:r>
        <w:rPr>
          <w:rStyle w:val="CharDivText"/>
        </w:rPr>
        <w:t>Jurors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Pr>
          <w:rStyle w:val="CharDivText"/>
        </w:rPr>
        <w:t xml:space="preserve"> </w:t>
      </w:r>
    </w:p>
    <w:p>
      <w:pPr>
        <w:pStyle w:val="Heading5"/>
        <w:rPr>
          <w:snapToGrid w:val="0"/>
        </w:rPr>
      </w:pPr>
      <w:bookmarkStart w:id="315" w:name="_Toc487616539"/>
      <w:bookmarkStart w:id="316" w:name="_Toc504897733"/>
      <w:bookmarkStart w:id="317" w:name="_Toc514029095"/>
      <w:bookmarkStart w:id="318" w:name="_Toc113079899"/>
      <w:bookmarkStart w:id="319" w:name="_Toc194986602"/>
      <w:r>
        <w:rPr>
          <w:rStyle w:val="CharSectno"/>
        </w:rPr>
        <w:t>41</w:t>
      </w:r>
      <w:r>
        <w:rPr>
          <w:snapToGrid w:val="0"/>
        </w:rPr>
        <w:t>.</w:t>
      </w:r>
      <w:r>
        <w:rPr>
          <w:snapToGrid w:val="0"/>
        </w:rPr>
        <w:tab/>
        <w:t xml:space="preserve">Application of </w:t>
      </w:r>
      <w:r>
        <w:rPr>
          <w:i/>
          <w:snapToGrid w:val="0"/>
        </w:rPr>
        <w:t>Juries Act 1957</w:t>
      </w:r>
      <w:bookmarkEnd w:id="315"/>
      <w:bookmarkEnd w:id="316"/>
      <w:bookmarkEnd w:id="317"/>
      <w:bookmarkEnd w:id="318"/>
      <w:bookmarkEnd w:id="319"/>
    </w:p>
    <w:p>
      <w:pPr>
        <w:pStyle w:val="Subsection"/>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pPr>
        <w:pStyle w:val="Subsection"/>
        <w:rPr>
          <w:snapToGrid w:val="0"/>
        </w:rPr>
      </w:pPr>
      <w:r>
        <w:rPr>
          <w:snapToGrid w:val="0"/>
        </w:rPr>
        <w:tab/>
        <w:t>(2)</w:t>
      </w:r>
      <w:r>
        <w:rPr>
          <w:snapToGrid w:val="0"/>
        </w:rPr>
        <w:tab/>
        <w:t xml:space="preserve">Where the Court is sitting at Perth,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pPr>
        <w:pStyle w:val="Subsection"/>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pPr>
        <w:pStyle w:val="Ednotesubsection"/>
      </w:pPr>
      <w:r>
        <w:tab/>
        <w:t>[(4)</w:t>
      </w:r>
      <w:r>
        <w:tab/>
        <w:t>repealed]</w:t>
      </w:r>
    </w:p>
    <w:p>
      <w:pPr>
        <w:pStyle w:val="Subsection"/>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pPr>
        <w:pStyle w:val="Subsection"/>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pPr>
        <w:pStyle w:val="Footnotesection"/>
      </w:pPr>
      <w:r>
        <w:tab/>
        <w:t xml:space="preserve">[Section 41 amended by No. 14 of 1970 s. 8; No. 58 of 1975 s. 4; No. 53 of 1992 s. 9(3).] </w:t>
      </w:r>
    </w:p>
    <w:p>
      <w:pPr>
        <w:pStyle w:val="Heading2"/>
      </w:pPr>
      <w:bookmarkStart w:id="320" w:name="_Toc88026400"/>
      <w:bookmarkStart w:id="321" w:name="_Toc89515514"/>
      <w:bookmarkStart w:id="322" w:name="_Toc90176351"/>
      <w:bookmarkStart w:id="323" w:name="_Toc94947268"/>
      <w:bookmarkStart w:id="324" w:name="_Toc101669835"/>
      <w:bookmarkStart w:id="325" w:name="_Toc102719649"/>
      <w:bookmarkStart w:id="326" w:name="_Toc107824190"/>
      <w:bookmarkStart w:id="327" w:name="_Toc107887261"/>
      <w:bookmarkStart w:id="328" w:name="_Toc108435039"/>
      <w:bookmarkStart w:id="329" w:name="_Toc108518486"/>
      <w:bookmarkStart w:id="330" w:name="_Toc111880840"/>
      <w:bookmarkStart w:id="331" w:name="_Toc112035635"/>
      <w:bookmarkStart w:id="332" w:name="_Toc113079900"/>
      <w:bookmarkStart w:id="333" w:name="_Toc113080025"/>
      <w:bookmarkStart w:id="334" w:name="_Toc114285793"/>
      <w:bookmarkStart w:id="335" w:name="_Toc119915964"/>
      <w:bookmarkStart w:id="336" w:name="_Toc121551151"/>
      <w:bookmarkStart w:id="337" w:name="_Toc194986603"/>
      <w:r>
        <w:rPr>
          <w:rStyle w:val="CharPartNo"/>
        </w:rPr>
        <w:t>Part III</w:t>
      </w:r>
      <w:r>
        <w:t> — </w:t>
      </w:r>
      <w:r>
        <w:rPr>
          <w:rStyle w:val="CharPartText"/>
        </w:rPr>
        <w:t>Jurisdiction of the Court</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Style w:val="CharPartText"/>
        </w:rPr>
        <w:t xml:space="preserve"> </w:t>
      </w:r>
    </w:p>
    <w:p>
      <w:pPr>
        <w:pStyle w:val="Heading3"/>
        <w:rPr>
          <w:snapToGrid w:val="0"/>
        </w:rPr>
      </w:pPr>
      <w:bookmarkStart w:id="338" w:name="_Toc88026401"/>
      <w:bookmarkStart w:id="339" w:name="_Toc89515515"/>
      <w:bookmarkStart w:id="340" w:name="_Toc90176352"/>
      <w:bookmarkStart w:id="341" w:name="_Toc94947269"/>
      <w:bookmarkStart w:id="342" w:name="_Toc101669836"/>
      <w:bookmarkStart w:id="343" w:name="_Toc102719650"/>
      <w:bookmarkStart w:id="344" w:name="_Toc107824191"/>
      <w:bookmarkStart w:id="345" w:name="_Toc107887262"/>
      <w:bookmarkStart w:id="346" w:name="_Toc108435040"/>
      <w:bookmarkStart w:id="347" w:name="_Toc108518487"/>
      <w:bookmarkStart w:id="348" w:name="_Toc111880841"/>
      <w:bookmarkStart w:id="349" w:name="_Toc112035636"/>
      <w:bookmarkStart w:id="350" w:name="_Toc113079901"/>
      <w:bookmarkStart w:id="351" w:name="_Toc113080026"/>
      <w:bookmarkStart w:id="352" w:name="_Toc114285794"/>
      <w:bookmarkStart w:id="353" w:name="_Toc119915965"/>
      <w:bookmarkStart w:id="354" w:name="_Toc121551152"/>
      <w:bookmarkStart w:id="355" w:name="_Toc194986604"/>
      <w:r>
        <w:rPr>
          <w:rStyle w:val="CharDivNo"/>
        </w:rPr>
        <w:t>Division 1</w:t>
      </w:r>
      <w:r>
        <w:rPr>
          <w:snapToGrid w:val="0"/>
        </w:rPr>
        <w:t> — </w:t>
      </w:r>
      <w:r>
        <w:rPr>
          <w:rStyle w:val="CharDivText"/>
        </w:rPr>
        <w:t>Criminal jurisdiction and procedure</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Pr>
          <w:rStyle w:val="CharDivText"/>
        </w:rPr>
        <w:t xml:space="preserve"> </w:t>
      </w:r>
    </w:p>
    <w:p>
      <w:pPr>
        <w:pStyle w:val="Heading5"/>
        <w:rPr>
          <w:snapToGrid w:val="0"/>
        </w:rPr>
      </w:pPr>
      <w:bookmarkStart w:id="356" w:name="_Toc487616540"/>
      <w:bookmarkStart w:id="357" w:name="_Toc504897734"/>
      <w:bookmarkStart w:id="358" w:name="_Toc514029096"/>
      <w:bookmarkStart w:id="359" w:name="_Toc113079902"/>
      <w:bookmarkStart w:id="360" w:name="_Toc194986605"/>
      <w:r>
        <w:rPr>
          <w:rStyle w:val="CharSectno"/>
        </w:rPr>
        <w:t>42</w:t>
      </w:r>
      <w:r>
        <w:rPr>
          <w:snapToGrid w:val="0"/>
        </w:rPr>
        <w:t>.</w:t>
      </w:r>
      <w:r>
        <w:rPr>
          <w:snapToGrid w:val="0"/>
        </w:rPr>
        <w:tab/>
        <w:t>Criminal jurisdiction</w:t>
      </w:r>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pPr>
        <w:pStyle w:val="Subsection"/>
        <w:rPr>
          <w:snapToGrid w:val="0"/>
        </w:rPr>
      </w:pPr>
      <w:r>
        <w:rPr>
          <w:snapToGrid w:val="0"/>
        </w:rPr>
        <w:tab/>
        <w:t>(2)</w:t>
      </w:r>
      <w:r>
        <w:rPr>
          <w:snapToGrid w:val="0"/>
        </w:rPr>
        <w:tab/>
        <w:t>The Court has no jurisdiction to try an accused person charged with an indictable offence, in respect of which offence, the maximum term of imprisonment that can be imposed is imprisonment for life or strict security life imprisonment.</w:t>
      </w:r>
    </w:p>
    <w:p>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pPr>
        <w:pStyle w:val="Footnotesection"/>
      </w:pPr>
      <w:r>
        <w:tab/>
        <w:t xml:space="preserve">[Section 42 amended by No. 118 of 1981 s. 8; No. 52 of 1984 s. 49; No. 74 of 1985 s. 21; No. 14 of 1992 s. 6(8); No. 53 of 1992 s. 10; No. 36 of 1996 s. 32(1).] </w:t>
      </w:r>
    </w:p>
    <w:p>
      <w:pPr>
        <w:pStyle w:val="Heading5"/>
      </w:pPr>
      <w:bookmarkStart w:id="361" w:name="_Toc113079903"/>
      <w:bookmarkStart w:id="362" w:name="_Toc194986606"/>
      <w:bookmarkStart w:id="363" w:name="_Toc487616542"/>
      <w:bookmarkStart w:id="364" w:name="_Toc504897736"/>
      <w:bookmarkStart w:id="365" w:name="_Toc514029098"/>
      <w:r>
        <w:t>43.</w:t>
      </w:r>
      <w:r>
        <w:tab/>
        <w:t>Exercise of criminal jurisdiction</w:t>
      </w:r>
      <w:bookmarkEnd w:id="361"/>
      <w:bookmarkEnd w:id="362"/>
    </w:p>
    <w:p>
      <w:pPr>
        <w:pStyle w:val="Subsection"/>
      </w:pPr>
      <w:r>
        <w:tab/>
        <w:t>(1)</w:t>
      </w:r>
      <w:r>
        <w:tab/>
        <w:t xml:space="preserve">The jurisdiction referred to in section 42 is to be exercised subject to — </w:t>
      </w:r>
    </w:p>
    <w:p>
      <w:pPr>
        <w:pStyle w:val="Indenta"/>
      </w:pPr>
      <w:r>
        <w:tab/>
        <w:t>(a)</w:t>
      </w:r>
      <w:r>
        <w:tab/>
      </w:r>
      <w:r>
        <w:rPr>
          <w:i/>
        </w:rPr>
        <w:t>The Criminal Code</w:t>
      </w:r>
      <w:r>
        <w:t>; and</w:t>
      </w:r>
    </w:p>
    <w:p>
      <w:pPr>
        <w:pStyle w:val="Indenta"/>
      </w:pPr>
      <w:r>
        <w:tab/>
        <w:t>(b)</w:t>
      </w:r>
      <w:r>
        <w:tab/>
        <w:t xml:space="preserve">the </w:t>
      </w:r>
      <w:r>
        <w:rPr>
          <w:i/>
        </w:rPr>
        <w:t>Criminal Procedure Act 2004</w:t>
      </w:r>
      <w:r>
        <w:t>.</w:t>
      </w:r>
    </w:p>
    <w:p>
      <w:pPr>
        <w:pStyle w:val="Subsection"/>
      </w:pPr>
      <w:r>
        <w:tab/>
        <w:t>(2)</w:t>
      </w:r>
      <w:r>
        <w:tab/>
        <w:t xml:space="preserve">This Act does not affect the operation of the </w:t>
      </w:r>
      <w:r>
        <w:rPr>
          <w:i/>
        </w:rPr>
        <w:t>Criminal Appeals Act 2004</w:t>
      </w:r>
      <w:r>
        <w:t xml:space="preserve"> in respect of decisions and judgments of the Court.</w:t>
      </w:r>
    </w:p>
    <w:p>
      <w:pPr>
        <w:pStyle w:val="Footnotesection"/>
      </w:pPr>
      <w:r>
        <w:tab/>
        <w:t>[Section 43 inserted by No. 84 of 2004 s. 34.]</w:t>
      </w:r>
    </w:p>
    <w:p>
      <w:pPr>
        <w:pStyle w:val="Heading5"/>
        <w:rPr>
          <w:snapToGrid w:val="0"/>
        </w:rPr>
      </w:pPr>
      <w:bookmarkStart w:id="366" w:name="_Toc113079904"/>
      <w:bookmarkStart w:id="367" w:name="_Toc194986607"/>
      <w:r>
        <w:rPr>
          <w:rStyle w:val="CharSectno"/>
        </w:rPr>
        <w:t>44</w:t>
      </w:r>
      <w:r>
        <w:rPr>
          <w:snapToGrid w:val="0"/>
        </w:rPr>
        <w:t>.</w:t>
      </w:r>
      <w:r>
        <w:rPr>
          <w:snapToGrid w:val="0"/>
        </w:rPr>
        <w:tab/>
        <w:t>Practice and procedure to be same as Supreme Court</w:t>
      </w:r>
      <w:bookmarkEnd w:id="363"/>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pPr>
        <w:pStyle w:val="Heading5"/>
        <w:rPr>
          <w:snapToGrid w:val="0"/>
        </w:rPr>
      </w:pPr>
      <w:bookmarkStart w:id="368" w:name="_Toc487616543"/>
      <w:bookmarkStart w:id="369" w:name="_Toc504897737"/>
      <w:bookmarkStart w:id="370" w:name="_Toc514029099"/>
      <w:bookmarkStart w:id="371" w:name="_Toc113079905"/>
      <w:bookmarkStart w:id="372" w:name="_Toc194986608"/>
      <w:r>
        <w:rPr>
          <w:rStyle w:val="CharSectno"/>
        </w:rPr>
        <w:t>45</w:t>
      </w:r>
      <w:r>
        <w:rPr>
          <w:snapToGrid w:val="0"/>
        </w:rPr>
        <w:t>.</w:t>
      </w:r>
      <w:r>
        <w:rPr>
          <w:snapToGrid w:val="0"/>
        </w:rPr>
        <w:tab/>
        <w:t>Change of trial from or to Supreme Court</w:t>
      </w:r>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pPr>
        <w:pStyle w:val="Subsection"/>
        <w:rPr>
          <w:snapToGrid w:val="0"/>
        </w:rPr>
      </w:pPr>
      <w:r>
        <w:rPr>
          <w:snapToGrid w:val="0"/>
        </w:rPr>
        <w:tab/>
        <w:t>(3)</w:t>
      </w:r>
      <w:r>
        <w:rPr>
          <w:snapToGrid w:val="0"/>
        </w:rPr>
        <w:tab/>
        <w:t>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such person as if the committal had been to, or the indictment presented in, the Supreme Court.</w:t>
      </w:r>
    </w:p>
    <w:p>
      <w:pPr>
        <w:pStyle w:val="Ednotesection"/>
        <w:ind w:left="0" w:firstLine="0"/>
      </w:pPr>
      <w:bookmarkStart w:id="373" w:name="_Toc88026410"/>
      <w:bookmarkStart w:id="374" w:name="_Toc89515524"/>
      <w:bookmarkStart w:id="375" w:name="_Toc90176361"/>
      <w:bookmarkStart w:id="376" w:name="_Toc94947278"/>
      <w:bookmarkStart w:id="377" w:name="_Toc101669845"/>
      <w:r>
        <w:t>[</w:t>
      </w:r>
      <w:r>
        <w:rPr>
          <w:b/>
        </w:rPr>
        <w:t>46</w:t>
      </w:r>
      <w:r>
        <w:rPr>
          <w:b/>
        </w:rPr>
        <w:noBreakHyphen/>
        <w:t>49.</w:t>
      </w:r>
      <w:r>
        <w:tab/>
        <w:t>Repealed by No. 84 of 2004 s. 35.]</w:t>
      </w:r>
    </w:p>
    <w:p>
      <w:pPr>
        <w:pStyle w:val="Heading3"/>
        <w:rPr>
          <w:snapToGrid w:val="0"/>
        </w:rPr>
      </w:pPr>
      <w:bookmarkStart w:id="378" w:name="_Toc102719655"/>
      <w:bookmarkStart w:id="379" w:name="_Toc107824196"/>
      <w:bookmarkStart w:id="380" w:name="_Toc107887267"/>
      <w:bookmarkStart w:id="381" w:name="_Toc108435045"/>
      <w:bookmarkStart w:id="382" w:name="_Toc108518492"/>
      <w:bookmarkStart w:id="383" w:name="_Toc111880846"/>
      <w:bookmarkStart w:id="384" w:name="_Toc112035641"/>
      <w:bookmarkStart w:id="385" w:name="_Toc113079906"/>
      <w:bookmarkStart w:id="386" w:name="_Toc113080031"/>
      <w:bookmarkStart w:id="387" w:name="_Toc114285799"/>
      <w:bookmarkStart w:id="388" w:name="_Toc119915970"/>
      <w:bookmarkStart w:id="389" w:name="_Toc121551157"/>
      <w:bookmarkStart w:id="390" w:name="_Toc194986609"/>
      <w:r>
        <w:rPr>
          <w:rStyle w:val="CharDivNo"/>
        </w:rPr>
        <w:t>Division 2</w:t>
      </w:r>
      <w:r>
        <w:rPr>
          <w:snapToGrid w:val="0"/>
        </w:rPr>
        <w:t> — </w:t>
      </w:r>
      <w:r>
        <w:rPr>
          <w:rStyle w:val="CharDivText"/>
        </w:rPr>
        <w:t>Civil jurisdiction</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DivText"/>
        </w:rPr>
        <w:t xml:space="preserve"> </w:t>
      </w:r>
    </w:p>
    <w:p>
      <w:pPr>
        <w:pStyle w:val="Heading5"/>
        <w:rPr>
          <w:snapToGrid w:val="0"/>
        </w:rPr>
      </w:pPr>
      <w:bookmarkStart w:id="391" w:name="_Toc487616548"/>
      <w:bookmarkStart w:id="392" w:name="_Toc504897742"/>
      <w:bookmarkStart w:id="393" w:name="_Toc514029104"/>
      <w:bookmarkStart w:id="394" w:name="_Toc113079907"/>
      <w:bookmarkStart w:id="395" w:name="_Toc194986610"/>
      <w:r>
        <w:rPr>
          <w:rStyle w:val="CharSectno"/>
        </w:rPr>
        <w:t>50</w:t>
      </w:r>
      <w:r>
        <w:rPr>
          <w:snapToGrid w:val="0"/>
        </w:rPr>
        <w:t>.</w:t>
      </w:r>
      <w:r>
        <w:rPr>
          <w:snapToGrid w:val="0"/>
        </w:rPr>
        <w:tab/>
        <w:t>Civil jurisdiction</w:t>
      </w:r>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 </w:t>
      </w:r>
    </w:p>
    <w:p>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pPr>
        <w:pStyle w:val="Indenta"/>
        <w:rPr>
          <w:snapToGrid w:val="0"/>
        </w:rPr>
      </w:pPr>
      <w:r>
        <w:rPr>
          <w:snapToGrid w:val="0"/>
        </w:rPr>
        <w:tab/>
        <w:t>(bb)</w:t>
      </w:r>
      <w:r>
        <w:rPr>
          <w:snapToGrid w:val="0"/>
        </w:rPr>
        <w:tab/>
        <w:t>an action for specific performance of or for the rectifying, delivering up, or cancelling of any agreement whatever, where the amount in dispute or the value of the property affected is not more than</w:t>
      </w:r>
      <w:r>
        <w:t xml:space="preserve"> the jurisdictional limit</w:t>
      </w:r>
      <w:r>
        <w:rPr>
          <w:snapToGrid w:val="0"/>
        </w:rPr>
        <w:t>;</w:t>
      </w:r>
    </w:p>
    <w:p>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pPr>
        <w:pStyle w:val="Indenta"/>
        <w:rPr>
          <w:snapToGrid w:val="0"/>
        </w:rPr>
      </w:pPr>
      <w:r>
        <w:rPr>
          <w:snapToGrid w:val="0"/>
        </w:rPr>
        <w:tab/>
        <w:t>(f)</w:t>
      </w:r>
      <w:r>
        <w:rPr>
          <w:snapToGrid w:val="0"/>
        </w:rPr>
        <w:tab/>
        <w:t>all other actions or matters in respect of which jurisdiction is given to the Court by or under this or any other Act.</w:t>
      </w:r>
    </w:p>
    <w:p>
      <w:pPr>
        <w:pStyle w:val="Subsection"/>
        <w:rPr>
          <w:snapToGrid w:val="0"/>
        </w:rPr>
      </w:pPr>
      <w:r>
        <w:rPr>
          <w:snapToGrid w:val="0"/>
        </w:rPr>
        <w:tab/>
        <w:t>(1a)</w:t>
      </w:r>
      <w:r>
        <w:rPr>
          <w:snapToGrid w:val="0"/>
        </w:rPr>
        <w:tab/>
        <w:t>A sum of money referred to in subsection (1) does not include any interest which may be payable in the particular action.</w:t>
      </w:r>
    </w:p>
    <w:p>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pPr>
        <w:pStyle w:val="Footnotesection"/>
      </w:pPr>
      <w:r>
        <w:tab/>
        <w:t xml:space="preserve">[Section 50 amended by No. 14 of 1970 s. 10; No. 40 of 1972 s. 8; No. 69 of 1976 s. 5; No. 118 of 1981 s. 9; No. 122 of 1984 s. 8; No. 53 of 1992 s. 11(1) and 12; No. 59 of 2004 s. 82(2).] </w:t>
      </w:r>
    </w:p>
    <w:p>
      <w:pPr>
        <w:pStyle w:val="Heading5"/>
        <w:rPr>
          <w:snapToGrid w:val="0"/>
        </w:rPr>
      </w:pPr>
      <w:bookmarkStart w:id="396" w:name="_Toc487616549"/>
      <w:bookmarkStart w:id="397" w:name="_Toc504897743"/>
      <w:bookmarkStart w:id="398" w:name="_Toc514029105"/>
      <w:bookmarkStart w:id="399" w:name="_Toc113079908"/>
      <w:bookmarkStart w:id="400" w:name="_Toc194986611"/>
      <w:r>
        <w:rPr>
          <w:rStyle w:val="CharSectno"/>
        </w:rPr>
        <w:t>51</w:t>
      </w:r>
      <w:r>
        <w:rPr>
          <w:snapToGrid w:val="0"/>
        </w:rPr>
        <w:t>.</w:t>
      </w:r>
      <w:r>
        <w:rPr>
          <w:snapToGrid w:val="0"/>
        </w:rPr>
        <w:tab/>
        <w:t xml:space="preserve">Verdict or judgment for amount over </w:t>
      </w:r>
      <w:bookmarkEnd w:id="396"/>
      <w:bookmarkEnd w:id="397"/>
      <w:bookmarkEnd w:id="398"/>
      <w:r>
        <w:t>the jurisdictional limit</w:t>
      </w:r>
      <w:bookmarkEnd w:id="399"/>
      <w:bookmarkEnd w:id="400"/>
    </w:p>
    <w:p>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pPr>
        <w:pStyle w:val="Subsection"/>
        <w:rPr>
          <w:snapToGrid w:val="0"/>
        </w:rPr>
      </w:pPr>
      <w:r>
        <w:rPr>
          <w:snapToGrid w:val="0"/>
        </w:rPr>
        <w:tab/>
        <w:t>(2)</w:t>
      </w:r>
      <w:r>
        <w:rPr>
          <w:snapToGrid w:val="0"/>
        </w:rPr>
        <w:tab/>
        <w:t>Subsection (1) does not apply to or in relation to a trial of any personal action of the kind referred to in section 50(2).</w:t>
      </w:r>
    </w:p>
    <w:p>
      <w:pPr>
        <w:pStyle w:val="Footnotesection"/>
      </w:pPr>
      <w:r>
        <w:tab/>
        <w:t xml:space="preserve">[Section 51 amended by No. 40 of 1972 s. 9; No. 69 of 1976 s. 6; No. 118 of 1981 s. 10; No. 122 of 1984 s. 9; No. 53 of 1992 s. 11(2); No. 59 of 2004 s. 82(3).] </w:t>
      </w:r>
    </w:p>
    <w:p>
      <w:pPr>
        <w:pStyle w:val="Heading5"/>
        <w:rPr>
          <w:snapToGrid w:val="0"/>
        </w:rPr>
      </w:pPr>
      <w:bookmarkStart w:id="401" w:name="_Toc487616550"/>
      <w:bookmarkStart w:id="402" w:name="_Toc504897744"/>
      <w:bookmarkStart w:id="403" w:name="_Toc514029106"/>
      <w:bookmarkStart w:id="404" w:name="_Toc113079909"/>
      <w:bookmarkStart w:id="405" w:name="_Toc194986612"/>
      <w:r>
        <w:rPr>
          <w:rStyle w:val="CharSectno"/>
        </w:rPr>
        <w:t>52</w:t>
      </w:r>
      <w:r>
        <w:rPr>
          <w:snapToGrid w:val="0"/>
        </w:rPr>
        <w:t>.</w:t>
      </w:r>
      <w:r>
        <w:rPr>
          <w:snapToGrid w:val="0"/>
        </w:rPr>
        <w:tab/>
        <w:t>Practice and procedure to be same as Supreme Court</w:t>
      </w:r>
      <w:bookmarkEnd w:id="401"/>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pPr>
        <w:pStyle w:val="Heading5"/>
        <w:rPr>
          <w:snapToGrid w:val="0"/>
        </w:rPr>
      </w:pPr>
      <w:bookmarkStart w:id="406" w:name="_Toc487616551"/>
      <w:bookmarkStart w:id="407" w:name="_Toc504897745"/>
      <w:bookmarkStart w:id="408" w:name="_Toc514029107"/>
      <w:bookmarkStart w:id="409" w:name="_Toc113079910"/>
      <w:bookmarkStart w:id="410" w:name="_Toc194986613"/>
      <w:r>
        <w:rPr>
          <w:rStyle w:val="CharSectno"/>
        </w:rPr>
        <w:t>53</w:t>
      </w:r>
      <w:r>
        <w:rPr>
          <w:snapToGrid w:val="0"/>
        </w:rPr>
        <w:t>.</w:t>
      </w:r>
      <w:r>
        <w:rPr>
          <w:snapToGrid w:val="0"/>
        </w:rPr>
        <w:tab/>
        <w:t>Powers and authorities of judges, registrars, etc.</w:t>
      </w:r>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pPr>
        <w:pStyle w:val="Footnotesection"/>
      </w:pPr>
      <w:r>
        <w:tab/>
        <w:t xml:space="preserve">[Section 53 amended by No. 40 of 1972 s. 10; No. 53 of 1992 s. 9(3); No. 65 of 2003 s. 32(6); No. 59 of 2004 s. 85.] </w:t>
      </w:r>
    </w:p>
    <w:p>
      <w:pPr>
        <w:pStyle w:val="Heading5"/>
        <w:rPr>
          <w:snapToGrid w:val="0"/>
        </w:rPr>
      </w:pPr>
      <w:bookmarkStart w:id="411" w:name="_Toc487616552"/>
      <w:bookmarkStart w:id="412" w:name="_Toc504897746"/>
      <w:bookmarkStart w:id="413" w:name="_Toc514029108"/>
      <w:bookmarkStart w:id="414" w:name="_Toc113079911"/>
      <w:bookmarkStart w:id="415" w:name="_Toc194986614"/>
      <w:r>
        <w:rPr>
          <w:rStyle w:val="CharSectno"/>
        </w:rPr>
        <w:t>54</w:t>
      </w:r>
      <w:r>
        <w:rPr>
          <w:snapToGrid w:val="0"/>
        </w:rPr>
        <w:t>.</w:t>
      </w:r>
      <w:r>
        <w:rPr>
          <w:snapToGrid w:val="0"/>
        </w:rPr>
        <w:tab/>
        <w:t>Absconding debtors, jurisdiction over</w:t>
      </w:r>
      <w:bookmarkEnd w:id="411"/>
      <w:bookmarkEnd w:id="412"/>
      <w:bookmarkEnd w:id="413"/>
      <w:bookmarkEnd w:id="414"/>
      <w:bookmarkEnd w:id="415"/>
      <w:r>
        <w:rPr>
          <w:snapToGrid w:val="0"/>
        </w:rPr>
        <w:t xml:space="preserve"> </w:t>
      </w:r>
    </w:p>
    <w:p>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pPr>
        <w:pStyle w:val="Heading5"/>
        <w:rPr>
          <w:snapToGrid w:val="0"/>
        </w:rPr>
      </w:pPr>
      <w:bookmarkStart w:id="416" w:name="_Toc487616553"/>
      <w:bookmarkStart w:id="417" w:name="_Toc504897747"/>
      <w:bookmarkStart w:id="418" w:name="_Toc514029109"/>
      <w:bookmarkStart w:id="419" w:name="_Toc113079912"/>
      <w:bookmarkStart w:id="420" w:name="_Toc194986615"/>
      <w:r>
        <w:rPr>
          <w:rStyle w:val="CharSectno"/>
        </w:rPr>
        <w:t>55</w:t>
      </w:r>
      <w:r>
        <w:rPr>
          <w:snapToGrid w:val="0"/>
        </w:rPr>
        <w:t>.</w:t>
      </w:r>
      <w:r>
        <w:rPr>
          <w:snapToGrid w:val="0"/>
        </w:rPr>
        <w:tab/>
        <w:t>Court has powers of Supreme Court</w:t>
      </w:r>
      <w:bookmarkEnd w:id="416"/>
      <w:bookmarkEnd w:id="417"/>
      <w:bookmarkEnd w:id="418"/>
      <w:bookmarkEnd w:id="419"/>
      <w:bookmarkEnd w:id="420"/>
    </w:p>
    <w:p>
      <w:pPr>
        <w:pStyle w:val="Subsection"/>
        <w:rPr>
          <w:snapToGrid w:val="0"/>
        </w:rPr>
      </w:pPr>
      <w:r>
        <w:rPr>
          <w:snapToGrid w:val="0"/>
        </w:rPr>
        <w:tab/>
      </w:r>
      <w:r>
        <w:rPr>
          <w:snapToGrid w:val="0"/>
        </w:rPr>
        <w:tab/>
        <w:t>The Court or a District Court judge has, as regards any action or matter within its or his jurisdiction for the time being, power — </w:t>
      </w:r>
    </w:p>
    <w:p>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pPr>
        <w:pStyle w:val="Indenta"/>
        <w:rPr>
          <w:snapToGrid w:val="0"/>
        </w:rPr>
      </w:pPr>
      <w:r>
        <w:rPr>
          <w:snapToGrid w:val="0"/>
        </w:rPr>
        <w:tab/>
        <w:t>(b)</w:t>
      </w:r>
      <w:r>
        <w:rPr>
          <w:snapToGrid w:val="0"/>
        </w:rPr>
        <w:tab/>
        <w:t>to make any order that could be made in regard to any action or matter, and shall in each such action or matter give such and the like effect to every ground of defence or counterclaim equitable or legal,</w:t>
      </w:r>
    </w:p>
    <w:p>
      <w:pPr>
        <w:pStyle w:val="Subsection"/>
        <w:rPr>
          <w:snapToGrid w:val="0"/>
        </w:rPr>
      </w:pPr>
      <w:r>
        <w:rPr>
          <w:snapToGrid w:val="0"/>
        </w:rPr>
        <w:tab/>
      </w:r>
      <w:r>
        <w:rPr>
          <w:snapToGrid w:val="0"/>
        </w:rPr>
        <w:tab/>
        <w:t>in a full and ample manner as might and ought to be done in the like case by the Supreme Court or a judge thereof.</w:t>
      </w:r>
    </w:p>
    <w:p>
      <w:pPr>
        <w:pStyle w:val="Ednotesection"/>
      </w:pPr>
      <w:r>
        <w:t>[</w:t>
      </w:r>
      <w:r>
        <w:rPr>
          <w:b/>
        </w:rPr>
        <w:t>56.</w:t>
      </w:r>
      <w:r>
        <w:tab/>
        <w:t>Repealed by No. 59 of 2004 s. 85.]</w:t>
      </w:r>
    </w:p>
    <w:p>
      <w:pPr>
        <w:pStyle w:val="Heading5"/>
        <w:rPr>
          <w:snapToGrid w:val="0"/>
        </w:rPr>
      </w:pPr>
      <w:bookmarkStart w:id="421" w:name="_Toc487616555"/>
      <w:bookmarkStart w:id="422" w:name="_Toc504897749"/>
      <w:bookmarkStart w:id="423" w:name="_Toc514029111"/>
      <w:bookmarkStart w:id="424" w:name="_Toc113079913"/>
      <w:bookmarkStart w:id="425" w:name="_Toc194986616"/>
      <w:r>
        <w:rPr>
          <w:rStyle w:val="CharSectno"/>
        </w:rPr>
        <w:t>57</w:t>
      </w:r>
      <w:r>
        <w:rPr>
          <w:snapToGrid w:val="0"/>
        </w:rPr>
        <w:t>.</w:t>
      </w:r>
      <w:r>
        <w:rPr>
          <w:snapToGrid w:val="0"/>
        </w:rPr>
        <w:tab/>
        <w:t>Rules of law and equity applicable to the Court</w:t>
      </w:r>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pPr>
        <w:pStyle w:val="Heading5"/>
        <w:rPr>
          <w:snapToGrid w:val="0"/>
        </w:rPr>
      </w:pPr>
      <w:bookmarkStart w:id="426" w:name="_Toc487616556"/>
      <w:bookmarkStart w:id="427" w:name="_Toc504897750"/>
      <w:bookmarkStart w:id="428" w:name="_Toc514029112"/>
      <w:bookmarkStart w:id="429" w:name="_Toc113079914"/>
      <w:bookmarkStart w:id="430" w:name="_Toc194986617"/>
      <w:r>
        <w:rPr>
          <w:rStyle w:val="CharSectno"/>
        </w:rPr>
        <w:t>58</w:t>
      </w:r>
      <w:r>
        <w:rPr>
          <w:snapToGrid w:val="0"/>
        </w:rPr>
        <w:t>.</w:t>
      </w:r>
      <w:r>
        <w:rPr>
          <w:snapToGrid w:val="0"/>
        </w:rPr>
        <w:tab/>
        <w:t>Defences or counterclaims in the Court and transfers from the Court</w:t>
      </w:r>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pPr>
        <w:pStyle w:val="Heading5"/>
        <w:rPr>
          <w:snapToGrid w:val="0"/>
        </w:rPr>
      </w:pPr>
      <w:bookmarkStart w:id="431" w:name="_Toc487616557"/>
      <w:bookmarkStart w:id="432" w:name="_Toc504897751"/>
      <w:bookmarkStart w:id="433" w:name="_Toc514029113"/>
      <w:bookmarkStart w:id="434" w:name="_Toc113079915"/>
      <w:bookmarkStart w:id="435" w:name="_Toc194986618"/>
      <w:r>
        <w:rPr>
          <w:rStyle w:val="CharSectno"/>
        </w:rPr>
        <w:t>59</w:t>
      </w:r>
      <w:r>
        <w:rPr>
          <w:snapToGrid w:val="0"/>
        </w:rPr>
        <w:t>.</w:t>
      </w:r>
      <w:r>
        <w:rPr>
          <w:snapToGrid w:val="0"/>
        </w:rPr>
        <w:tab/>
        <w:t>Splitting demands, abandonment of excess</w:t>
      </w:r>
      <w:bookmarkEnd w:id="431"/>
      <w:bookmarkEnd w:id="432"/>
      <w:bookmarkEnd w:id="433"/>
      <w:bookmarkEnd w:id="434"/>
      <w:bookmarkEnd w:id="435"/>
      <w:r>
        <w:rPr>
          <w:snapToGrid w:val="0"/>
        </w:rPr>
        <w:t xml:space="preserve"> </w:t>
      </w:r>
    </w:p>
    <w:p>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pPr>
        <w:pStyle w:val="Heading5"/>
        <w:rPr>
          <w:snapToGrid w:val="0"/>
        </w:rPr>
      </w:pPr>
      <w:bookmarkStart w:id="436" w:name="_Toc487616558"/>
      <w:bookmarkStart w:id="437" w:name="_Toc504897752"/>
      <w:bookmarkStart w:id="438" w:name="_Toc514029114"/>
      <w:bookmarkStart w:id="439" w:name="_Toc113079916"/>
      <w:bookmarkStart w:id="440" w:name="_Toc194986619"/>
      <w:r>
        <w:rPr>
          <w:rStyle w:val="CharSectno"/>
        </w:rPr>
        <w:t>60</w:t>
      </w:r>
      <w:r>
        <w:rPr>
          <w:snapToGrid w:val="0"/>
        </w:rPr>
        <w:t>.</w:t>
      </w:r>
      <w:r>
        <w:rPr>
          <w:snapToGrid w:val="0"/>
        </w:rPr>
        <w:tab/>
        <w:t>Suing on separate security a separate cause of action</w:t>
      </w:r>
      <w:bookmarkEnd w:id="436"/>
      <w:bookmarkEnd w:id="437"/>
      <w:bookmarkEnd w:id="438"/>
      <w:bookmarkEnd w:id="439"/>
      <w:bookmarkEnd w:id="440"/>
      <w:r>
        <w:rPr>
          <w:snapToGrid w:val="0"/>
        </w:rPr>
        <w:t xml:space="preserve"> </w:t>
      </w:r>
    </w:p>
    <w:p>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pPr>
        <w:pStyle w:val="Footnotesection"/>
      </w:pPr>
      <w:r>
        <w:tab/>
        <w:t xml:space="preserve">[Section 60 amended by No. 40 of 1972 s. 12; No. 69 of 1976 s. 7; No. 118 of 1981 s. 11; No. 122 of 1984 s. 10; No. 53 of 1992 s. 11(3); No. 59 of 2004 s. 82(4).] </w:t>
      </w:r>
    </w:p>
    <w:p>
      <w:pPr>
        <w:pStyle w:val="Heading5"/>
        <w:rPr>
          <w:snapToGrid w:val="0"/>
        </w:rPr>
      </w:pPr>
      <w:bookmarkStart w:id="441" w:name="_Toc487616559"/>
      <w:bookmarkStart w:id="442" w:name="_Toc504897753"/>
      <w:bookmarkStart w:id="443" w:name="_Toc514029115"/>
      <w:bookmarkStart w:id="444" w:name="_Toc113079917"/>
      <w:bookmarkStart w:id="445" w:name="_Toc194986620"/>
      <w:r>
        <w:rPr>
          <w:rStyle w:val="CharSectno"/>
        </w:rPr>
        <w:t>61</w:t>
      </w:r>
      <w:r>
        <w:rPr>
          <w:snapToGrid w:val="0"/>
        </w:rPr>
        <w:t>.</w:t>
      </w:r>
      <w:r>
        <w:rPr>
          <w:snapToGrid w:val="0"/>
        </w:rPr>
        <w:tab/>
        <w:t>Facts establishing jurisdiction need not be stated</w:t>
      </w:r>
      <w:bookmarkEnd w:id="441"/>
      <w:bookmarkEnd w:id="442"/>
      <w:bookmarkEnd w:id="443"/>
      <w:bookmarkEnd w:id="444"/>
      <w:bookmarkEnd w:id="445"/>
    </w:p>
    <w:p>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pPr>
        <w:pStyle w:val="Ednotesection"/>
      </w:pPr>
      <w:bookmarkStart w:id="446" w:name="_Toc487616561"/>
      <w:bookmarkStart w:id="447" w:name="_Toc504897755"/>
      <w:bookmarkStart w:id="448" w:name="_Toc514029117"/>
      <w:r>
        <w:t>[</w:t>
      </w:r>
      <w:r>
        <w:rPr>
          <w:b/>
        </w:rPr>
        <w:t>62.</w:t>
      </w:r>
      <w:r>
        <w:tab/>
        <w:t>Repealed by No. 59 of 2004 s. 85.]</w:t>
      </w:r>
    </w:p>
    <w:p>
      <w:pPr>
        <w:pStyle w:val="Heading5"/>
        <w:rPr>
          <w:snapToGrid w:val="0"/>
        </w:rPr>
      </w:pPr>
      <w:bookmarkStart w:id="449" w:name="_Toc113079918"/>
      <w:bookmarkStart w:id="450" w:name="_Toc194986621"/>
      <w:r>
        <w:rPr>
          <w:rStyle w:val="CharSectno"/>
        </w:rPr>
        <w:t>63</w:t>
      </w:r>
      <w:r>
        <w:rPr>
          <w:snapToGrid w:val="0"/>
        </w:rPr>
        <w:t>.</w:t>
      </w:r>
      <w:r>
        <w:rPr>
          <w:snapToGrid w:val="0"/>
        </w:rPr>
        <w:tab/>
        <w:t>Contempt</w:t>
      </w:r>
      <w:bookmarkEnd w:id="446"/>
      <w:bookmarkEnd w:id="447"/>
      <w:bookmarkEnd w:id="448"/>
      <w:bookmarkEnd w:id="449"/>
      <w:bookmarkEnd w:id="450"/>
      <w:r>
        <w:rPr>
          <w:snapToGrid w:val="0"/>
        </w:rPr>
        <w:t xml:space="preserve"> </w:t>
      </w:r>
    </w:p>
    <w:p>
      <w:pPr>
        <w:pStyle w:val="Subsection"/>
        <w:keepNext/>
        <w:spacing w:before="140"/>
        <w:rPr>
          <w:snapToGrid w:val="0"/>
        </w:rPr>
      </w:pPr>
      <w:r>
        <w:rPr>
          <w:snapToGrid w:val="0"/>
        </w:rPr>
        <w:tab/>
        <w:t>(1)</w:t>
      </w:r>
      <w:r>
        <w:rPr>
          <w:snapToGrid w:val="0"/>
        </w:rPr>
        <w:tab/>
        <w:t>If a person — </w:t>
      </w:r>
    </w:p>
    <w:p>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clerk or officer of the Court during his sitting or attendance in Court or any District Court judge in going to or returning from the Court;</w:t>
      </w:r>
    </w:p>
    <w:p>
      <w:pPr>
        <w:pStyle w:val="Indenta"/>
        <w:rPr>
          <w:snapToGrid w:val="0"/>
        </w:rPr>
      </w:pPr>
      <w:r>
        <w:rPr>
          <w:snapToGrid w:val="0"/>
        </w:rPr>
        <w:tab/>
        <w:t>(b)</w:t>
      </w:r>
      <w:r>
        <w:rPr>
          <w:snapToGrid w:val="0"/>
        </w:rPr>
        <w:tab/>
        <w:t>wilfully interrupts proceedings of the Court;</w:t>
      </w:r>
    </w:p>
    <w:p>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w:t>
      </w:r>
    </w:p>
    <w:p>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w:t>
      </w:r>
    </w:p>
    <w:p>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pPr>
        <w:pStyle w:val="Indenta"/>
        <w:keepNext/>
        <w:rPr>
          <w:snapToGrid w:val="0"/>
        </w:rPr>
      </w:pPr>
      <w:r>
        <w:rPr>
          <w:snapToGrid w:val="0"/>
        </w:rPr>
        <w:tab/>
        <w:t>(f)</w:t>
      </w:r>
      <w:r>
        <w:rPr>
          <w:snapToGrid w:val="0"/>
        </w:rPr>
        <w:tab/>
        <w:t>misbehaves in the Court,</w:t>
      </w:r>
    </w:p>
    <w:p>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5 years,</w:t>
      </w:r>
    </w:p>
    <w:p>
      <w:pPr>
        <w:pStyle w:val="Subsection"/>
        <w:rPr>
          <w:snapToGrid w:val="0"/>
        </w:rPr>
      </w:pPr>
      <w:r>
        <w:rPr>
          <w:snapToGrid w:val="0"/>
        </w:rPr>
        <w:tab/>
      </w:r>
      <w:r>
        <w:rPr>
          <w:snapToGrid w:val="0"/>
        </w:rPr>
        <w:tab/>
        <w:t>whichever may be the shorter period.</w:t>
      </w:r>
    </w:p>
    <w:p>
      <w:pPr>
        <w:pStyle w:val="Subsection"/>
        <w:keepNext/>
        <w:rPr>
          <w:snapToGrid w:val="0"/>
        </w:rPr>
      </w:pPr>
      <w:r>
        <w:rPr>
          <w:snapToGrid w:val="0"/>
        </w:rPr>
        <w:tab/>
        <w:t>(2)</w:t>
      </w:r>
      <w:r>
        <w:rPr>
          <w:snapToGrid w:val="0"/>
        </w:rPr>
        <w:tab/>
        <w:t>A fine or commitment under this section does not exempt a person from obeying any summons to appear before the Court or to produce therein any books, deeds, papers or writings.</w:t>
      </w:r>
    </w:p>
    <w:p>
      <w:pPr>
        <w:pStyle w:val="Footnotesection"/>
      </w:pPr>
      <w:r>
        <w:tab/>
        <w:t xml:space="preserve">[Section 63 amended by No. 71 of 1986 s. 4; No. 53 of 1992 s. 13; No. 59 of 2004 s. 85.] </w:t>
      </w:r>
    </w:p>
    <w:p>
      <w:pPr>
        <w:pStyle w:val="Heading2"/>
      </w:pPr>
      <w:bookmarkStart w:id="451" w:name="_Toc88026425"/>
      <w:bookmarkStart w:id="452" w:name="_Toc89515539"/>
      <w:bookmarkStart w:id="453" w:name="_Toc90176376"/>
      <w:bookmarkStart w:id="454" w:name="_Toc94947293"/>
      <w:bookmarkStart w:id="455" w:name="_Toc101669860"/>
      <w:bookmarkStart w:id="456" w:name="_Toc102719668"/>
      <w:bookmarkStart w:id="457" w:name="_Toc107824209"/>
      <w:bookmarkStart w:id="458" w:name="_Toc107887280"/>
      <w:bookmarkStart w:id="459" w:name="_Toc108435058"/>
      <w:bookmarkStart w:id="460" w:name="_Toc108518505"/>
      <w:bookmarkStart w:id="461" w:name="_Toc111880859"/>
      <w:bookmarkStart w:id="462" w:name="_Toc112035654"/>
      <w:bookmarkStart w:id="463" w:name="_Toc113079919"/>
      <w:bookmarkStart w:id="464" w:name="_Toc113080044"/>
      <w:bookmarkStart w:id="465" w:name="_Toc114285812"/>
      <w:bookmarkStart w:id="466" w:name="_Toc119915983"/>
      <w:bookmarkStart w:id="467" w:name="_Toc121551170"/>
      <w:bookmarkStart w:id="468" w:name="_Toc194986622"/>
      <w:r>
        <w:rPr>
          <w:rStyle w:val="CharPartNo"/>
        </w:rPr>
        <w:t>Part IV</w:t>
      </w:r>
      <w:r>
        <w:rPr>
          <w:rStyle w:val="CharDivNo"/>
        </w:rPr>
        <w:t> </w:t>
      </w:r>
      <w:r>
        <w:t>—</w:t>
      </w:r>
      <w:r>
        <w:rPr>
          <w:rStyle w:val="CharDivText"/>
        </w:rPr>
        <w:t> </w:t>
      </w:r>
      <w:r>
        <w:rPr>
          <w:rStyle w:val="CharPartText"/>
        </w:rPr>
        <w:t>Costs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r>
        <w:rPr>
          <w:rStyle w:val="CharPartText"/>
        </w:rPr>
        <w:t xml:space="preserve"> </w:t>
      </w:r>
    </w:p>
    <w:p>
      <w:pPr>
        <w:pStyle w:val="Heading5"/>
        <w:spacing w:before="180"/>
        <w:rPr>
          <w:snapToGrid w:val="0"/>
        </w:rPr>
      </w:pPr>
      <w:bookmarkStart w:id="469" w:name="_Toc487616562"/>
      <w:bookmarkStart w:id="470" w:name="_Toc504897756"/>
      <w:bookmarkStart w:id="471" w:name="_Toc514029118"/>
      <w:bookmarkStart w:id="472" w:name="_Toc113079920"/>
      <w:bookmarkStart w:id="473" w:name="_Toc194986623"/>
      <w:r>
        <w:rPr>
          <w:rStyle w:val="CharSectno"/>
        </w:rPr>
        <w:t>64</w:t>
      </w:r>
      <w:r>
        <w:rPr>
          <w:snapToGrid w:val="0"/>
        </w:rPr>
        <w:t>.</w:t>
      </w:r>
      <w:r>
        <w:rPr>
          <w:snapToGrid w:val="0"/>
        </w:rPr>
        <w:tab/>
        <w:t>Costs of action or proceeding</w:t>
      </w:r>
      <w:bookmarkEnd w:id="469"/>
      <w:bookmarkEnd w:id="470"/>
      <w:bookmarkEnd w:id="471"/>
      <w:bookmarkEnd w:id="472"/>
      <w:bookmarkEnd w:id="473"/>
      <w:r>
        <w:rPr>
          <w:snapToGrid w:val="0"/>
        </w:rPr>
        <w:t xml:space="preserve"> </w:t>
      </w:r>
    </w:p>
    <w:p>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legal costs determination (as defined in the </w:t>
      </w:r>
      <w:r>
        <w:rPr>
          <w:i/>
        </w:rPr>
        <w:t>Legal Practice Act 2003</w:t>
      </w:r>
      <w:r>
        <w:t xml:space="preserve">) </w:t>
      </w:r>
      <w:r>
        <w:rPr>
          <w:snapToGrid w:val="0"/>
        </w:rPr>
        <w:t>and shall be paid by or apportioned between the parties in such manner as the District Court judge directs and in default of such a direction shall abide the event.</w:t>
      </w:r>
    </w:p>
    <w:p>
      <w:pPr>
        <w:pStyle w:val="Subsection"/>
        <w:spacing w:before="120"/>
        <w:rPr>
          <w:snapToGrid w:val="0"/>
        </w:rPr>
      </w:pPr>
      <w:r>
        <w:rPr>
          <w:snapToGrid w:val="0"/>
        </w:rPr>
        <w:tab/>
        <w:t>(2)</w:t>
      </w:r>
      <w:r>
        <w:rPr>
          <w:snapToGrid w:val="0"/>
        </w:rPr>
        <w:tab/>
        <w:t>The costs may be recovered in like manner as a debt adjudged by the Court to be paid.</w:t>
      </w:r>
    </w:p>
    <w:p>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pPr>
        <w:pStyle w:val="Footnotesection"/>
        <w:ind w:left="890" w:hanging="890"/>
      </w:pPr>
      <w:r>
        <w:tab/>
        <w:t xml:space="preserve">[Section 64 amended by No. 65 of 1987 s. 24; No. 65 of 2003 s. 32(7).] </w:t>
      </w:r>
    </w:p>
    <w:p>
      <w:pPr>
        <w:pStyle w:val="Heading5"/>
        <w:spacing w:before="180"/>
        <w:rPr>
          <w:snapToGrid w:val="0"/>
        </w:rPr>
      </w:pPr>
      <w:bookmarkStart w:id="474" w:name="_Toc487616563"/>
      <w:bookmarkStart w:id="475" w:name="_Toc504897757"/>
      <w:bookmarkStart w:id="476" w:name="_Toc514029119"/>
      <w:bookmarkStart w:id="477" w:name="_Toc113079921"/>
      <w:bookmarkStart w:id="478" w:name="_Toc194986624"/>
      <w:r>
        <w:rPr>
          <w:rStyle w:val="CharSectno"/>
        </w:rPr>
        <w:t>65</w:t>
      </w:r>
      <w:r>
        <w:rPr>
          <w:snapToGrid w:val="0"/>
        </w:rPr>
        <w:t>.</w:t>
      </w:r>
      <w:r>
        <w:rPr>
          <w:snapToGrid w:val="0"/>
        </w:rPr>
        <w:tab/>
        <w:t>Costs where the Court has no jurisdiction</w:t>
      </w:r>
      <w:bookmarkEnd w:id="474"/>
      <w:bookmarkEnd w:id="475"/>
      <w:bookmarkEnd w:id="476"/>
      <w:bookmarkEnd w:id="477"/>
      <w:bookmarkEnd w:id="478"/>
      <w:r>
        <w:rPr>
          <w:snapToGrid w:val="0"/>
        </w:rPr>
        <w:t xml:space="preserve"> </w:t>
      </w:r>
    </w:p>
    <w:p>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pPr>
        <w:pStyle w:val="Heading5"/>
        <w:spacing w:before="180"/>
        <w:rPr>
          <w:snapToGrid w:val="0"/>
        </w:rPr>
      </w:pPr>
      <w:bookmarkStart w:id="479" w:name="_Toc487616564"/>
      <w:bookmarkStart w:id="480" w:name="_Toc504897758"/>
      <w:bookmarkStart w:id="481" w:name="_Toc514029120"/>
      <w:bookmarkStart w:id="482" w:name="_Toc113079922"/>
      <w:bookmarkStart w:id="483" w:name="_Toc194986625"/>
      <w:r>
        <w:rPr>
          <w:rStyle w:val="CharSectno"/>
        </w:rPr>
        <w:t>66</w:t>
      </w:r>
      <w:r>
        <w:rPr>
          <w:snapToGrid w:val="0"/>
        </w:rPr>
        <w:t>.</w:t>
      </w:r>
      <w:r>
        <w:rPr>
          <w:snapToGrid w:val="0"/>
        </w:rPr>
        <w:tab/>
        <w:t>Solicitor and client costs, witness expenses</w:t>
      </w:r>
      <w:bookmarkEnd w:id="479"/>
      <w:bookmarkEnd w:id="480"/>
      <w:bookmarkEnd w:id="481"/>
      <w:bookmarkEnd w:id="482"/>
      <w:bookmarkEnd w:id="483"/>
    </w:p>
    <w:p>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legal costs determination (as defined in the </w:t>
      </w:r>
      <w:r>
        <w:rPr>
          <w:i/>
        </w:rPr>
        <w:t>Legal Practice Act 2003</w:t>
      </w:r>
      <w:r>
        <w:t>)</w:t>
      </w:r>
      <w:r>
        <w:rPr>
          <w:snapToGrid w:val="0"/>
        </w:rPr>
        <w:t>, and the expenses to be paid to witnesses shall be according to the scale, for the time being in force, in the Supreme Court.</w:t>
      </w:r>
    </w:p>
    <w:p>
      <w:pPr>
        <w:pStyle w:val="Footnotesection"/>
      </w:pPr>
      <w:r>
        <w:tab/>
        <w:t xml:space="preserve">[Section 66 amended by No. 65 of 1987 s. 25; No. 65 of 2003 s. 32(8).] </w:t>
      </w:r>
    </w:p>
    <w:p>
      <w:pPr>
        <w:pStyle w:val="Heading5"/>
        <w:rPr>
          <w:snapToGrid w:val="0"/>
        </w:rPr>
      </w:pPr>
      <w:bookmarkStart w:id="484" w:name="_Toc487616565"/>
      <w:bookmarkStart w:id="485" w:name="_Toc504897759"/>
      <w:bookmarkStart w:id="486" w:name="_Toc514029121"/>
      <w:bookmarkStart w:id="487" w:name="_Toc113079923"/>
      <w:bookmarkStart w:id="488" w:name="_Toc194986626"/>
      <w:r>
        <w:rPr>
          <w:rStyle w:val="CharSectno"/>
        </w:rPr>
        <w:t>67</w:t>
      </w:r>
      <w:r>
        <w:rPr>
          <w:snapToGrid w:val="0"/>
        </w:rPr>
        <w:t>.</w:t>
      </w:r>
      <w:r>
        <w:rPr>
          <w:snapToGrid w:val="0"/>
        </w:rPr>
        <w:tab/>
        <w:t>Costs, taxation of</w:t>
      </w:r>
      <w:bookmarkEnd w:id="484"/>
      <w:bookmarkEnd w:id="485"/>
      <w:bookmarkEnd w:id="486"/>
      <w:bookmarkEnd w:id="487"/>
      <w:bookmarkEnd w:id="488"/>
    </w:p>
    <w:p>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pPr>
        <w:pStyle w:val="Footnotesection"/>
      </w:pPr>
      <w:r>
        <w:tab/>
        <w:t xml:space="preserve">[Section 67 amended by No. 40 of 1972 s. 13; No. 53 of 1992 s. 9(3).] </w:t>
      </w:r>
    </w:p>
    <w:p>
      <w:pPr>
        <w:pStyle w:val="Heading5"/>
        <w:rPr>
          <w:snapToGrid w:val="0"/>
        </w:rPr>
      </w:pPr>
      <w:bookmarkStart w:id="489" w:name="_Toc487616566"/>
      <w:bookmarkStart w:id="490" w:name="_Toc504897760"/>
      <w:bookmarkStart w:id="491" w:name="_Toc514029122"/>
      <w:bookmarkStart w:id="492" w:name="_Toc113079924"/>
      <w:bookmarkStart w:id="493" w:name="_Toc194986627"/>
      <w:r>
        <w:rPr>
          <w:rStyle w:val="CharSectno"/>
        </w:rPr>
        <w:t>68</w:t>
      </w:r>
      <w:r>
        <w:rPr>
          <w:snapToGrid w:val="0"/>
        </w:rPr>
        <w:t>.</w:t>
      </w:r>
      <w:r>
        <w:rPr>
          <w:snapToGrid w:val="0"/>
        </w:rPr>
        <w:tab/>
        <w:t>Solicitor and client costs to be taxed in Supreme Court</w:t>
      </w:r>
      <w:bookmarkEnd w:id="489"/>
      <w:bookmarkEnd w:id="490"/>
      <w:bookmarkEnd w:id="491"/>
      <w:bookmarkEnd w:id="492"/>
      <w:bookmarkEnd w:id="493"/>
    </w:p>
    <w:p>
      <w:pPr>
        <w:pStyle w:val="Subsection"/>
        <w:rPr>
          <w:snapToGrid w:val="0"/>
        </w:rPr>
      </w:pPr>
      <w:r>
        <w:rPr>
          <w:snapToGrid w:val="0"/>
        </w:rPr>
        <w:tab/>
      </w:r>
      <w:r>
        <w:rPr>
          <w:snapToGrid w:val="0"/>
        </w:rPr>
        <w:tab/>
        <w:t>Costs and charges of proceedings as between solicitor and client may be taxed by the taxing officer of the Supreme Court.</w:t>
      </w:r>
    </w:p>
    <w:p>
      <w:pPr>
        <w:pStyle w:val="Heading2"/>
      </w:pPr>
      <w:bookmarkStart w:id="494" w:name="_Toc88026431"/>
      <w:bookmarkStart w:id="495" w:name="_Toc89515545"/>
      <w:bookmarkStart w:id="496" w:name="_Toc90176382"/>
      <w:bookmarkStart w:id="497" w:name="_Toc94947299"/>
      <w:bookmarkStart w:id="498" w:name="_Toc101669866"/>
      <w:bookmarkStart w:id="499" w:name="_Toc102719674"/>
      <w:bookmarkStart w:id="500" w:name="_Toc107824215"/>
      <w:bookmarkStart w:id="501" w:name="_Toc107887286"/>
      <w:bookmarkStart w:id="502" w:name="_Toc108435064"/>
      <w:bookmarkStart w:id="503" w:name="_Toc108518511"/>
      <w:bookmarkStart w:id="504" w:name="_Toc111880865"/>
      <w:bookmarkStart w:id="505" w:name="_Toc112035660"/>
      <w:bookmarkStart w:id="506" w:name="_Toc113079925"/>
      <w:bookmarkStart w:id="507" w:name="_Toc113080050"/>
      <w:bookmarkStart w:id="508" w:name="_Toc114285818"/>
      <w:bookmarkStart w:id="509" w:name="_Toc119915989"/>
      <w:bookmarkStart w:id="510" w:name="_Toc121551176"/>
      <w:bookmarkStart w:id="511" w:name="_Toc194986628"/>
      <w:r>
        <w:rPr>
          <w:rStyle w:val="CharPartNo"/>
        </w:rPr>
        <w:t>Part V</w:t>
      </w:r>
      <w:r>
        <w:rPr>
          <w:rStyle w:val="CharDivNo"/>
        </w:rPr>
        <w:t> </w:t>
      </w:r>
      <w:r>
        <w:t>—</w:t>
      </w:r>
      <w:r>
        <w:rPr>
          <w:rStyle w:val="CharDivText"/>
        </w:rPr>
        <w:t> </w:t>
      </w:r>
      <w:r>
        <w:rPr>
          <w:rStyle w:val="CharPartText"/>
        </w:rPr>
        <w:t>Commencement of action</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r>
        <w:rPr>
          <w:rStyle w:val="CharPartText"/>
        </w:rPr>
        <w:t xml:space="preserve"> </w:t>
      </w:r>
    </w:p>
    <w:p>
      <w:pPr>
        <w:pStyle w:val="Heading5"/>
        <w:rPr>
          <w:snapToGrid w:val="0"/>
        </w:rPr>
      </w:pPr>
      <w:bookmarkStart w:id="512" w:name="_Toc487616567"/>
      <w:bookmarkStart w:id="513" w:name="_Toc504897761"/>
      <w:bookmarkStart w:id="514" w:name="_Toc514029123"/>
      <w:bookmarkStart w:id="515" w:name="_Toc113079926"/>
      <w:bookmarkStart w:id="516" w:name="_Toc194986629"/>
      <w:r>
        <w:rPr>
          <w:rStyle w:val="CharSectno"/>
        </w:rPr>
        <w:t>69</w:t>
      </w:r>
      <w:r>
        <w:rPr>
          <w:snapToGrid w:val="0"/>
        </w:rPr>
        <w:t>.</w:t>
      </w:r>
      <w:r>
        <w:rPr>
          <w:snapToGrid w:val="0"/>
        </w:rPr>
        <w:tab/>
        <w:t>Where action to be commenced</w:t>
      </w:r>
      <w:bookmarkEnd w:id="512"/>
      <w:bookmarkEnd w:id="513"/>
      <w:bookmarkEnd w:id="514"/>
      <w:bookmarkEnd w:id="515"/>
      <w:bookmarkEnd w:id="516"/>
    </w:p>
    <w:p>
      <w:pPr>
        <w:pStyle w:val="Subsection"/>
        <w:rPr>
          <w:snapToGrid w:val="0"/>
        </w:rPr>
      </w:pPr>
      <w:r>
        <w:rPr>
          <w:snapToGrid w:val="0"/>
        </w:rPr>
        <w:tab/>
        <w:t>(1)</w:t>
      </w:r>
      <w:r>
        <w:rPr>
          <w:snapToGrid w:val="0"/>
        </w:rPr>
        <w:tab/>
        <w:t>The Court has jurisdiction throughout the State.</w:t>
      </w:r>
    </w:p>
    <w:p>
      <w:pPr>
        <w:pStyle w:val="Subsection"/>
        <w:rPr>
          <w:snapToGrid w:val="0"/>
        </w:rPr>
      </w:pPr>
      <w:r>
        <w:rPr>
          <w:snapToGrid w:val="0"/>
        </w:rPr>
        <w:tab/>
        <w:t>(2)</w:t>
      </w:r>
      <w:r>
        <w:rPr>
          <w:snapToGrid w:val="0"/>
        </w:rPr>
        <w:tab/>
        <w:t>An action shall be commenced in the Court sitting at the place nearest to where — </w:t>
      </w:r>
    </w:p>
    <w:p>
      <w:pPr>
        <w:pStyle w:val="Indenta"/>
        <w:rPr>
          <w:snapToGrid w:val="0"/>
        </w:rPr>
      </w:pPr>
      <w:r>
        <w:rPr>
          <w:snapToGrid w:val="0"/>
        </w:rPr>
        <w:tab/>
        <w:t>(a)</w:t>
      </w:r>
      <w:r>
        <w:rPr>
          <w:snapToGrid w:val="0"/>
        </w:rPr>
        <w:tab/>
        <w:t>the defendant or one of 2 or more defendants, as the case may be, resides or carries on business;</w:t>
      </w:r>
    </w:p>
    <w:p>
      <w:pPr>
        <w:pStyle w:val="Indenta"/>
        <w:rPr>
          <w:snapToGrid w:val="0"/>
        </w:rPr>
      </w:pPr>
      <w:r>
        <w:rPr>
          <w:snapToGrid w:val="0"/>
        </w:rPr>
        <w:tab/>
        <w:t>(b)</w:t>
      </w:r>
      <w:r>
        <w:rPr>
          <w:snapToGrid w:val="0"/>
        </w:rPr>
        <w:tab/>
        <w:t>the cause of action or claim arose either wholly or in some material part; or</w:t>
      </w:r>
    </w:p>
    <w:p>
      <w:pPr>
        <w:pStyle w:val="Indenta"/>
        <w:rPr>
          <w:snapToGrid w:val="0"/>
        </w:rPr>
      </w:pPr>
      <w:r>
        <w:rPr>
          <w:snapToGrid w:val="0"/>
        </w:rPr>
        <w:tab/>
        <w:t>(c)</w:t>
      </w:r>
      <w:r>
        <w:rPr>
          <w:snapToGrid w:val="0"/>
        </w:rPr>
        <w:tab/>
        <w:t>a debt or sum of money is made payable under an engagement or promise in writing given by the defendant.</w:t>
      </w:r>
    </w:p>
    <w:p>
      <w:pPr>
        <w:pStyle w:val="Heading5"/>
        <w:rPr>
          <w:snapToGrid w:val="0"/>
        </w:rPr>
      </w:pPr>
      <w:bookmarkStart w:id="517" w:name="_Toc487616568"/>
      <w:bookmarkStart w:id="518" w:name="_Toc504897762"/>
      <w:bookmarkStart w:id="519" w:name="_Toc514029124"/>
      <w:bookmarkStart w:id="520" w:name="_Toc113079927"/>
      <w:bookmarkStart w:id="521" w:name="_Toc194986630"/>
      <w:r>
        <w:rPr>
          <w:rStyle w:val="CharSectno"/>
        </w:rPr>
        <w:t>70</w:t>
      </w:r>
      <w:r>
        <w:rPr>
          <w:snapToGrid w:val="0"/>
        </w:rPr>
        <w:t>.</w:t>
      </w:r>
      <w:r>
        <w:rPr>
          <w:snapToGrid w:val="0"/>
        </w:rPr>
        <w:tab/>
        <w:t>Defendant may object to where action commenced</w:t>
      </w:r>
      <w:bookmarkEnd w:id="517"/>
      <w:bookmarkEnd w:id="518"/>
      <w:bookmarkEnd w:id="519"/>
      <w:bookmarkEnd w:id="520"/>
      <w:bookmarkEnd w:id="521"/>
    </w:p>
    <w:p>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pPr>
        <w:pStyle w:val="Subsection"/>
        <w:rPr>
          <w:snapToGrid w:val="0"/>
        </w:rPr>
      </w:pPr>
      <w:r>
        <w:rPr>
          <w:snapToGrid w:val="0"/>
        </w:rPr>
        <w:tab/>
        <w:t>(3)</w:t>
      </w:r>
      <w:r>
        <w:rPr>
          <w:snapToGrid w:val="0"/>
        </w:rPr>
        <w:tab/>
        <w:t>On the hearing of the application the District Court judge may make such order as he thinks fit.</w:t>
      </w:r>
    </w:p>
    <w:p>
      <w:pPr>
        <w:pStyle w:val="Heading2"/>
        <w:rPr>
          <w:rFonts w:ascii="Courier New" w:hAnsi="Courier New"/>
          <w:sz w:val="24"/>
        </w:rPr>
      </w:pPr>
      <w:bookmarkStart w:id="522" w:name="_Toc88026434"/>
      <w:bookmarkStart w:id="523" w:name="_Toc89515548"/>
      <w:bookmarkStart w:id="524" w:name="_Toc90176385"/>
      <w:bookmarkStart w:id="525" w:name="_Toc94947302"/>
      <w:bookmarkStart w:id="526" w:name="_Toc101669869"/>
      <w:bookmarkStart w:id="527" w:name="_Toc102719677"/>
      <w:bookmarkStart w:id="528" w:name="_Toc107824218"/>
      <w:bookmarkStart w:id="529" w:name="_Toc107887289"/>
      <w:bookmarkStart w:id="530" w:name="_Toc108435067"/>
      <w:bookmarkStart w:id="531" w:name="_Toc108518514"/>
      <w:bookmarkStart w:id="532" w:name="_Toc111880868"/>
      <w:bookmarkStart w:id="533" w:name="_Toc112035663"/>
      <w:bookmarkStart w:id="534" w:name="_Toc113079928"/>
      <w:bookmarkStart w:id="535" w:name="_Toc113080053"/>
      <w:bookmarkStart w:id="536" w:name="_Toc114285821"/>
      <w:bookmarkStart w:id="537" w:name="_Toc119915992"/>
      <w:bookmarkStart w:id="538" w:name="_Toc121551179"/>
      <w:bookmarkStart w:id="539" w:name="_Toc194986631"/>
      <w:r>
        <w:rPr>
          <w:rStyle w:val="CharPartNo"/>
        </w:rPr>
        <w:t>Part VI</w:t>
      </w:r>
      <w:r>
        <w:rPr>
          <w:rStyle w:val="CharDivNo"/>
        </w:rPr>
        <w:t> </w:t>
      </w:r>
      <w:r>
        <w:t>—</w:t>
      </w:r>
      <w:r>
        <w:rPr>
          <w:rStyle w:val="CharDivText"/>
        </w:rPr>
        <w:t> </w:t>
      </w:r>
      <w:r>
        <w:rPr>
          <w:rStyle w:val="CharPartText"/>
        </w:rPr>
        <w:t>Remitting and transferring actions and matters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Style w:val="CharPartText"/>
        </w:rPr>
        <w:t xml:space="preserve"> </w:t>
      </w:r>
    </w:p>
    <w:p>
      <w:pPr>
        <w:pStyle w:val="Heading5"/>
        <w:rPr>
          <w:snapToGrid w:val="0"/>
        </w:rPr>
      </w:pPr>
      <w:bookmarkStart w:id="540" w:name="_Toc487616569"/>
      <w:bookmarkStart w:id="541" w:name="_Toc504897763"/>
      <w:bookmarkStart w:id="542" w:name="_Toc514029125"/>
      <w:bookmarkStart w:id="543" w:name="_Toc113079929"/>
      <w:bookmarkStart w:id="544" w:name="_Toc194986632"/>
      <w:r>
        <w:rPr>
          <w:rStyle w:val="CharSectno"/>
        </w:rPr>
        <w:t>71</w:t>
      </w:r>
      <w:r>
        <w:rPr>
          <w:snapToGrid w:val="0"/>
        </w:rPr>
        <w:t>.</w:t>
      </w:r>
      <w:r>
        <w:rPr>
          <w:snapToGrid w:val="0"/>
        </w:rPr>
        <w:tab/>
        <w:t>Transfer to different place</w:t>
      </w:r>
      <w:bookmarkEnd w:id="540"/>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pPr>
        <w:pStyle w:val="Heading5"/>
        <w:rPr>
          <w:snapToGrid w:val="0"/>
        </w:rPr>
      </w:pPr>
      <w:bookmarkStart w:id="545" w:name="_Toc487616570"/>
      <w:bookmarkStart w:id="546" w:name="_Toc504897764"/>
      <w:bookmarkStart w:id="547" w:name="_Toc514029126"/>
      <w:bookmarkStart w:id="548" w:name="_Toc113079930"/>
      <w:bookmarkStart w:id="549" w:name="_Toc194986633"/>
      <w:r>
        <w:rPr>
          <w:rStyle w:val="CharSectno"/>
        </w:rPr>
        <w:t>72</w:t>
      </w:r>
      <w:r>
        <w:rPr>
          <w:snapToGrid w:val="0"/>
        </w:rPr>
        <w:t>.</w:t>
      </w:r>
      <w:r>
        <w:rPr>
          <w:snapToGrid w:val="0"/>
        </w:rPr>
        <w:tab/>
        <w:t>Judge may change venue</w:t>
      </w:r>
      <w:bookmarkEnd w:id="545"/>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pPr>
        <w:pStyle w:val="Ednotesection"/>
      </w:pPr>
      <w:bookmarkStart w:id="550" w:name="_Toc487616572"/>
      <w:bookmarkStart w:id="551" w:name="_Toc504897766"/>
      <w:bookmarkStart w:id="552" w:name="_Toc514029128"/>
      <w:r>
        <w:t>[</w:t>
      </w:r>
      <w:r>
        <w:rPr>
          <w:b/>
        </w:rPr>
        <w:t>73.</w:t>
      </w:r>
      <w:r>
        <w:tab/>
        <w:t>Repealed by No. 59 of 2004 s. 85.]</w:t>
      </w:r>
    </w:p>
    <w:p>
      <w:pPr>
        <w:pStyle w:val="Heading5"/>
      </w:pPr>
      <w:bookmarkStart w:id="553" w:name="_Toc113079931"/>
      <w:bookmarkStart w:id="554" w:name="_Toc194986634"/>
      <w:bookmarkStart w:id="555" w:name="_Toc487616573"/>
      <w:bookmarkStart w:id="556" w:name="_Toc504897767"/>
      <w:bookmarkStart w:id="557" w:name="_Toc514029129"/>
      <w:bookmarkEnd w:id="550"/>
      <w:bookmarkEnd w:id="551"/>
      <w:bookmarkEnd w:id="552"/>
      <w:r>
        <w:rPr>
          <w:rStyle w:val="CharSectno"/>
        </w:rPr>
        <w:t>74</w:t>
      </w:r>
      <w:r>
        <w:t>.</w:t>
      </w:r>
      <w:r>
        <w:tab/>
        <w:t>Court may transfer case to Magistrates Court</w:t>
      </w:r>
      <w:bookmarkEnd w:id="553"/>
      <w:bookmarkEnd w:id="554"/>
    </w:p>
    <w:p>
      <w:pPr>
        <w:pStyle w:val="Subsection"/>
      </w:pPr>
      <w:r>
        <w:tab/>
        <w:t>(1)</w:t>
      </w:r>
      <w:r>
        <w:tab/>
        <w:t>If an action or matter in the Court —</w:t>
      </w:r>
    </w:p>
    <w:p>
      <w:pPr>
        <w:pStyle w:val="Indenta"/>
      </w:pPr>
      <w:r>
        <w:tab/>
        <w:t>(a)</w:t>
      </w:r>
      <w:r>
        <w:tab/>
        <w:t>is within the Magistrates Court’s jurisdiction;</w:t>
      </w:r>
    </w:p>
    <w:p>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pPr>
        <w:pStyle w:val="Indenta"/>
      </w:pPr>
      <w:r>
        <w:tab/>
        <w:t>(c)</w:t>
      </w:r>
      <w:r>
        <w:tab/>
        <w:t>becomes within the Magistrates Court’s jurisdiction because its jurisdiction is increased,</w:t>
      </w:r>
    </w:p>
    <w:p>
      <w:pPr>
        <w:pStyle w:val="Subsection"/>
      </w:pPr>
      <w:r>
        <w:tab/>
      </w:r>
      <w:r>
        <w:tab/>
        <w:t>the Court may order that the action or matter be transferred to the Magistrates Court.</w:t>
      </w:r>
    </w:p>
    <w:p>
      <w:pPr>
        <w:pStyle w:val="Subsection"/>
      </w:pPr>
      <w:r>
        <w:tab/>
        <w:t>(2)</w:t>
      </w:r>
      <w:r>
        <w:tab/>
        <w:t>An order under subsection (1) may be made on the application of a party to the action or matter or by the Court on its own initiative.</w:t>
      </w:r>
    </w:p>
    <w:p>
      <w:pPr>
        <w:pStyle w:val="Subsection"/>
      </w:pPr>
      <w:r>
        <w:tab/>
        <w:t>(3)</w:t>
      </w:r>
      <w:r>
        <w:tab/>
        <w:t>If the Court makes an order under subsection (1) it may also make any other necessary orders including orders as to —</w:t>
      </w:r>
    </w:p>
    <w:p>
      <w:pPr>
        <w:pStyle w:val="Indenta"/>
      </w:pPr>
      <w:r>
        <w:tab/>
        <w:t>(a)</w:t>
      </w:r>
      <w:r>
        <w:tab/>
        <w:t>the registry of the Magistrates Court in which the action or matter is to be conducted;</w:t>
      </w:r>
    </w:p>
    <w:p>
      <w:pPr>
        <w:pStyle w:val="Indenta"/>
      </w:pPr>
      <w:r>
        <w:tab/>
        <w:t>(b)</w:t>
      </w:r>
      <w:r>
        <w:tab/>
        <w:t>the payment of fees in the Magistrates Court; and</w:t>
      </w:r>
    </w:p>
    <w:p>
      <w:pPr>
        <w:pStyle w:val="Indenta"/>
      </w:pPr>
      <w:r>
        <w:tab/>
        <w:t>(c)</w:t>
      </w:r>
      <w:r>
        <w:tab/>
        <w:t>the costs in the action or matter that relate to proceedings in the Court.</w:t>
      </w:r>
    </w:p>
    <w:p>
      <w:pPr>
        <w:pStyle w:val="Subsection"/>
      </w:pPr>
      <w:r>
        <w:tab/>
        <w:t>(4)</w:t>
      </w:r>
      <w:r>
        <w:tab/>
        <w:t>If the Court makes an order under subsection (1) the Principal Registrar is to send the Court’s file to the registry of the Magistrates Court in which the action or matter is to be conducted.</w:t>
      </w:r>
    </w:p>
    <w:p>
      <w:pPr>
        <w:pStyle w:val="Subsection"/>
      </w:pPr>
      <w:r>
        <w:tab/>
        <w:t>(5)</w:t>
      </w:r>
      <w:r>
        <w:tab/>
        <w:t>If an action or matter is transferred to the Magistrates Court under an order made under subsection (1) that court is to deal with the action or matter as if it had been commenced in that court.</w:t>
      </w:r>
    </w:p>
    <w:p>
      <w:pPr>
        <w:pStyle w:val="Footnotesection"/>
      </w:pPr>
      <w:r>
        <w:tab/>
        <w:t>[Section 74 inserted by No. 59 of 2004 s. 83.]</w:t>
      </w:r>
    </w:p>
    <w:p>
      <w:pPr>
        <w:pStyle w:val="Ednotesection"/>
      </w:pPr>
      <w:bookmarkStart w:id="558" w:name="_Toc487616574"/>
      <w:bookmarkStart w:id="559" w:name="_Toc504897768"/>
      <w:bookmarkStart w:id="560" w:name="_Toc514029130"/>
      <w:bookmarkEnd w:id="555"/>
      <w:bookmarkEnd w:id="556"/>
      <w:bookmarkEnd w:id="557"/>
      <w:r>
        <w:t>[</w:t>
      </w:r>
      <w:r>
        <w:rPr>
          <w:b/>
        </w:rPr>
        <w:t>75.</w:t>
      </w:r>
      <w:r>
        <w:tab/>
        <w:t>Repealed by No. 59 of 2004 s. 85.]</w:t>
      </w:r>
    </w:p>
    <w:p>
      <w:pPr>
        <w:pStyle w:val="Heading5"/>
        <w:rPr>
          <w:snapToGrid w:val="0"/>
        </w:rPr>
      </w:pPr>
      <w:bookmarkStart w:id="561" w:name="_Toc113079932"/>
      <w:bookmarkStart w:id="562" w:name="_Toc194986635"/>
      <w:r>
        <w:rPr>
          <w:rStyle w:val="CharSectno"/>
        </w:rPr>
        <w:t>76</w:t>
      </w:r>
      <w:r>
        <w:rPr>
          <w:snapToGrid w:val="0"/>
        </w:rPr>
        <w:t>.</w:t>
      </w:r>
      <w:r>
        <w:rPr>
          <w:snapToGrid w:val="0"/>
        </w:rPr>
        <w:tab/>
        <w:t>Supreme Court may remit District Court action to Supreme Court</w:t>
      </w:r>
      <w:bookmarkEnd w:id="558"/>
      <w:bookmarkEnd w:id="559"/>
      <w:bookmarkEnd w:id="560"/>
      <w:bookmarkEnd w:id="561"/>
      <w:bookmarkEnd w:id="562"/>
    </w:p>
    <w:p>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pPr>
        <w:pStyle w:val="Heading5"/>
        <w:rPr>
          <w:snapToGrid w:val="0"/>
        </w:rPr>
      </w:pPr>
      <w:bookmarkStart w:id="563" w:name="_Toc487616575"/>
      <w:bookmarkStart w:id="564" w:name="_Toc504897769"/>
      <w:bookmarkStart w:id="565" w:name="_Toc514029131"/>
      <w:bookmarkStart w:id="566" w:name="_Toc113079933"/>
      <w:bookmarkStart w:id="567" w:name="_Toc194986636"/>
      <w:r>
        <w:rPr>
          <w:rStyle w:val="CharSectno"/>
        </w:rPr>
        <w:t>77</w:t>
      </w:r>
      <w:r>
        <w:rPr>
          <w:snapToGrid w:val="0"/>
        </w:rPr>
        <w:t>.</w:t>
      </w:r>
      <w:r>
        <w:rPr>
          <w:snapToGrid w:val="0"/>
        </w:rPr>
        <w:tab/>
        <w:t>District Court may remit to Supreme Court</w:t>
      </w:r>
      <w:bookmarkEnd w:id="563"/>
      <w:bookmarkEnd w:id="564"/>
      <w:bookmarkEnd w:id="565"/>
      <w:bookmarkEnd w:id="566"/>
      <w:bookmarkEnd w:id="567"/>
    </w:p>
    <w:p>
      <w:pPr>
        <w:pStyle w:val="Subsection"/>
        <w:rPr>
          <w:snapToGrid w:val="0"/>
        </w:rPr>
      </w:pPr>
      <w:r>
        <w:rPr>
          <w:snapToGrid w:val="0"/>
        </w:rPr>
        <w:tab/>
      </w:r>
      <w:r>
        <w:rPr>
          <w:snapToGrid w:val="0"/>
        </w:rPr>
        <w:tab/>
        <w:t>Where it appears to a District Court judge that any action or matter brought before the Court ought from its nature, or magnitude, or by reason of the question of law involved to be heard and determined by the Supreme Court, he may make an order, remitting the action or matter to the Supreme Court.</w:t>
      </w:r>
    </w:p>
    <w:p>
      <w:pPr>
        <w:pStyle w:val="Heading5"/>
        <w:rPr>
          <w:snapToGrid w:val="0"/>
        </w:rPr>
      </w:pPr>
      <w:bookmarkStart w:id="568" w:name="_Toc487616576"/>
      <w:bookmarkStart w:id="569" w:name="_Toc504897770"/>
      <w:bookmarkStart w:id="570" w:name="_Toc514029132"/>
      <w:bookmarkStart w:id="571" w:name="_Toc113079934"/>
      <w:bookmarkStart w:id="572" w:name="_Toc194986637"/>
      <w:r>
        <w:rPr>
          <w:rStyle w:val="CharSectno"/>
        </w:rPr>
        <w:t>78</w:t>
      </w:r>
      <w:r>
        <w:rPr>
          <w:snapToGrid w:val="0"/>
        </w:rPr>
        <w:t>.</w:t>
      </w:r>
      <w:r>
        <w:rPr>
          <w:snapToGrid w:val="0"/>
        </w:rPr>
        <w:tab/>
        <w:t>Proceedings after order to remit</w:t>
      </w:r>
      <w:bookmarkEnd w:id="568"/>
      <w:bookmarkEnd w:id="569"/>
      <w:bookmarkEnd w:id="570"/>
      <w:bookmarkEnd w:id="571"/>
      <w:bookmarkEnd w:id="572"/>
      <w:r>
        <w:rPr>
          <w:snapToGrid w:val="0"/>
        </w:rPr>
        <w:t xml:space="preserve"> </w:t>
      </w:r>
    </w:p>
    <w:p>
      <w:pPr>
        <w:pStyle w:val="Subsection"/>
        <w:keepNext/>
        <w:rPr>
          <w:snapToGrid w:val="0"/>
        </w:rPr>
      </w:pPr>
      <w:r>
        <w:rPr>
          <w:snapToGrid w:val="0"/>
        </w:rPr>
        <w:tab/>
      </w:r>
      <w:r>
        <w:rPr>
          <w:snapToGrid w:val="0"/>
        </w:rPr>
        <w:tab/>
        <w:t>Upon an order being made under this Act remitting any action or matter from one court to another court — </w:t>
      </w:r>
    </w:p>
    <w:p>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pPr>
        <w:pStyle w:val="Heading2"/>
        <w:rPr>
          <w:i/>
        </w:rPr>
      </w:pPr>
      <w:bookmarkStart w:id="573" w:name="_Toc88026443"/>
      <w:bookmarkStart w:id="574" w:name="_Toc89515557"/>
      <w:bookmarkStart w:id="575" w:name="_Toc90176394"/>
      <w:bookmarkStart w:id="576" w:name="_Toc94947311"/>
      <w:bookmarkStart w:id="577" w:name="_Toc101669879"/>
      <w:bookmarkStart w:id="578" w:name="_Toc102719684"/>
      <w:bookmarkStart w:id="579" w:name="_Toc107824225"/>
      <w:bookmarkStart w:id="580" w:name="_Toc107887296"/>
      <w:bookmarkStart w:id="581" w:name="_Toc108435074"/>
      <w:bookmarkStart w:id="582" w:name="_Toc108518521"/>
      <w:bookmarkStart w:id="583" w:name="_Toc111880875"/>
      <w:bookmarkStart w:id="584" w:name="_Toc112035670"/>
      <w:bookmarkStart w:id="585" w:name="_Toc113079935"/>
      <w:bookmarkStart w:id="586" w:name="_Toc113080060"/>
      <w:bookmarkStart w:id="587" w:name="_Toc114285828"/>
      <w:bookmarkStart w:id="588" w:name="_Toc119915999"/>
      <w:bookmarkStart w:id="589" w:name="_Toc121551186"/>
      <w:bookmarkStart w:id="590" w:name="_Toc194986638"/>
      <w:r>
        <w:rPr>
          <w:rStyle w:val="CharPartNo"/>
        </w:rPr>
        <w:t>Part VII</w:t>
      </w:r>
      <w:r>
        <w:rPr>
          <w:rStyle w:val="CharDivNo"/>
        </w:rPr>
        <w:t> </w:t>
      </w:r>
      <w:r>
        <w:t>—</w:t>
      </w:r>
      <w:r>
        <w:rPr>
          <w:rStyle w:val="CharDivText"/>
        </w:rPr>
        <w:t> </w:t>
      </w:r>
      <w:r>
        <w:rPr>
          <w:rStyle w:val="CharPartText"/>
        </w:rPr>
        <w:t>Appeals, certiorari, prohibition and mandamus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r>
        <w:rPr>
          <w:rStyle w:val="CharPartText"/>
        </w:rPr>
        <w:t xml:space="preserve"> </w:t>
      </w:r>
    </w:p>
    <w:p>
      <w:pPr>
        <w:pStyle w:val="Heading5"/>
        <w:rPr>
          <w:snapToGrid w:val="0"/>
        </w:rPr>
      </w:pPr>
      <w:bookmarkStart w:id="591" w:name="_Toc487616577"/>
      <w:bookmarkStart w:id="592" w:name="_Toc504897771"/>
      <w:bookmarkStart w:id="593" w:name="_Toc514029133"/>
      <w:bookmarkStart w:id="594" w:name="_Toc113079936"/>
      <w:bookmarkStart w:id="595" w:name="_Toc194986639"/>
      <w:r>
        <w:rPr>
          <w:rStyle w:val="CharSectno"/>
        </w:rPr>
        <w:t>79</w:t>
      </w:r>
      <w:r>
        <w:rPr>
          <w:snapToGrid w:val="0"/>
        </w:rPr>
        <w:t>.</w:t>
      </w:r>
      <w:r>
        <w:rPr>
          <w:snapToGrid w:val="0"/>
        </w:rPr>
        <w:tab/>
        <w:t xml:space="preserve">Appeal to the </w:t>
      </w:r>
      <w:bookmarkEnd w:id="591"/>
      <w:bookmarkEnd w:id="592"/>
      <w:bookmarkEnd w:id="593"/>
      <w:r>
        <w:rPr>
          <w:snapToGrid w:val="0"/>
        </w:rPr>
        <w:t>Court of Appeal</w:t>
      </w:r>
      <w:bookmarkEnd w:id="594"/>
      <w:bookmarkEnd w:id="595"/>
    </w:p>
    <w:p>
      <w:pPr>
        <w:pStyle w:val="Subsection"/>
        <w:rPr>
          <w:snapToGrid w:val="0"/>
        </w:rPr>
      </w:pPr>
      <w:r>
        <w:rPr>
          <w:snapToGrid w:val="0"/>
        </w:rPr>
        <w:tab/>
        <w:t>(1)</w:t>
      </w:r>
      <w:r>
        <w:rPr>
          <w:snapToGrid w:val="0"/>
        </w:rPr>
        <w:tab/>
        <w:t>A party to an action or matter who is dissatisfied with — </w:t>
      </w:r>
    </w:p>
    <w:p>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1985 </w:t>
      </w:r>
      <w:r>
        <w:t>may be made only by leave of the Court of Appeal.</w:t>
      </w:r>
    </w:p>
    <w:p>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 </w:t>
      </w:r>
    </w:p>
    <w:p>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pPr>
        <w:pStyle w:val="Indenta"/>
        <w:rPr>
          <w:snapToGrid w:val="0"/>
        </w:rPr>
      </w:pPr>
      <w:r>
        <w:rPr>
          <w:snapToGrid w:val="0"/>
        </w:rPr>
        <w:tab/>
        <w:t>(b)</w:t>
      </w:r>
      <w:r>
        <w:rPr>
          <w:snapToGrid w:val="0"/>
        </w:rPr>
        <w:tab/>
        <w:t>on the ground that the proceedings might or should have been taken at any other place where the Court was sitting.</w:t>
      </w:r>
    </w:p>
    <w:p>
      <w:pPr>
        <w:pStyle w:val="Footnotesection"/>
      </w:pPr>
      <w:r>
        <w:tab/>
        <w:t xml:space="preserve">[Section 79 amended by No. 109 of 1985 s. 3; No. 45 of 2004 s. 32(2)-(4).] </w:t>
      </w:r>
    </w:p>
    <w:p>
      <w:pPr>
        <w:pStyle w:val="Heading5"/>
        <w:rPr>
          <w:snapToGrid w:val="0"/>
        </w:rPr>
      </w:pPr>
      <w:bookmarkStart w:id="596" w:name="_Toc487616578"/>
      <w:bookmarkStart w:id="597" w:name="_Toc504897772"/>
      <w:bookmarkStart w:id="598" w:name="_Toc514029134"/>
      <w:bookmarkStart w:id="599" w:name="_Toc113079937"/>
      <w:bookmarkStart w:id="600" w:name="_Toc194986640"/>
      <w:r>
        <w:rPr>
          <w:rStyle w:val="CharSectno"/>
        </w:rPr>
        <w:t>80</w:t>
      </w:r>
      <w:r>
        <w:rPr>
          <w:snapToGrid w:val="0"/>
        </w:rPr>
        <w:t>.</w:t>
      </w:r>
      <w:r>
        <w:rPr>
          <w:snapToGrid w:val="0"/>
        </w:rPr>
        <w:tab/>
        <w:t>Appeals, etc. to be only as provided by this Act</w:t>
      </w:r>
      <w:bookmarkEnd w:id="596"/>
      <w:bookmarkEnd w:id="597"/>
      <w:bookmarkEnd w:id="598"/>
      <w:bookmarkEnd w:id="599"/>
      <w:bookmarkEnd w:id="600"/>
    </w:p>
    <w:p>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pPr>
        <w:pStyle w:val="Heading5"/>
        <w:rPr>
          <w:snapToGrid w:val="0"/>
        </w:rPr>
      </w:pPr>
      <w:bookmarkStart w:id="601" w:name="_Toc487616579"/>
      <w:bookmarkStart w:id="602" w:name="_Toc504897773"/>
      <w:bookmarkStart w:id="603" w:name="_Toc514029135"/>
      <w:bookmarkStart w:id="604" w:name="_Toc113079938"/>
      <w:bookmarkStart w:id="605" w:name="_Toc194986641"/>
      <w:r>
        <w:rPr>
          <w:rStyle w:val="CharSectno"/>
        </w:rPr>
        <w:t>81</w:t>
      </w:r>
      <w:r>
        <w:rPr>
          <w:snapToGrid w:val="0"/>
        </w:rPr>
        <w:t>.</w:t>
      </w:r>
      <w:r>
        <w:rPr>
          <w:snapToGrid w:val="0"/>
        </w:rPr>
        <w:tab/>
        <w:t>Certiorari may issue, procedure</w:t>
      </w:r>
      <w:bookmarkEnd w:id="601"/>
      <w:bookmarkEnd w:id="602"/>
      <w:bookmarkEnd w:id="603"/>
      <w:bookmarkEnd w:id="604"/>
      <w:bookmarkEnd w:id="605"/>
    </w:p>
    <w:p>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pPr>
        <w:pStyle w:val="Heading5"/>
        <w:rPr>
          <w:snapToGrid w:val="0"/>
        </w:rPr>
      </w:pPr>
      <w:bookmarkStart w:id="606" w:name="_Toc487616580"/>
      <w:bookmarkStart w:id="607" w:name="_Toc504897774"/>
      <w:bookmarkStart w:id="608" w:name="_Toc514029136"/>
      <w:bookmarkStart w:id="609" w:name="_Toc113079939"/>
      <w:bookmarkStart w:id="610" w:name="_Toc194986642"/>
      <w:r>
        <w:rPr>
          <w:rStyle w:val="CharSectno"/>
        </w:rPr>
        <w:t>82</w:t>
      </w:r>
      <w:r>
        <w:rPr>
          <w:snapToGrid w:val="0"/>
        </w:rPr>
        <w:t>.</w:t>
      </w:r>
      <w:r>
        <w:rPr>
          <w:snapToGrid w:val="0"/>
        </w:rPr>
        <w:tab/>
        <w:t>Stay of proceedings may be ordered in certiorari or prohibition proceedings</w:t>
      </w:r>
      <w:bookmarkEnd w:id="606"/>
      <w:bookmarkEnd w:id="607"/>
      <w:bookmarkEnd w:id="608"/>
      <w:bookmarkEnd w:id="609"/>
      <w:bookmarkEnd w:id="610"/>
    </w:p>
    <w:p>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 </w:t>
      </w:r>
    </w:p>
    <w:p>
      <w:pPr>
        <w:pStyle w:val="Indenta"/>
        <w:rPr>
          <w:snapToGrid w:val="0"/>
        </w:rPr>
      </w:pPr>
      <w:r>
        <w:rPr>
          <w:snapToGrid w:val="0"/>
        </w:rPr>
        <w:tab/>
        <w:t>(a)</w:t>
      </w:r>
      <w:r>
        <w:rPr>
          <w:snapToGrid w:val="0"/>
        </w:rPr>
        <w:tab/>
        <w:t>the determination of the rule or summons; or</w:t>
      </w:r>
    </w:p>
    <w:p>
      <w:pPr>
        <w:pStyle w:val="Indenta"/>
        <w:keepNext/>
        <w:keepLines/>
        <w:rPr>
          <w:snapToGrid w:val="0"/>
        </w:rPr>
      </w:pPr>
      <w:r>
        <w:rPr>
          <w:snapToGrid w:val="0"/>
        </w:rPr>
        <w:tab/>
        <w:t>(b)</w:t>
      </w:r>
      <w:r>
        <w:rPr>
          <w:snapToGrid w:val="0"/>
        </w:rPr>
        <w:tab/>
        <w:t>the Supreme Court or the judge thereof otherwise orders,</w:t>
      </w:r>
    </w:p>
    <w:p>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pPr>
        <w:pStyle w:val="Heading5"/>
        <w:rPr>
          <w:snapToGrid w:val="0"/>
        </w:rPr>
      </w:pPr>
      <w:bookmarkStart w:id="611" w:name="_Toc487616581"/>
      <w:bookmarkStart w:id="612" w:name="_Toc504897775"/>
      <w:bookmarkStart w:id="613" w:name="_Toc514029137"/>
      <w:bookmarkStart w:id="614" w:name="_Toc113079940"/>
      <w:bookmarkStart w:id="615" w:name="_Toc194986643"/>
      <w:r>
        <w:rPr>
          <w:rStyle w:val="CharSectno"/>
        </w:rPr>
        <w:t>83</w:t>
      </w:r>
      <w:r>
        <w:rPr>
          <w:snapToGrid w:val="0"/>
        </w:rPr>
        <w:t>.</w:t>
      </w:r>
      <w:r>
        <w:rPr>
          <w:snapToGrid w:val="0"/>
        </w:rPr>
        <w:tab/>
        <w:t>Prohibition proceedings, procedure</w:t>
      </w:r>
      <w:bookmarkEnd w:id="611"/>
      <w:bookmarkEnd w:id="612"/>
      <w:bookmarkEnd w:id="613"/>
      <w:bookmarkEnd w:id="614"/>
      <w:bookmarkEnd w:id="615"/>
    </w:p>
    <w:p>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 </w:t>
      </w:r>
    </w:p>
    <w:p>
      <w:pPr>
        <w:pStyle w:val="Indenta"/>
        <w:rPr>
          <w:snapToGrid w:val="0"/>
        </w:rPr>
      </w:pPr>
      <w:r>
        <w:rPr>
          <w:snapToGrid w:val="0"/>
        </w:rPr>
        <w:tab/>
        <w:t>(a)</w:t>
      </w:r>
      <w:r>
        <w:rPr>
          <w:snapToGrid w:val="0"/>
        </w:rPr>
        <w:tab/>
        <w:t>shall not be served with notice;</w:t>
      </w:r>
    </w:p>
    <w:p>
      <w:pPr>
        <w:pStyle w:val="Indenta"/>
        <w:rPr>
          <w:snapToGrid w:val="0"/>
        </w:rPr>
      </w:pPr>
      <w:r>
        <w:rPr>
          <w:snapToGrid w:val="0"/>
        </w:rPr>
        <w:tab/>
        <w:t>(b)</w:t>
      </w:r>
      <w:r>
        <w:rPr>
          <w:snapToGrid w:val="0"/>
        </w:rPr>
        <w:tab/>
        <w:t>shall not, except by order of a judge of the Supreme Court, be required to appear or be heard on the application; and</w:t>
      </w:r>
    </w:p>
    <w:p>
      <w:pPr>
        <w:pStyle w:val="Indenta"/>
        <w:rPr>
          <w:snapToGrid w:val="0"/>
        </w:rPr>
      </w:pPr>
      <w:r>
        <w:rPr>
          <w:snapToGrid w:val="0"/>
        </w:rPr>
        <w:tab/>
        <w:t>(c)</w:t>
      </w:r>
      <w:r>
        <w:rPr>
          <w:snapToGrid w:val="0"/>
        </w:rPr>
        <w:tab/>
        <w:t>shall not be liable to any order for the payment of costs thereof,</w:t>
      </w:r>
    </w:p>
    <w:p>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pPr>
        <w:pStyle w:val="Heading5"/>
        <w:rPr>
          <w:snapToGrid w:val="0"/>
        </w:rPr>
      </w:pPr>
      <w:bookmarkStart w:id="616" w:name="_Toc487616582"/>
      <w:bookmarkStart w:id="617" w:name="_Toc504897776"/>
      <w:bookmarkStart w:id="618" w:name="_Toc514029138"/>
      <w:bookmarkStart w:id="619" w:name="_Toc113079941"/>
      <w:bookmarkStart w:id="620" w:name="_Toc194986644"/>
      <w:r>
        <w:rPr>
          <w:rStyle w:val="CharSectno"/>
        </w:rPr>
        <w:t>84</w:t>
      </w:r>
      <w:r>
        <w:rPr>
          <w:snapToGrid w:val="0"/>
        </w:rPr>
        <w:t>.</w:t>
      </w:r>
      <w:r>
        <w:rPr>
          <w:snapToGrid w:val="0"/>
        </w:rPr>
        <w:tab/>
        <w:t xml:space="preserve">Order in lieu of </w:t>
      </w:r>
      <w:bookmarkEnd w:id="616"/>
      <w:r>
        <w:rPr>
          <w:snapToGrid w:val="0"/>
        </w:rPr>
        <w:t>mandamus</w:t>
      </w:r>
      <w:bookmarkEnd w:id="617"/>
      <w:bookmarkEnd w:id="618"/>
      <w:bookmarkEnd w:id="619"/>
      <w:bookmarkEnd w:id="620"/>
      <w:r>
        <w:rPr>
          <w:snapToGrid w:val="0"/>
        </w:rPr>
        <w:t xml:space="preserve"> </w:t>
      </w:r>
    </w:p>
    <w:p>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pPr>
        <w:pStyle w:val="Heading5"/>
        <w:rPr>
          <w:snapToGrid w:val="0"/>
        </w:rPr>
      </w:pPr>
      <w:bookmarkStart w:id="621" w:name="_Toc487616583"/>
      <w:bookmarkStart w:id="622" w:name="_Toc504897777"/>
      <w:bookmarkStart w:id="623" w:name="_Toc514029139"/>
      <w:bookmarkStart w:id="624" w:name="_Toc113079942"/>
      <w:bookmarkStart w:id="625" w:name="_Toc194986645"/>
      <w:r>
        <w:rPr>
          <w:rStyle w:val="CharSectno"/>
        </w:rPr>
        <w:t>85</w:t>
      </w:r>
      <w:r>
        <w:rPr>
          <w:snapToGrid w:val="0"/>
        </w:rPr>
        <w:t>.</w:t>
      </w:r>
      <w:r>
        <w:rPr>
          <w:snapToGrid w:val="0"/>
        </w:rPr>
        <w:tab/>
        <w:t>Notice to be given of writ of certiorari or prohibition on ex parte application</w:t>
      </w:r>
      <w:bookmarkEnd w:id="621"/>
      <w:bookmarkEnd w:id="622"/>
      <w:bookmarkEnd w:id="623"/>
      <w:bookmarkEnd w:id="624"/>
      <w:bookmarkEnd w:id="625"/>
      <w:r>
        <w:rPr>
          <w:snapToGrid w:val="0"/>
        </w:rPr>
        <w:t xml:space="preserve"> </w:t>
      </w:r>
    </w:p>
    <w:p>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pPr>
        <w:pStyle w:val="Heading2"/>
      </w:pPr>
      <w:bookmarkStart w:id="626" w:name="_Toc88026451"/>
      <w:bookmarkStart w:id="627" w:name="_Toc89515565"/>
      <w:bookmarkStart w:id="628" w:name="_Toc90176402"/>
      <w:bookmarkStart w:id="629" w:name="_Toc94947319"/>
      <w:bookmarkStart w:id="630" w:name="_Toc101669887"/>
      <w:bookmarkStart w:id="631" w:name="_Toc102719692"/>
      <w:bookmarkStart w:id="632" w:name="_Toc107824233"/>
      <w:bookmarkStart w:id="633" w:name="_Toc107887304"/>
      <w:bookmarkStart w:id="634" w:name="_Toc108435082"/>
      <w:bookmarkStart w:id="635" w:name="_Toc108518529"/>
      <w:bookmarkStart w:id="636" w:name="_Toc111880883"/>
      <w:bookmarkStart w:id="637" w:name="_Toc112035678"/>
      <w:bookmarkStart w:id="638" w:name="_Toc113079943"/>
      <w:bookmarkStart w:id="639" w:name="_Toc113080068"/>
      <w:bookmarkStart w:id="640" w:name="_Toc114285836"/>
      <w:bookmarkStart w:id="641" w:name="_Toc119916007"/>
      <w:bookmarkStart w:id="642" w:name="_Toc121551194"/>
      <w:bookmarkStart w:id="643" w:name="_Toc194986646"/>
      <w:r>
        <w:rPr>
          <w:rStyle w:val="CharPartNo"/>
        </w:rPr>
        <w:t>Part VIII</w:t>
      </w:r>
      <w:r>
        <w:rPr>
          <w:rStyle w:val="CharDivNo"/>
        </w:rPr>
        <w:t> </w:t>
      </w:r>
      <w:r>
        <w:t>—</w:t>
      </w:r>
      <w:r>
        <w:rPr>
          <w:rStyle w:val="CharDivText"/>
        </w:rPr>
        <w:t> </w:t>
      </w:r>
      <w:r>
        <w:rPr>
          <w:rStyle w:val="CharPartText"/>
        </w:rPr>
        <w:t>Practice and procedure and rules of court</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5"/>
        <w:rPr>
          <w:snapToGrid w:val="0"/>
        </w:rPr>
      </w:pPr>
      <w:bookmarkStart w:id="644" w:name="_Toc487616584"/>
      <w:bookmarkStart w:id="645" w:name="_Toc504897778"/>
      <w:bookmarkStart w:id="646" w:name="_Toc514029140"/>
      <w:bookmarkStart w:id="647" w:name="_Toc113079944"/>
      <w:bookmarkStart w:id="648" w:name="_Toc194986647"/>
      <w:r>
        <w:rPr>
          <w:rStyle w:val="CharSectno"/>
        </w:rPr>
        <w:t>86</w:t>
      </w:r>
      <w:r>
        <w:rPr>
          <w:snapToGrid w:val="0"/>
        </w:rPr>
        <w:t>.</w:t>
      </w:r>
      <w:r>
        <w:rPr>
          <w:snapToGrid w:val="0"/>
        </w:rPr>
        <w:tab/>
        <w:t>Action may be dealt with at more than one place</w:t>
      </w:r>
      <w:bookmarkEnd w:id="644"/>
      <w:bookmarkEnd w:id="645"/>
      <w:bookmarkEnd w:id="646"/>
      <w:bookmarkEnd w:id="647"/>
      <w:bookmarkEnd w:id="648"/>
    </w:p>
    <w:p>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pPr>
        <w:pStyle w:val="Ednotesection"/>
      </w:pPr>
      <w:r>
        <w:t>[</w:t>
      </w:r>
      <w:r>
        <w:rPr>
          <w:b/>
        </w:rPr>
        <w:t>86A.</w:t>
      </w:r>
      <w:r>
        <w:tab/>
        <w:t>Repealed by No. 59 of 2004 s. 85.]</w:t>
      </w:r>
    </w:p>
    <w:p>
      <w:pPr>
        <w:pStyle w:val="Heading5"/>
        <w:rPr>
          <w:snapToGrid w:val="0"/>
        </w:rPr>
      </w:pPr>
      <w:bookmarkStart w:id="649" w:name="_Toc487616586"/>
      <w:bookmarkStart w:id="650" w:name="_Toc504897780"/>
      <w:bookmarkStart w:id="651" w:name="_Toc514029142"/>
      <w:bookmarkStart w:id="652" w:name="_Toc113079945"/>
      <w:bookmarkStart w:id="653" w:name="_Toc194986648"/>
      <w:r>
        <w:rPr>
          <w:rStyle w:val="CharSectno"/>
        </w:rPr>
        <w:t>87</w:t>
      </w:r>
      <w:r>
        <w:rPr>
          <w:snapToGrid w:val="0"/>
        </w:rPr>
        <w:t>.</w:t>
      </w:r>
      <w:r>
        <w:rPr>
          <w:snapToGrid w:val="0"/>
        </w:rPr>
        <w:tab/>
        <w:t>Rules of court to govern practice and procedure</w:t>
      </w:r>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pPr>
        <w:pStyle w:val="Heading5"/>
        <w:rPr>
          <w:snapToGrid w:val="0"/>
        </w:rPr>
      </w:pPr>
      <w:bookmarkStart w:id="654" w:name="_Toc487616587"/>
      <w:bookmarkStart w:id="655" w:name="_Toc504897781"/>
      <w:bookmarkStart w:id="656" w:name="_Toc514029143"/>
      <w:bookmarkStart w:id="657" w:name="_Toc113079946"/>
      <w:bookmarkStart w:id="658" w:name="_Toc194986649"/>
      <w:r>
        <w:rPr>
          <w:rStyle w:val="CharSectno"/>
        </w:rPr>
        <w:t>88</w:t>
      </w:r>
      <w:r>
        <w:rPr>
          <w:snapToGrid w:val="0"/>
        </w:rPr>
        <w:t>.</w:t>
      </w:r>
      <w:r>
        <w:rPr>
          <w:snapToGrid w:val="0"/>
        </w:rPr>
        <w:tab/>
        <w:t>Rules of court, making, content</w:t>
      </w:r>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The District Court judges, for the time being, or a majority of them, may make rules, not inconsistent with this Act — </w:t>
      </w:r>
    </w:p>
    <w:p>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w:t>
      </w:r>
    </w:p>
    <w:p>
      <w:pPr>
        <w:pStyle w:val="Indenta"/>
        <w:rPr>
          <w:snapToGrid w:val="0"/>
        </w:rPr>
      </w:pPr>
      <w:r>
        <w:rPr>
          <w:snapToGrid w:val="0"/>
        </w:rPr>
        <w:tab/>
        <w:t>(b)</w:t>
      </w:r>
      <w:r>
        <w:rPr>
          <w:snapToGrid w:val="0"/>
        </w:rPr>
        <w:tab/>
        <w:t>regulating and prescribing all matters and things incidental or relating to any such practice and procedure (including the manner in which and the time within which, any applications that under this Act or any other Act are to be made to the Court, shall be made) or necessary or convenient to be prescribed for the conduct of any business of the Court; and</w:t>
      </w:r>
    </w:p>
    <w:p>
      <w:pPr>
        <w:pStyle w:val="Indenta"/>
        <w:rPr>
          <w:snapToGrid w:val="0"/>
        </w:rPr>
      </w:pPr>
      <w:r>
        <w:rPr>
          <w:snapToGrid w:val="0"/>
        </w:rPr>
        <w:tab/>
        <w:t>(c)</w:t>
      </w:r>
      <w:r>
        <w:rPr>
          <w:snapToGrid w:val="0"/>
        </w:rPr>
        <w:tab/>
        <w:t>prescribing matters relating to evidence, including rules — </w:t>
      </w:r>
    </w:p>
    <w:p>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Subsection"/>
        <w:rPr>
          <w:snapToGrid w:val="0"/>
        </w:rPr>
      </w:pPr>
      <w:r>
        <w:rPr>
          <w:snapToGrid w:val="0"/>
        </w:rPr>
        <w:tab/>
        <w:t>(2)</w:t>
      </w:r>
      <w:r>
        <w:rPr>
          <w:snapToGrid w:val="0"/>
        </w:rPr>
        <w:tab/>
        <w:t>In particular the rules of court may provide — </w:t>
      </w:r>
    </w:p>
    <w:p>
      <w:pPr>
        <w:pStyle w:val="Indenta"/>
        <w:rPr>
          <w:snapToGrid w:val="0"/>
        </w:rPr>
      </w:pPr>
      <w:r>
        <w:rPr>
          <w:snapToGrid w:val="0"/>
        </w:rPr>
        <w:tab/>
        <w:t>(a)</w:t>
      </w:r>
      <w:r>
        <w:rPr>
          <w:snapToGrid w:val="0"/>
        </w:rPr>
        <w:tab/>
        <w:t>for regulating the sittings of the Court, and of the judges thereof whether sitting in Court or in chambers;</w:t>
      </w:r>
    </w:p>
    <w:p>
      <w:pPr>
        <w:pStyle w:val="Indenta"/>
        <w:rPr>
          <w:snapToGrid w:val="0"/>
        </w:rPr>
      </w:pPr>
      <w:r>
        <w:rPr>
          <w:snapToGrid w:val="0"/>
        </w:rPr>
        <w:tab/>
        <w:t>(b)</w:t>
      </w:r>
      <w:r>
        <w:rPr>
          <w:snapToGrid w:val="0"/>
        </w:rPr>
        <w:tab/>
        <w:t>for regulating any matters relating to the costs of proceedings in the Court fixed by</w:t>
      </w:r>
      <w:r>
        <w:t xml:space="preserve"> legal costs determination (as defined in the </w:t>
      </w:r>
      <w:r>
        <w:rPr>
          <w:i/>
        </w:rPr>
        <w:t>Legal Practice Act 2003</w:t>
      </w:r>
      <w:r>
        <w:t>)</w:t>
      </w:r>
      <w:r>
        <w:rPr>
          <w:snapToGrid w:val="0"/>
        </w:rPr>
        <w:t>;</w:t>
      </w:r>
    </w:p>
    <w:p>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practice of the Court, do, transact, or exercise, and to tax costs;</w:t>
      </w:r>
    </w:p>
    <w:p>
      <w:pPr>
        <w:pStyle w:val="Indenta"/>
        <w:rPr>
          <w:snapToGrid w:val="0"/>
        </w:rPr>
      </w:pPr>
      <w:r>
        <w:rPr>
          <w:snapToGrid w:val="0"/>
        </w:rPr>
        <w:tab/>
        <w:t>(h)</w:t>
      </w:r>
      <w:r>
        <w:rPr>
          <w:snapToGrid w:val="0"/>
        </w:rPr>
        <w:tab/>
        <w:t>for requiring and regulating pre</w:t>
      </w:r>
      <w:r>
        <w:rPr>
          <w:snapToGrid w:val="0"/>
        </w:rPr>
        <w:noBreakHyphen/>
        <w:t>trial conferences in actions;</w:t>
      </w:r>
    </w:p>
    <w:p>
      <w:pPr>
        <w:pStyle w:val="Indenta"/>
      </w:pPr>
      <w:r>
        <w:tab/>
        <w:t>(i)</w:t>
      </w:r>
      <w:r>
        <w:tab/>
        <w:t xml:space="preserve">for regulating the practice and procedure in relation to applications under the </w:t>
      </w:r>
      <w:r>
        <w:rPr>
          <w:i/>
        </w:rPr>
        <w:t>Vexatious Proceedings Restriction Act 2002</w:t>
      </w:r>
      <w:r>
        <w:t>.</w:t>
      </w:r>
    </w:p>
    <w:p>
      <w:pPr>
        <w:pStyle w:val="Footnotesection"/>
      </w:pPr>
      <w:r>
        <w:tab/>
        <w:t xml:space="preserve">[Section 88 amended by No. 40 of 1972 s. 14; No. 111 of 1976 s. 7; No. 65 of 1987 s. 26; No. 14 of 1991 s. 7; No. 53 of 1992 s. 9(3); No. 6 of 1993 s. 11; No. 49 of 1996 s. 64; No. 27 of 2000 s. 6; No. 23 of 2002 s. 13; No. 65 of 2003 s. 32(9); No. 59 of 2004 s. 85.] </w:t>
      </w:r>
    </w:p>
    <w:p>
      <w:pPr>
        <w:pStyle w:val="Heading5"/>
        <w:rPr>
          <w:snapToGrid w:val="0"/>
        </w:rPr>
      </w:pPr>
      <w:bookmarkStart w:id="659" w:name="_Toc487616588"/>
      <w:bookmarkStart w:id="660" w:name="_Toc504897782"/>
      <w:bookmarkStart w:id="661" w:name="_Toc514029144"/>
      <w:bookmarkStart w:id="662" w:name="_Toc113079947"/>
      <w:bookmarkStart w:id="663" w:name="_Toc194986650"/>
      <w:r>
        <w:rPr>
          <w:rStyle w:val="CharSectno"/>
        </w:rPr>
        <w:t>89</w:t>
      </w:r>
      <w:r>
        <w:rPr>
          <w:snapToGrid w:val="0"/>
        </w:rPr>
        <w:t>.</w:t>
      </w:r>
      <w:r>
        <w:rPr>
          <w:snapToGrid w:val="0"/>
        </w:rPr>
        <w:tab/>
        <w:t>Rules to be published and laid before Parliament</w:t>
      </w:r>
      <w:bookmarkEnd w:id="659"/>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Rules of court made under this Act —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in the rules;</w:t>
      </w:r>
    </w:p>
    <w:p>
      <w:pPr>
        <w:pStyle w:val="Indenta"/>
        <w:rPr>
          <w:snapToGrid w:val="0"/>
        </w:rPr>
      </w:pPr>
      <w:r>
        <w:rPr>
          <w:snapToGrid w:val="0"/>
        </w:rPr>
        <w:tab/>
        <w:t>(c)</w:t>
      </w:r>
      <w:r>
        <w:rPr>
          <w:snapToGrid w:val="0"/>
        </w:rPr>
        <w:tab/>
        <w:t>shall be laid before each House of Parliament within 6 sitting days of such House next following the publication thereof.</w:t>
      </w:r>
    </w:p>
    <w:p>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pPr>
        <w:pStyle w:val="Heading5"/>
      </w:pPr>
      <w:bookmarkStart w:id="664" w:name="_Toc113079948"/>
      <w:bookmarkStart w:id="665" w:name="_Toc194986651"/>
      <w:bookmarkStart w:id="666" w:name="_Toc487616589"/>
      <w:bookmarkStart w:id="667" w:name="_Toc504897783"/>
      <w:bookmarkStart w:id="668" w:name="_Toc514029145"/>
      <w:r>
        <w:rPr>
          <w:rStyle w:val="CharSectno"/>
        </w:rPr>
        <w:t>89A</w:t>
      </w:r>
      <w:r>
        <w:t>.</w:t>
      </w:r>
      <w:r>
        <w:tab/>
        <w:t>Fees, regulations may prescribe</w:t>
      </w:r>
      <w:bookmarkEnd w:id="664"/>
      <w:bookmarkEnd w:id="665"/>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a District Court judge in a summary way.</w:t>
      </w:r>
    </w:p>
    <w:p>
      <w:pPr>
        <w:pStyle w:val="Subsection"/>
      </w:pPr>
      <w:r>
        <w:tab/>
        <w:t>(5)</w:t>
      </w:r>
      <w:r>
        <w:tab/>
        <w:t>All fees received by the Court are to be credited to the Consolidated Fund.</w:t>
      </w:r>
    </w:p>
    <w:p>
      <w:pPr>
        <w:pStyle w:val="Footnotesection"/>
      </w:pPr>
      <w:r>
        <w:tab/>
        <w:t>[Section 89A inserted by No. 59 of 2004 s. 84.]</w:t>
      </w:r>
    </w:p>
    <w:p>
      <w:pPr>
        <w:pStyle w:val="Heading5"/>
        <w:rPr>
          <w:snapToGrid w:val="0"/>
        </w:rPr>
      </w:pPr>
      <w:bookmarkStart w:id="669" w:name="_Toc113079949"/>
      <w:bookmarkStart w:id="670" w:name="_Toc194986652"/>
      <w:r>
        <w:rPr>
          <w:rStyle w:val="CharSectno"/>
        </w:rPr>
        <w:t>90</w:t>
      </w:r>
      <w:r>
        <w:rPr>
          <w:snapToGrid w:val="0"/>
        </w:rPr>
        <w:t>.</w:t>
      </w:r>
      <w:r>
        <w:rPr>
          <w:snapToGrid w:val="0"/>
        </w:rPr>
        <w:tab/>
        <w:t>Saving</w:t>
      </w:r>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pPr>
        <w:pStyle w:val="Subsection"/>
        <w:keepNext/>
        <w:rPr>
          <w:snapToGrid w:val="0"/>
        </w:rPr>
      </w:pPr>
      <w:r>
        <w:rPr>
          <w:snapToGrid w:val="0"/>
        </w:rPr>
        <w:tab/>
        <w:t>(2)</w:t>
      </w:r>
      <w:r>
        <w:rPr>
          <w:snapToGrid w:val="0"/>
        </w:rPr>
        <w:tab/>
        <w:t>Nothing in this section — </w:t>
      </w:r>
    </w:p>
    <w:p>
      <w:pPr>
        <w:pStyle w:val="Indenta"/>
        <w:rPr>
          <w:snapToGrid w:val="0"/>
        </w:rPr>
      </w:pPr>
      <w:r>
        <w:rPr>
          <w:snapToGrid w:val="0"/>
        </w:rPr>
        <w:tab/>
        <w:t>(a)</w:t>
      </w:r>
      <w:r>
        <w:rPr>
          <w:snapToGrid w:val="0"/>
        </w:rPr>
        <w:tab/>
        <w:t>shall prejudice the operation of any rules of court made in pursuance of the power conferred by sections 88(1)(c) and (2)(c); or</w:t>
      </w:r>
    </w:p>
    <w:p>
      <w:pPr>
        <w:pStyle w:val="Indenta"/>
        <w:rPr>
          <w:snapToGrid w:val="0"/>
        </w:rPr>
      </w:pPr>
      <w:r>
        <w:rPr>
          <w:snapToGrid w:val="0"/>
        </w:rPr>
        <w:tab/>
        <w:t>(b)</w:t>
      </w:r>
      <w:r>
        <w:rPr>
          <w:snapToGrid w:val="0"/>
        </w:rPr>
        <w:tab/>
        <w:t>shall affect the powers of the Court for special reasons to allow depositions or affidavits to be read.</w:t>
      </w:r>
    </w:p>
    <w:p>
      <w:pPr>
        <w:pStyle w:val="Footnotesection"/>
      </w:pPr>
      <w:r>
        <w:tab/>
        <w:t xml:space="preserve">[Section 90 amended by No. 14 of 1991 s. 8.] </w:t>
      </w:r>
    </w:p>
    <w:p>
      <w:pPr>
        <w:pStyle w:val="Ednotepart"/>
      </w:pPr>
      <w:r>
        <w:t>[Part IX repealed by No. 53 of 2000 s. 4.]</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671" w:name="_Toc514029153"/>
      <w:bookmarkStart w:id="672" w:name="_Toc111880890"/>
      <w:bookmarkStart w:id="673" w:name="_Toc112035685"/>
      <w:bookmarkStart w:id="674" w:name="_Toc113079950"/>
      <w:bookmarkStart w:id="675" w:name="_Toc113080075"/>
      <w:bookmarkStart w:id="676" w:name="_Toc114285843"/>
      <w:bookmarkStart w:id="677" w:name="_Toc119916014"/>
      <w:bookmarkStart w:id="678" w:name="_Toc121551201"/>
      <w:bookmarkStart w:id="679" w:name="_Toc194986653"/>
      <w:r>
        <w:rPr>
          <w:rStyle w:val="CharSchNo"/>
        </w:rPr>
        <w:t>Schedule</w:t>
      </w:r>
      <w:bookmarkEnd w:id="671"/>
      <w:r>
        <w:rPr>
          <w:rStyle w:val="CharSchNo"/>
        </w:rPr>
        <w:t> 1</w:t>
      </w:r>
      <w:bookmarkEnd w:id="672"/>
      <w:bookmarkEnd w:id="673"/>
      <w:bookmarkEnd w:id="674"/>
      <w:bookmarkEnd w:id="675"/>
      <w:bookmarkEnd w:id="676"/>
      <w:bookmarkEnd w:id="677"/>
      <w:bookmarkEnd w:id="678"/>
      <w:bookmarkEnd w:id="679"/>
      <w:r>
        <w:rPr>
          <w:rStyle w:val="CharSDivNo"/>
        </w:rPr>
        <w:t xml:space="preserve"> </w:t>
      </w:r>
      <w:r>
        <w:rPr>
          <w:rStyle w:val="CharSDivText"/>
        </w:rPr>
        <w:t xml:space="preserve"> </w:t>
      </w:r>
    </w:p>
    <w:p>
      <w:pPr>
        <w:pStyle w:val="yShoulderClause"/>
        <w:rPr>
          <w:snapToGrid w:val="0"/>
        </w:rPr>
      </w:pPr>
      <w:r>
        <w:rPr>
          <w:snapToGrid w:val="0"/>
        </w:rPr>
        <w:t>[s. 11(2)]</w:t>
      </w:r>
    </w:p>
    <w:p>
      <w:pPr>
        <w:pStyle w:val="yFootnoteheading"/>
      </w:pPr>
      <w:r>
        <w:tab/>
        <w:t>[Heading inserted by No. 53 of 1992 s. 10.]</w:t>
      </w:r>
    </w:p>
    <w:p>
      <w:pPr>
        <w:pStyle w:val="MiscellaneousHeading"/>
        <w:rPr>
          <w:b/>
          <w:snapToGrid w:val="0"/>
        </w:rPr>
      </w:pPr>
      <w:r>
        <w:rPr>
          <w:b/>
          <w:snapToGrid w:val="0"/>
        </w:rPr>
        <w:t>OATH</w:t>
      </w:r>
    </w:p>
    <w:p>
      <w:pPr>
        <w:pStyle w:val="yMiscellaneousBody"/>
        <w:rPr>
          <w:snapToGrid w:val="0"/>
        </w:rPr>
      </w:pPr>
      <w:r>
        <w:rPr>
          <w:snapToGrid w:val="0"/>
        </w:rPr>
        <w:t>I,                                            do swear that I will well and truly serve</w:t>
      </w:r>
      <w:r>
        <w:t xml:space="preserve"> the State of Western Australia</w:t>
      </w:r>
      <w:r>
        <w:rPr>
          <w:snapToGrid w:val="0"/>
        </w:rPr>
        <w:t>, according to law in the office of a judge of The District Court of Western Australia, and I will do right to all manner of people after the laws and usages of this State, without fear or favour, affection or illwill. So help me God!</w:t>
      </w:r>
    </w:p>
    <w:p>
      <w:pPr>
        <w:pStyle w:val="MiscellaneousHeading"/>
        <w:rPr>
          <w:b/>
          <w:snapToGrid w:val="0"/>
        </w:rPr>
      </w:pPr>
      <w:r>
        <w:rPr>
          <w:b/>
          <w:snapToGrid w:val="0"/>
        </w:rPr>
        <w:t>AFFIRMATION</w:t>
      </w:r>
    </w:p>
    <w:p>
      <w:pPr>
        <w:pStyle w:val="yMiscellaneousBody"/>
        <w:rPr>
          <w:snapToGrid w:val="0"/>
        </w:rPr>
      </w:pPr>
      <w:r>
        <w:rPr>
          <w:snapToGrid w:val="0"/>
        </w:rPr>
        <w:t xml:space="preserve">I,                                                do solemnly and sincerely promise and declare that I will well and truly serve </w:t>
      </w:r>
      <w:r>
        <w:t>the State of Western Australia</w:t>
      </w:r>
      <w:r>
        <w:rPr>
          <w:snapToGrid w:val="0"/>
        </w:rPr>
        <w:t xml:space="preserve"> according to law in the office of a judge of The District Court of Western Australia, and I will do right to all manner of people after the laws and usages of this State, without fear or favour, affection or illwill.</w:t>
      </w:r>
    </w:p>
    <w:p>
      <w:pPr>
        <w:pStyle w:val="yFootnotesection"/>
      </w:pPr>
      <w:r>
        <w:tab/>
        <w:t>[Schedule 1 amended by No. 53 of 1992 s. 10; No. 65 of 2003 s. 125(8).]</w:t>
      </w:r>
    </w:p>
    <w:p>
      <w:pPr>
        <w:pStyle w:val="yEdnoteschedule"/>
        <w:outlineLvl w:val="9"/>
      </w:pPr>
      <w:r>
        <w:t>[Schedule 2 repealed by No. 36 of 1996 s. 32(2).]</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680" w:name="_Toc88026460"/>
      <w:bookmarkStart w:id="681" w:name="_Toc89515574"/>
      <w:bookmarkStart w:id="682" w:name="_Toc90176411"/>
      <w:bookmarkStart w:id="683" w:name="_Toc94947328"/>
      <w:bookmarkStart w:id="684" w:name="_Toc101669897"/>
      <w:bookmarkStart w:id="685" w:name="_Toc102719700"/>
      <w:bookmarkStart w:id="686" w:name="_Toc107824241"/>
      <w:bookmarkStart w:id="687" w:name="_Toc107887312"/>
      <w:bookmarkStart w:id="688" w:name="_Toc108435090"/>
      <w:bookmarkStart w:id="689" w:name="_Toc108518537"/>
      <w:bookmarkStart w:id="690" w:name="_Toc111880891"/>
      <w:bookmarkStart w:id="691" w:name="_Toc112035686"/>
      <w:bookmarkStart w:id="692" w:name="_Toc113079951"/>
      <w:bookmarkStart w:id="693" w:name="_Toc113080076"/>
      <w:bookmarkStart w:id="694" w:name="_Toc114285844"/>
      <w:bookmarkStart w:id="695" w:name="_Toc119916015"/>
      <w:bookmarkStart w:id="696" w:name="_Toc121551202"/>
      <w:bookmarkStart w:id="697" w:name="_Toc194986654"/>
      <w:r>
        <w:t>Notes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nSubsection"/>
        <w:rPr>
          <w:snapToGrid w:val="0"/>
        </w:rPr>
      </w:pPr>
      <w:r>
        <w:rPr>
          <w:snapToGrid w:val="0"/>
          <w:vertAlign w:val="superscript"/>
        </w:rPr>
        <w:t>1</w:t>
      </w:r>
      <w:r>
        <w:rPr>
          <w:snapToGrid w:val="0"/>
        </w:rPr>
        <w:tab/>
        <w:t xml:space="preserve">This is a compilation of the </w:t>
      </w:r>
      <w:r>
        <w:rPr>
          <w:i/>
          <w:noProof/>
          <w:snapToGrid w:val="0"/>
        </w:rPr>
        <w:t>District Court of Western Australia Act 1969</w:t>
      </w:r>
      <w:r>
        <w:rPr>
          <w:snapToGrid w:val="0"/>
        </w:rPr>
        <w:t xml:space="preserve"> and includes the amendments made by the other written laws referred to in the following table </w:t>
      </w:r>
      <w:r>
        <w:rPr>
          <w:snapToGrid w:val="0"/>
          <w:vertAlign w:val="superscript"/>
        </w:rPr>
        <w:t>1a, 7</w:t>
      </w:r>
      <w:bookmarkStart w:id="698" w:name="UpToHere"/>
      <w:bookmarkEnd w:id="698"/>
      <w:r>
        <w:rPr>
          <w:snapToGrid w:val="0"/>
        </w:rPr>
        <w:t>.  The table also contains information about any reprint.</w:t>
      </w:r>
    </w:p>
    <w:p>
      <w:pPr>
        <w:pStyle w:val="nHeading3"/>
        <w:rPr>
          <w:snapToGrid w:val="0"/>
        </w:rPr>
      </w:pPr>
      <w:bookmarkStart w:id="699" w:name="_Toc113079952"/>
      <w:bookmarkStart w:id="700" w:name="_Toc194986655"/>
      <w:r>
        <w:rPr>
          <w:snapToGrid w:val="0"/>
        </w:rPr>
        <w:t>Compilation table</w:t>
      </w:r>
      <w:bookmarkEnd w:id="699"/>
      <w:bookmarkEnd w:id="70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28"/>
      </w:tblGrid>
      <w:tr>
        <w:trPr>
          <w:gridAfter w:val="1"/>
          <w:wAfter w:w="28"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8" w:type="dxa"/>
          <w:cantSplit/>
        </w:trPr>
        <w:tc>
          <w:tcPr>
            <w:tcW w:w="2268" w:type="dxa"/>
          </w:tcPr>
          <w:p>
            <w:pPr>
              <w:pStyle w:val="nTable"/>
              <w:spacing w:after="40"/>
              <w:ind w:right="113"/>
              <w:rPr>
                <w:sz w:val="19"/>
              </w:rPr>
            </w:pPr>
            <w:r>
              <w:rPr>
                <w:i/>
                <w:sz w:val="19"/>
              </w:rPr>
              <w:t>District Court of Western Australia Act 1969</w:t>
            </w:r>
          </w:p>
        </w:tc>
        <w:tc>
          <w:tcPr>
            <w:tcW w:w="1134" w:type="dxa"/>
          </w:tcPr>
          <w:p>
            <w:pPr>
              <w:pStyle w:val="nTable"/>
              <w:spacing w:after="40"/>
              <w:rPr>
                <w:sz w:val="19"/>
              </w:rPr>
            </w:pPr>
            <w:r>
              <w:rPr>
                <w:sz w:val="19"/>
              </w:rPr>
              <w:t>84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 xml:space="preserve">1 Apr 1970 (see s. 2 and </w:t>
            </w:r>
            <w:r>
              <w:rPr>
                <w:i/>
                <w:sz w:val="19"/>
              </w:rPr>
              <w:t>Gazette</w:t>
            </w:r>
            <w:r>
              <w:rPr>
                <w:sz w:val="19"/>
              </w:rPr>
              <w:t xml:space="preserve"> 26 Mar 1970 p. 903)</w:t>
            </w:r>
          </w:p>
        </w:tc>
      </w:tr>
      <w:tr>
        <w:trPr>
          <w:gridAfter w:val="1"/>
          <w:wAfter w:w="28" w:type="dxa"/>
          <w:cantSplit/>
        </w:trPr>
        <w:tc>
          <w:tcPr>
            <w:tcW w:w="2268" w:type="dxa"/>
          </w:tcPr>
          <w:p>
            <w:pPr>
              <w:pStyle w:val="nTable"/>
              <w:keepLines/>
              <w:spacing w:after="40"/>
              <w:ind w:right="113"/>
              <w:rPr>
                <w:sz w:val="19"/>
              </w:rPr>
            </w:pPr>
            <w:r>
              <w:rPr>
                <w:i/>
                <w:sz w:val="19"/>
              </w:rPr>
              <w:t>District Court of Western Australia Act Amendment Act 1970</w:t>
            </w:r>
          </w:p>
        </w:tc>
        <w:tc>
          <w:tcPr>
            <w:tcW w:w="1134" w:type="dxa"/>
          </w:tcPr>
          <w:p>
            <w:pPr>
              <w:pStyle w:val="nTable"/>
              <w:keepLines/>
              <w:spacing w:after="40"/>
              <w:rPr>
                <w:sz w:val="19"/>
              </w:rPr>
            </w:pPr>
            <w:r>
              <w:rPr>
                <w:sz w:val="19"/>
              </w:rPr>
              <w:t>14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Act other than s. 3(b): 29 Apr 1970 (see s. 2(1));</w:t>
            </w:r>
            <w:r>
              <w:rPr>
                <w:sz w:val="19"/>
              </w:rPr>
              <w:br/>
              <w:t xml:space="preserve">s. 3(b): 18 May 1970 (see s. 2 and </w:t>
            </w:r>
            <w:r>
              <w:rPr>
                <w:i/>
                <w:sz w:val="19"/>
              </w:rPr>
              <w:t>Gazette</w:t>
            </w:r>
            <w:r>
              <w:rPr>
                <w:sz w:val="19"/>
              </w:rPr>
              <w:t xml:space="preserve"> 18 May 1970 p. 1331)</w:t>
            </w:r>
          </w:p>
        </w:tc>
      </w:tr>
      <w:tr>
        <w:trPr>
          <w:gridAfter w:val="1"/>
          <w:wAfter w:w="28" w:type="dxa"/>
          <w:cantSplit/>
        </w:trPr>
        <w:tc>
          <w:tcPr>
            <w:tcW w:w="2268" w:type="dxa"/>
          </w:tcPr>
          <w:p>
            <w:pPr>
              <w:pStyle w:val="nTable"/>
              <w:spacing w:after="40"/>
              <w:ind w:right="113"/>
              <w:rPr>
                <w:sz w:val="19"/>
              </w:rPr>
            </w:pPr>
            <w:r>
              <w:rPr>
                <w:i/>
                <w:sz w:val="19"/>
              </w:rPr>
              <w:t>District Court of Western Australia Act Amendment Act (No. 2) 1970</w:t>
            </w:r>
          </w:p>
        </w:tc>
        <w:tc>
          <w:tcPr>
            <w:tcW w:w="1134" w:type="dxa"/>
          </w:tcPr>
          <w:p>
            <w:pPr>
              <w:pStyle w:val="nTable"/>
              <w:spacing w:after="40"/>
              <w:rPr>
                <w:sz w:val="19"/>
              </w:rPr>
            </w:pPr>
            <w:r>
              <w:rPr>
                <w:sz w:val="19"/>
              </w:rPr>
              <w:t>100 of 1970</w:t>
            </w:r>
          </w:p>
        </w:tc>
        <w:tc>
          <w:tcPr>
            <w:tcW w:w="1134" w:type="dxa"/>
          </w:tcPr>
          <w:p>
            <w:pPr>
              <w:pStyle w:val="nTable"/>
              <w:spacing w:after="40"/>
              <w:rPr>
                <w:sz w:val="19"/>
              </w:rPr>
            </w:pPr>
            <w:r>
              <w:rPr>
                <w:sz w:val="19"/>
              </w:rPr>
              <w:t>8 Dec 1970</w:t>
            </w:r>
          </w:p>
        </w:tc>
        <w:tc>
          <w:tcPr>
            <w:tcW w:w="2551" w:type="dxa"/>
          </w:tcPr>
          <w:p>
            <w:pPr>
              <w:pStyle w:val="nTable"/>
              <w:spacing w:after="40"/>
              <w:rPr>
                <w:sz w:val="19"/>
              </w:rPr>
            </w:pPr>
            <w:r>
              <w:rPr>
                <w:sz w:val="19"/>
              </w:rPr>
              <w:t>8 Dec 1970</w:t>
            </w:r>
          </w:p>
        </w:tc>
      </w:tr>
      <w:tr>
        <w:trPr>
          <w:gridAfter w:val="1"/>
          <w:wAfter w:w="28" w:type="dxa"/>
          <w:cantSplit/>
        </w:trPr>
        <w:tc>
          <w:tcPr>
            <w:tcW w:w="2268" w:type="dxa"/>
          </w:tcPr>
          <w:p>
            <w:pPr>
              <w:pStyle w:val="nTable"/>
              <w:spacing w:after="40"/>
              <w:ind w:right="113"/>
              <w:rPr>
                <w:sz w:val="19"/>
              </w:rPr>
            </w:pPr>
            <w:r>
              <w:rPr>
                <w:i/>
                <w:sz w:val="19"/>
              </w:rPr>
              <w:t>District Court of Western Australia Act Amendment Act 1972</w:t>
            </w:r>
          </w:p>
        </w:tc>
        <w:tc>
          <w:tcPr>
            <w:tcW w:w="1134" w:type="dxa"/>
          </w:tcPr>
          <w:p>
            <w:pPr>
              <w:pStyle w:val="nTable"/>
              <w:spacing w:after="40"/>
              <w:rPr>
                <w:sz w:val="19"/>
              </w:rPr>
            </w:pPr>
            <w:r>
              <w:rPr>
                <w:sz w:val="19"/>
              </w:rPr>
              <w:t>40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Act other than s. 3</w:t>
            </w:r>
            <w:r>
              <w:rPr>
                <w:sz w:val="19"/>
              </w:rPr>
              <w:noBreakHyphen/>
              <w:t>6, 8, 9, 11 and 12: 16 Jun 1972 (see s. 2(1));</w:t>
            </w:r>
            <w:r>
              <w:rPr>
                <w:sz w:val="19"/>
              </w:rPr>
              <w:br/>
              <w:t>s. 3</w:t>
            </w:r>
            <w:r>
              <w:rPr>
                <w:sz w:val="19"/>
              </w:rPr>
              <w:noBreakHyphen/>
              <w:t xml:space="preserve">6, 8, 9 and 12: 13 Jul 1972 (see s. 2(2) and </w:t>
            </w:r>
            <w:r>
              <w:rPr>
                <w:i/>
                <w:sz w:val="19"/>
              </w:rPr>
              <w:t>Gazette</w:t>
            </w:r>
            <w:r>
              <w:rPr>
                <w:sz w:val="19"/>
              </w:rPr>
              <w:t xml:space="preserve"> 30 Jun 1972 p. 2098); </w:t>
            </w:r>
            <w:r>
              <w:rPr>
                <w:sz w:val="19"/>
              </w:rPr>
              <w:br/>
              <w:t>s. 11: 13 Jul 1972 (see s. 2(3) and </w:t>
            </w:r>
            <w:r>
              <w:rPr>
                <w:i/>
                <w:sz w:val="19"/>
              </w:rPr>
              <w:t>Gazette</w:t>
            </w:r>
            <w:r>
              <w:rPr>
                <w:sz w:val="19"/>
              </w:rPr>
              <w:t xml:space="preserve"> 30 Jun 1972 p. 2098)</w:t>
            </w:r>
          </w:p>
        </w:tc>
      </w:tr>
      <w:tr>
        <w:trPr>
          <w:gridAfter w:val="1"/>
          <w:wAfter w:w="28" w:type="dxa"/>
          <w:cantSplit/>
        </w:trPr>
        <w:tc>
          <w:tcPr>
            <w:tcW w:w="2268" w:type="dxa"/>
          </w:tcPr>
          <w:p>
            <w:pPr>
              <w:pStyle w:val="nTable"/>
              <w:keepNext/>
              <w:spacing w:after="40"/>
              <w:ind w:right="113"/>
              <w:rPr>
                <w:sz w:val="19"/>
              </w:rPr>
            </w:pPr>
            <w:r>
              <w:rPr>
                <w:i/>
                <w:sz w:val="19"/>
              </w:rPr>
              <w:t>Acts Amendment (Judicial Salaries and Pensions) Act 1972</w:t>
            </w:r>
            <w:r>
              <w:rPr>
                <w:sz w:val="19"/>
              </w:rPr>
              <w:t xml:space="preserve"> Pt. II</w:t>
            </w:r>
          </w:p>
        </w:tc>
        <w:tc>
          <w:tcPr>
            <w:tcW w:w="1134" w:type="dxa"/>
          </w:tcPr>
          <w:p>
            <w:pPr>
              <w:pStyle w:val="nTable"/>
              <w:keepNext/>
              <w:spacing w:after="40"/>
              <w:rPr>
                <w:sz w:val="19"/>
              </w:rPr>
            </w:pPr>
            <w:r>
              <w:rPr>
                <w:sz w:val="19"/>
              </w:rPr>
              <w:t>91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1 Jan 1973 (see s. 2)</w:t>
            </w:r>
          </w:p>
        </w:tc>
      </w:tr>
      <w:tr>
        <w:trPr>
          <w:gridAfter w:val="1"/>
          <w:wAfter w:w="28" w:type="dxa"/>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9 Apr 1973</w:t>
            </w:r>
            <w:r>
              <w:rPr>
                <w:sz w:val="19"/>
              </w:rPr>
              <w:t xml:space="preserve"> (includes amendments listed above)</w:t>
            </w:r>
          </w:p>
        </w:tc>
      </w:tr>
      <w:tr>
        <w:trPr>
          <w:gridAfter w:val="1"/>
          <w:wAfter w:w="28" w:type="dxa"/>
          <w:cantSplit/>
        </w:trPr>
        <w:tc>
          <w:tcPr>
            <w:tcW w:w="2268" w:type="dxa"/>
          </w:tcPr>
          <w:p>
            <w:pPr>
              <w:pStyle w:val="nTable"/>
              <w:spacing w:after="40"/>
              <w:ind w:right="113"/>
              <w:rPr>
                <w:sz w:val="19"/>
              </w:rPr>
            </w:pPr>
            <w:r>
              <w:rPr>
                <w:i/>
                <w:sz w:val="19"/>
              </w:rPr>
              <w:t>Acts Amendment (Judicial Salaries and Pensions) Act 1974</w:t>
            </w:r>
            <w:r>
              <w:rPr>
                <w:sz w:val="19"/>
              </w:rPr>
              <w:t xml:space="preserve"> Pt. II</w:t>
            </w:r>
          </w:p>
        </w:tc>
        <w:tc>
          <w:tcPr>
            <w:tcW w:w="1134" w:type="dxa"/>
          </w:tcPr>
          <w:p>
            <w:pPr>
              <w:pStyle w:val="nTable"/>
              <w:spacing w:after="40"/>
              <w:rPr>
                <w:sz w:val="19"/>
              </w:rPr>
            </w:pPr>
            <w:r>
              <w:rPr>
                <w:sz w:val="19"/>
              </w:rPr>
              <w:t>23 of 1974</w:t>
            </w:r>
          </w:p>
        </w:tc>
        <w:tc>
          <w:tcPr>
            <w:tcW w:w="1134" w:type="dxa"/>
          </w:tcPr>
          <w:p>
            <w:pPr>
              <w:pStyle w:val="nTable"/>
              <w:spacing w:after="40"/>
              <w:rPr>
                <w:sz w:val="19"/>
              </w:rPr>
            </w:pPr>
            <w:r>
              <w:rPr>
                <w:sz w:val="19"/>
              </w:rPr>
              <w:t>23 Oct 1974</w:t>
            </w:r>
          </w:p>
        </w:tc>
        <w:tc>
          <w:tcPr>
            <w:tcW w:w="2551" w:type="dxa"/>
          </w:tcPr>
          <w:p>
            <w:pPr>
              <w:pStyle w:val="nTable"/>
              <w:spacing w:after="40"/>
              <w:rPr>
                <w:sz w:val="19"/>
              </w:rPr>
            </w:pPr>
            <w:r>
              <w:rPr>
                <w:sz w:val="19"/>
              </w:rPr>
              <w:t>1 Jul 1974 (see s. 2)</w:t>
            </w:r>
          </w:p>
        </w:tc>
      </w:tr>
      <w:tr>
        <w:trPr>
          <w:gridAfter w:val="1"/>
          <w:wAfter w:w="28" w:type="dxa"/>
          <w:cantSplit/>
        </w:trPr>
        <w:tc>
          <w:tcPr>
            <w:tcW w:w="2268" w:type="dxa"/>
          </w:tcPr>
          <w:p>
            <w:pPr>
              <w:pStyle w:val="nTable"/>
              <w:spacing w:after="40"/>
              <w:ind w:right="113"/>
              <w:rPr>
                <w:sz w:val="19"/>
              </w:rPr>
            </w:pPr>
            <w:r>
              <w:rPr>
                <w:i/>
                <w:sz w:val="19"/>
              </w:rPr>
              <w:t>Acts Amendment (Judicial Salaries and Pensions) Act 1975</w:t>
            </w:r>
            <w:r>
              <w:rPr>
                <w:sz w:val="19"/>
              </w:rPr>
              <w:t xml:space="preserve"> Pt. II</w:t>
            </w:r>
          </w:p>
        </w:tc>
        <w:tc>
          <w:tcPr>
            <w:tcW w:w="1134" w:type="dxa"/>
          </w:tcPr>
          <w:p>
            <w:pPr>
              <w:pStyle w:val="nTable"/>
              <w:spacing w:after="40"/>
              <w:rPr>
                <w:sz w:val="19"/>
              </w:rPr>
            </w:pPr>
            <w:r>
              <w:rPr>
                <w:sz w:val="19"/>
              </w:rPr>
              <w:t>45 of 1975</w:t>
            </w:r>
          </w:p>
        </w:tc>
        <w:tc>
          <w:tcPr>
            <w:tcW w:w="1134" w:type="dxa"/>
          </w:tcPr>
          <w:p>
            <w:pPr>
              <w:pStyle w:val="nTable"/>
              <w:spacing w:after="40"/>
              <w:rPr>
                <w:sz w:val="19"/>
              </w:rPr>
            </w:pPr>
            <w:r>
              <w:rPr>
                <w:sz w:val="19"/>
              </w:rPr>
              <w:t>18 Sep 1975</w:t>
            </w:r>
          </w:p>
        </w:tc>
        <w:tc>
          <w:tcPr>
            <w:tcW w:w="2551" w:type="dxa"/>
          </w:tcPr>
          <w:p>
            <w:pPr>
              <w:pStyle w:val="nTable"/>
              <w:spacing w:after="40"/>
              <w:rPr>
                <w:sz w:val="19"/>
              </w:rPr>
            </w:pPr>
            <w:r>
              <w:rPr>
                <w:sz w:val="19"/>
              </w:rPr>
              <w:t>8 Aug 1975 (see s. 2)</w:t>
            </w:r>
          </w:p>
        </w:tc>
      </w:tr>
      <w:tr>
        <w:trPr>
          <w:gridAfter w:val="1"/>
          <w:wAfter w:w="28" w:type="dxa"/>
          <w:cantSplit/>
        </w:trPr>
        <w:tc>
          <w:tcPr>
            <w:tcW w:w="2268" w:type="dxa"/>
          </w:tcPr>
          <w:p>
            <w:pPr>
              <w:pStyle w:val="nTable"/>
              <w:spacing w:after="40"/>
              <w:ind w:right="113"/>
              <w:rPr>
                <w:sz w:val="19"/>
              </w:rPr>
            </w:pPr>
            <w:r>
              <w:rPr>
                <w:i/>
                <w:sz w:val="19"/>
              </w:rPr>
              <w:t>District Court of Western Australia Act Amendment Act 1975</w:t>
            </w:r>
          </w:p>
        </w:tc>
        <w:tc>
          <w:tcPr>
            <w:tcW w:w="1134" w:type="dxa"/>
          </w:tcPr>
          <w:p>
            <w:pPr>
              <w:pStyle w:val="nTable"/>
              <w:spacing w:after="40"/>
              <w:rPr>
                <w:sz w:val="19"/>
              </w:rPr>
            </w:pPr>
            <w:r>
              <w:rPr>
                <w:sz w:val="19"/>
              </w:rPr>
              <w:t>58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 xml:space="preserve">1 Jan 1976 (see s. 2 and </w:t>
            </w:r>
            <w:r>
              <w:rPr>
                <w:i/>
                <w:sz w:val="19"/>
              </w:rPr>
              <w:t>Gazette</w:t>
            </w:r>
            <w:r>
              <w:rPr>
                <w:sz w:val="19"/>
              </w:rPr>
              <w:t xml:space="preserve"> 7 Nov 1975 p. 4125)</w:t>
            </w:r>
          </w:p>
        </w:tc>
      </w:tr>
      <w:tr>
        <w:trPr>
          <w:gridAfter w:val="1"/>
          <w:wAfter w:w="28" w:type="dxa"/>
          <w:cantSplit/>
        </w:trPr>
        <w:tc>
          <w:tcPr>
            <w:tcW w:w="2268" w:type="dxa"/>
          </w:tcPr>
          <w:p>
            <w:pPr>
              <w:pStyle w:val="nTable"/>
              <w:spacing w:after="40"/>
              <w:ind w:right="113"/>
              <w:rPr>
                <w:sz w:val="19"/>
              </w:rPr>
            </w:pPr>
            <w:r>
              <w:rPr>
                <w:i/>
                <w:sz w:val="19"/>
              </w:rPr>
              <w:t>Acts Amendment (Jurisdiction of Courts) Act 1976</w:t>
            </w:r>
            <w:r>
              <w:rPr>
                <w:sz w:val="19"/>
              </w:rPr>
              <w:t xml:space="preserve"> Pt. I</w:t>
            </w:r>
          </w:p>
        </w:tc>
        <w:tc>
          <w:tcPr>
            <w:tcW w:w="1134" w:type="dxa"/>
          </w:tcPr>
          <w:p>
            <w:pPr>
              <w:pStyle w:val="nTable"/>
              <w:spacing w:after="40"/>
              <w:rPr>
                <w:sz w:val="19"/>
              </w:rPr>
            </w:pPr>
            <w:r>
              <w:rPr>
                <w:sz w:val="19"/>
              </w:rPr>
              <w:t>69 of 1976</w:t>
            </w:r>
          </w:p>
        </w:tc>
        <w:tc>
          <w:tcPr>
            <w:tcW w:w="1134" w:type="dxa"/>
          </w:tcPr>
          <w:p>
            <w:pPr>
              <w:pStyle w:val="nTable"/>
              <w:spacing w:after="40"/>
              <w:rPr>
                <w:sz w:val="19"/>
              </w:rPr>
            </w:pPr>
            <w:r>
              <w:rPr>
                <w:sz w:val="19"/>
              </w:rPr>
              <w:t>6 Oct 1976</w:t>
            </w:r>
          </w:p>
        </w:tc>
        <w:tc>
          <w:tcPr>
            <w:tcW w:w="2551" w:type="dxa"/>
          </w:tcPr>
          <w:p>
            <w:pPr>
              <w:pStyle w:val="nTable"/>
              <w:spacing w:after="40"/>
              <w:rPr>
                <w:sz w:val="19"/>
              </w:rPr>
            </w:pPr>
            <w:r>
              <w:rPr>
                <w:sz w:val="19"/>
              </w:rPr>
              <w:t xml:space="preserve">1 Jan 1977 (see s. 2 and </w:t>
            </w:r>
            <w:r>
              <w:rPr>
                <w:i/>
                <w:sz w:val="19"/>
              </w:rPr>
              <w:t>Gazette</w:t>
            </w:r>
            <w:r>
              <w:rPr>
                <w:sz w:val="19"/>
              </w:rPr>
              <w:t xml:space="preserve"> 24 Dec 1976 p. 5028)</w:t>
            </w:r>
          </w:p>
        </w:tc>
      </w:tr>
      <w:tr>
        <w:trPr>
          <w:gridAfter w:val="1"/>
          <w:wAfter w:w="28" w:type="dxa"/>
          <w:cantSplit/>
        </w:trPr>
        <w:tc>
          <w:tcPr>
            <w:tcW w:w="2268" w:type="dxa"/>
          </w:tcPr>
          <w:p>
            <w:pPr>
              <w:pStyle w:val="nTable"/>
              <w:spacing w:after="40"/>
              <w:ind w:right="113"/>
              <w:rPr>
                <w:sz w:val="19"/>
              </w:rPr>
            </w:pPr>
            <w:r>
              <w:rPr>
                <w:i/>
                <w:sz w:val="19"/>
              </w:rPr>
              <w:t>Acts Amendment (Expert Evidence) Act 1976</w:t>
            </w:r>
            <w:r>
              <w:rPr>
                <w:sz w:val="19"/>
              </w:rPr>
              <w:t xml:space="preserve"> Pt. III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gridAfter w:val="1"/>
          <w:wAfter w:w="28" w:type="dxa"/>
          <w:cantSplit/>
        </w:trPr>
        <w:tc>
          <w:tcPr>
            <w:tcW w:w="2268" w:type="dxa"/>
          </w:tcPr>
          <w:p>
            <w:pPr>
              <w:pStyle w:val="nTable"/>
              <w:spacing w:after="40"/>
              <w:ind w:right="113"/>
              <w:rPr>
                <w:sz w:val="19"/>
              </w:rPr>
            </w:pPr>
            <w:r>
              <w:rPr>
                <w:i/>
                <w:sz w:val="19"/>
              </w:rPr>
              <w:t>Acts Amendment (Supreme Court and District Court) Act 1978</w:t>
            </w:r>
            <w:r>
              <w:rPr>
                <w:sz w:val="19"/>
              </w:rPr>
              <w:t xml:space="preserve"> Pt. III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gridAfter w:val="1"/>
          <w:wAfter w:w="28" w:type="dxa"/>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5 Sep 1980</w:t>
            </w:r>
            <w:r>
              <w:rPr>
                <w:sz w:val="19"/>
              </w:rPr>
              <w:t xml:space="preserve"> (includes amendments listed above)</w:t>
            </w:r>
          </w:p>
        </w:tc>
      </w:tr>
      <w:tr>
        <w:trPr>
          <w:gridAfter w:val="1"/>
          <w:wAfter w:w="28" w:type="dxa"/>
          <w:cantSplit/>
        </w:trPr>
        <w:tc>
          <w:tcPr>
            <w:tcW w:w="2268" w:type="dxa"/>
          </w:tcPr>
          <w:p>
            <w:pPr>
              <w:pStyle w:val="nTable"/>
              <w:keepNext/>
              <w:spacing w:after="40"/>
              <w:ind w:right="113"/>
              <w:rPr>
                <w:sz w:val="19"/>
              </w:rPr>
            </w:pPr>
            <w:r>
              <w:rPr>
                <w:i/>
                <w:sz w:val="19"/>
              </w:rPr>
              <w:t>Acts Amendment (Jurisdiction of Courts) Act 1981</w:t>
            </w:r>
            <w:r>
              <w:rPr>
                <w:sz w:val="19"/>
              </w:rPr>
              <w:t xml:space="preserve"> Pt. II</w:t>
            </w:r>
          </w:p>
        </w:tc>
        <w:tc>
          <w:tcPr>
            <w:tcW w:w="1134" w:type="dxa"/>
          </w:tcPr>
          <w:p>
            <w:pPr>
              <w:pStyle w:val="nTable"/>
              <w:keepNext/>
              <w:spacing w:after="40"/>
              <w:rPr>
                <w:sz w:val="19"/>
              </w:rPr>
            </w:pPr>
            <w:r>
              <w:rPr>
                <w:sz w:val="19"/>
              </w:rPr>
              <w:t>118 of 1981</w:t>
            </w:r>
          </w:p>
        </w:tc>
        <w:tc>
          <w:tcPr>
            <w:tcW w:w="1134" w:type="dxa"/>
          </w:tcPr>
          <w:p>
            <w:pPr>
              <w:pStyle w:val="nTable"/>
              <w:keepNext/>
              <w:spacing w:after="40"/>
              <w:rPr>
                <w:sz w:val="19"/>
              </w:rPr>
            </w:pPr>
            <w:r>
              <w:rPr>
                <w:sz w:val="19"/>
              </w:rPr>
              <w:t>14 Dec 1981</w:t>
            </w:r>
          </w:p>
        </w:tc>
        <w:tc>
          <w:tcPr>
            <w:tcW w:w="2551" w:type="dxa"/>
          </w:tcPr>
          <w:p>
            <w:pPr>
              <w:pStyle w:val="nTable"/>
              <w:keepNext/>
              <w:spacing w:after="40"/>
              <w:rPr>
                <w:sz w:val="19"/>
              </w:rPr>
            </w:pPr>
            <w:r>
              <w:rPr>
                <w:sz w:val="19"/>
              </w:rPr>
              <w:t xml:space="preserve">1 Feb 1982 (see s. 2 and </w:t>
            </w:r>
            <w:r>
              <w:rPr>
                <w:i/>
                <w:sz w:val="19"/>
              </w:rPr>
              <w:t>Gazette</w:t>
            </w:r>
            <w:r>
              <w:rPr>
                <w:sz w:val="19"/>
              </w:rPr>
              <w:t xml:space="preserve"> 22 Jan 1982 p. 175)</w:t>
            </w:r>
          </w:p>
        </w:tc>
      </w:tr>
      <w:tr>
        <w:trPr>
          <w:gridAfter w:val="1"/>
          <w:wAfter w:w="28" w:type="dxa"/>
          <w:cantSplit/>
        </w:trPr>
        <w:tc>
          <w:tcPr>
            <w:tcW w:w="2268" w:type="dxa"/>
          </w:tcPr>
          <w:p>
            <w:pPr>
              <w:pStyle w:val="nTable"/>
              <w:keepNext/>
              <w:spacing w:after="40"/>
              <w:ind w:right="113"/>
              <w:rPr>
                <w:sz w:val="19"/>
              </w:rPr>
            </w:pPr>
            <w:r>
              <w:rPr>
                <w:i/>
                <w:sz w:val="19"/>
              </w:rPr>
              <w:t>Acts Amendment (Judicial Appointments) Act 1982</w:t>
            </w:r>
            <w:r>
              <w:rPr>
                <w:sz w:val="19"/>
              </w:rPr>
              <w:t xml:space="preserve"> Pt. III</w:t>
            </w:r>
          </w:p>
        </w:tc>
        <w:tc>
          <w:tcPr>
            <w:tcW w:w="1134" w:type="dxa"/>
          </w:tcPr>
          <w:p>
            <w:pPr>
              <w:pStyle w:val="nTable"/>
              <w:keepNext/>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gridAfter w:val="1"/>
          <w:wAfter w:w="28" w:type="dxa"/>
          <w:cantSplit/>
        </w:trPr>
        <w:tc>
          <w:tcPr>
            <w:tcW w:w="2268" w:type="dxa"/>
          </w:tcPr>
          <w:p>
            <w:pPr>
              <w:pStyle w:val="nTable"/>
              <w:spacing w:after="40"/>
              <w:ind w:right="113"/>
              <w:rPr>
                <w:sz w:val="19"/>
              </w:rPr>
            </w:pPr>
            <w:r>
              <w:rPr>
                <w:i/>
                <w:sz w:val="19"/>
              </w:rPr>
              <w:t>Acts Amendment (Abolition of Capital Punishment) Act 1984</w:t>
            </w:r>
            <w:r>
              <w:rPr>
                <w:sz w:val="19"/>
              </w:rPr>
              <w:t xml:space="preserve"> Pt. VIII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gridAfter w:val="1"/>
          <w:wAfter w:w="28" w:type="dxa"/>
          <w:cantSplit/>
        </w:trPr>
        <w:tc>
          <w:tcPr>
            <w:tcW w:w="2268" w:type="dxa"/>
          </w:tcPr>
          <w:p>
            <w:pPr>
              <w:pStyle w:val="nTable"/>
              <w:spacing w:after="40"/>
              <w:ind w:right="113"/>
              <w:rPr>
                <w:sz w:val="19"/>
              </w:rPr>
            </w:pPr>
            <w:r>
              <w:rPr>
                <w:i/>
                <w:sz w:val="19"/>
              </w:rPr>
              <w:t>District Court of Western Australia Amendment Act 1984</w:t>
            </w:r>
          </w:p>
        </w:tc>
        <w:tc>
          <w:tcPr>
            <w:tcW w:w="1134" w:type="dxa"/>
          </w:tcPr>
          <w:p>
            <w:pPr>
              <w:pStyle w:val="nTable"/>
              <w:spacing w:after="40"/>
              <w:rPr>
                <w:sz w:val="19"/>
              </w:rPr>
            </w:pPr>
            <w:r>
              <w:rPr>
                <w:sz w:val="19"/>
              </w:rPr>
              <w:t>122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s. 1</w:t>
            </w:r>
            <w:r>
              <w:rPr>
                <w:sz w:val="19"/>
              </w:rPr>
              <w:noBreakHyphen/>
              <w:t xml:space="preserve">7, 12 and 13: 24 Jan 1985 (see s. 2(1)); </w:t>
            </w:r>
            <w:r>
              <w:rPr>
                <w:sz w:val="19"/>
              </w:rPr>
              <w:br/>
              <w:t>s. 8</w:t>
            </w:r>
            <w:r>
              <w:rPr>
                <w:sz w:val="19"/>
              </w:rPr>
              <w:noBreakHyphen/>
              <w:t xml:space="preserve">11: 1 Mar 1985 (see s. 2(2) and </w:t>
            </w:r>
            <w:r>
              <w:rPr>
                <w:i/>
                <w:sz w:val="19"/>
              </w:rPr>
              <w:t>Gazette</w:t>
            </w:r>
            <w:r>
              <w:rPr>
                <w:sz w:val="19"/>
              </w:rPr>
              <w:t xml:space="preserve"> 1 Mar 1985 p. 777)</w:t>
            </w:r>
          </w:p>
        </w:tc>
      </w:tr>
      <w:tr>
        <w:trPr>
          <w:gridAfter w:val="1"/>
          <w:wAfter w:w="28" w:type="dxa"/>
          <w:cantSplit/>
        </w:trPr>
        <w:tc>
          <w:tcPr>
            <w:tcW w:w="2268" w:type="dxa"/>
          </w:tcPr>
          <w:p>
            <w:pPr>
              <w:pStyle w:val="nTable"/>
              <w:spacing w:after="40"/>
              <w:ind w:right="113"/>
              <w:rPr>
                <w:sz w:val="19"/>
              </w:rPr>
            </w:pPr>
            <w:r>
              <w:rPr>
                <w:i/>
                <w:sz w:val="19"/>
              </w:rPr>
              <w:t>Acts Amendment (Sexual Assaults) Act 1985</w:t>
            </w:r>
            <w:r>
              <w:rPr>
                <w:sz w:val="19"/>
              </w:rPr>
              <w:t xml:space="preserve"> Pt. V</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gridAfter w:val="1"/>
          <w:wAfter w:w="28" w:type="dxa"/>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28" w:type="dxa"/>
          <w:cantSplit/>
        </w:trPr>
        <w:tc>
          <w:tcPr>
            <w:tcW w:w="2268" w:type="dxa"/>
          </w:tcPr>
          <w:p>
            <w:pPr>
              <w:pStyle w:val="nTable"/>
              <w:spacing w:after="40"/>
              <w:ind w:right="113"/>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gridAfter w:val="1"/>
          <w:wAfter w:w="28" w:type="dxa"/>
          <w:cantSplit/>
        </w:trPr>
        <w:tc>
          <w:tcPr>
            <w:tcW w:w="2268" w:type="dxa"/>
          </w:tcPr>
          <w:p>
            <w:pPr>
              <w:pStyle w:val="nTable"/>
              <w:spacing w:after="40"/>
              <w:ind w:right="113"/>
              <w:rPr>
                <w:sz w:val="19"/>
              </w:rPr>
            </w:pPr>
            <w:r>
              <w:rPr>
                <w:i/>
                <w:sz w:val="19"/>
              </w:rPr>
              <w:t>Acts Amendment (Penalties for Contempt of Court) Act 1986</w:t>
            </w:r>
            <w:r>
              <w:rPr>
                <w:sz w:val="19"/>
              </w:rPr>
              <w:t xml:space="preserve"> Pt. II</w:t>
            </w:r>
          </w:p>
        </w:tc>
        <w:tc>
          <w:tcPr>
            <w:tcW w:w="1134" w:type="dxa"/>
          </w:tcPr>
          <w:p>
            <w:pPr>
              <w:pStyle w:val="nTable"/>
              <w:spacing w:after="40"/>
              <w:rPr>
                <w:sz w:val="19"/>
              </w:rPr>
            </w:pPr>
            <w:r>
              <w:rPr>
                <w:sz w:val="19"/>
              </w:rPr>
              <w:t>71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4 Dec 1986 (see s. 2)</w:t>
            </w:r>
          </w:p>
        </w:tc>
      </w:tr>
      <w:tr>
        <w:trPr>
          <w:gridAfter w:val="1"/>
          <w:wAfter w:w="28" w:type="dxa"/>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12 Feb 1987</w:t>
            </w:r>
            <w:r>
              <w:rPr>
                <w:sz w:val="19"/>
              </w:rPr>
              <w:t xml:space="preserve"> (includes amendments listed above)</w:t>
            </w:r>
          </w:p>
        </w:tc>
      </w:tr>
      <w:tr>
        <w:trPr>
          <w:gridAfter w:val="1"/>
          <w:wAfter w:w="28" w:type="dxa"/>
          <w:cantSplit/>
        </w:trPr>
        <w:tc>
          <w:tcPr>
            <w:tcW w:w="2268" w:type="dxa"/>
          </w:tcPr>
          <w:p>
            <w:pPr>
              <w:pStyle w:val="nTable"/>
              <w:keepNext/>
              <w:spacing w:after="40"/>
              <w:ind w:right="113"/>
              <w:rPr>
                <w:sz w:val="19"/>
              </w:rPr>
            </w:pPr>
            <w:r>
              <w:rPr>
                <w:i/>
                <w:sz w:val="19"/>
              </w:rPr>
              <w:t>Acts Amendment (Legal Practitioners, Costs and Taxation) Act 1987</w:t>
            </w:r>
            <w:r>
              <w:rPr>
                <w:sz w:val="19"/>
              </w:rPr>
              <w:t xml:space="preserve"> Pt. IV</w:t>
            </w:r>
          </w:p>
        </w:tc>
        <w:tc>
          <w:tcPr>
            <w:tcW w:w="1134" w:type="dxa"/>
          </w:tcPr>
          <w:p>
            <w:pPr>
              <w:pStyle w:val="nTable"/>
              <w:keepNext/>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After w:val="1"/>
          <w:wAfter w:w="28" w:type="dxa"/>
          <w:cantSplit/>
        </w:trPr>
        <w:tc>
          <w:tcPr>
            <w:tcW w:w="2268" w:type="dxa"/>
          </w:tcPr>
          <w:p>
            <w:pPr>
              <w:pStyle w:val="nTable"/>
              <w:spacing w:after="40"/>
              <w:ind w:right="113"/>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gridAfter w:val="1"/>
          <w:wAfter w:w="28" w:type="dxa"/>
          <w:cantSplit/>
        </w:trPr>
        <w:tc>
          <w:tcPr>
            <w:tcW w:w="2268" w:type="dxa"/>
          </w:tcPr>
          <w:p>
            <w:pPr>
              <w:pStyle w:val="nTable"/>
              <w:spacing w:after="40"/>
              <w:ind w:right="113"/>
              <w:rPr>
                <w:sz w:val="19"/>
              </w:rPr>
            </w:pPr>
            <w:r>
              <w:rPr>
                <w:i/>
                <w:sz w:val="19"/>
              </w:rPr>
              <w:t>Supreme and District Courts (Miscellaneous Amendments) Act 1991</w:t>
            </w:r>
            <w:r>
              <w:rPr>
                <w:sz w:val="19"/>
              </w:rPr>
              <w:t xml:space="preserve"> Pt. 3</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gridAfter w:val="1"/>
          <w:wAfter w:w="28" w:type="dxa"/>
          <w:cantSplit/>
        </w:trPr>
        <w:tc>
          <w:tcPr>
            <w:tcW w:w="2268" w:type="dxa"/>
          </w:tcPr>
          <w:p>
            <w:pPr>
              <w:pStyle w:val="nTable"/>
              <w:spacing w:after="40"/>
              <w:ind w:right="113"/>
              <w:rPr>
                <w:sz w:val="19"/>
              </w:rPr>
            </w:pPr>
            <w:r>
              <w:rPr>
                <w:i/>
                <w:sz w:val="19"/>
              </w:rPr>
              <w:t>Acts Amendment (Sexual Offences) Act 1992</w:t>
            </w:r>
            <w:r>
              <w:rPr>
                <w:sz w:val="19"/>
              </w:rPr>
              <w:t xml:space="preserve"> s. 6(8)</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gridAfter w:val="1"/>
          <w:wAfter w:w="28" w:type="dxa"/>
          <w:cantSplit/>
        </w:trPr>
        <w:tc>
          <w:tcPr>
            <w:tcW w:w="2268" w:type="dxa"/>
          </w:tcPr>
          <w:p>
            <w:pPr>
              <w:pStyle w:val="nTable"/>
              <w:spacing w:after="40"/>
              <w:ind w:right="113"/>
              <w:rPr>
                <w:sz w:val="19"/>
              </w:rPr>
            </w:pPr>
            <w:r>
              <w:rPr>
                <w:i/>
                <w:sz w:val="19"/>
              </w:rPr>
              <w:t>Acts Amendment (Jurisdiction and Criminal Procedure) Act 1992</w:t>
            </w:r>
            <w:r>
              <w:rPr>
                <w:sz w:val="19"/>
              </w:rPr>
              <w:t xml:space="preserve"> Pt. 3</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 xml:space="preserve">1 Mar 1993 (see s. 2(1) and </w:t>
            </w:r>
            <w:r>
              <w:rPr>
                <w:i/>
                <w:sz w:val="19"/>
              </w:rPr>
              <w:t>Gazette</w:t>
            </w:r>
            <w:r>
              <w:rPr>
                <w:sz w:val="19"/>
              </w:rPr>
              <w:t xml:space="preserve"> 26 Jan 1993 p. 823)</w:t>
            </w:r>
          </w:p>
        </w:tc>
      </w:tr>
      <w:tr>
        <w:trPr>
          <w:gridAfter w:val="1"/>
          <w:wAfter w:w="28" w:type="dxa"/>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28" w:type="dxa"/>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28" w:type="dxa"/>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20 Feb 1996</w:t>
            </w:r>
            <w:r>
              <w:rPr>
                <w:sz w:val="19"/>
              </w:rPr>
              <w:t xml:space="preserve"> (includes amendments listed above)</w:t>
            </w:r>
          </w:p>
        </w:tc>
      </w:tr>
      <w:tr>
        <w:trPr>
          <w:gridAfter w:val="1"/>
          <w:wAfter w:w="28" w:type="dxa"/>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28" w:type="dxa"/>
          <w:cantSplit/>
        </w:trPr>
        <w:tc>
          <w:tcPr>
            <w:tcW w:w="2268" w:type="dxa"/>
          </w:tcPr>
          <w:p>
            <w:pPr>
              <w:pStyle w:val="nTable"/>
              <w:keepNext/>
              <w:spacing w:after="40"/>
              <w:ind w:right="113"/>
              <w:rPr>
                <w:sz w:val="19"/>
              </w:rPr>
            </w:pPr>
            <w:r>
              <w:rPr>
                <w:i/>
                <w:sz w:val="19"/>
              </w:rPr>
              <w:t>Criminal Law Amendment Act 1996</w:t>
            </w:r>
            <w:r>
              <w:rPr>
                <w:sz w:val="19"/>
              </w:rPr>
              <w:t xml:space="preserve"> Pt. 3</w:t>
            </w:r>
          </w:p>
        </w:tc>
        <w:tc>
          <w:tcPr>
            <w:tcW w:w="1134" w:type="dxa"/>
          </w:tcPr>
          <w:p>
            <w:pPr>
              <w:pStyle w:val="nTable"/>
              <w:keepNext/>
              <w:spacing w:after="40"/>
              <w:rPr>
                <w:sz w:val="19"/>
              </w:rPr>
            </w:pPr>
            <w:r>
              <w:rPr>
                <w:sz w:val="19"/>
              </w:rPr>
              <w:t>36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10 Oct 1996 (see s. 2(1))</w:t>
            </w:r>
          </w:p>
        </w:tc>
      </w:tr>
      <w:tr>
        <w:trPr>
          <w:gridAfter w:val="1"/>
          <w:wAfter w:w="28" w:type="dxa"/>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After w:val="1"/>
          <w:wAfter w:w="28" w:type="dxa"/>
          <w:cantSplit/>
        </w:trPr>
        <w:tc>
          <w:tcPr>
            <w:tcW w:w="2268" w:type="dxa"/>
          </w:tcPr>
          <w:p>
            <w:pPr>
              <w:pStyle w:val="nTable"/>
              <w:spacing w:after="40"/>
              <w:ind w:right="113"/>
              <w:rPr>
                <w:sz w:val="19"/>
              </w:rPr>
            </w:pPr>
            <w:r>
              <w:rPr>
                <w:i/>
                <w:sz w:val="19"/>
              </w:rPr>
              <w:t>Acts Amendment (Auxiliary Judges) Act 1997</w:t>
            </w:r>
            <w:r>
              <w:rPr>
                <w:sz w:val="19"/>
              </w:rPr>
              <w:t xml:space="preserve"> Pt. 2</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gridAfter w:val="1"/>
          <w:wAfter w:w="28" w:type="dxa"/>
          <w:cantSplit/>
        </w:trPr>
        <w:tc>
          <w:tcPr>
            <w:tcW w:w="2268" w:type="dxa"/>
          </w:tcPr>
          <w:p>
            <w:pPr>
              <w:pStyle w:val="nTable"/>
              <w:spacing w:after="40"/>
              <w:ind w:right="113"/>
              <w:rPr>
                <w:sz w:val="19"/>
              </w:rPr>
            </w:pPr>
            <w:r>
              <w:rPr>
                <w:i/>
                <w:sz w:val="19"/>
              </w:rPr>
              <w:t>Statutes (Repeals and Minor Amendments) Act 1997</w:t>
            </w:r>
            <w:r>
              <w:rPr>
                <w:sz w:val="19"/>
              </w:rPr>
              <w:t xml:space="preserve"> s. 48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28" w:type="dxa"/>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 Jan 1999</w:t>
            </w:r>
            <w:r>
              <w:rPr>
                <w:sz w:val="19"/>
              </w:rPr>
              <w:t xml:space="preserve"> (includes amendments listed above)</w:t>
            </w:r>
          </w:p>
        </w:tc>
      </w:tr>
      <w:tr>
        <w:trPr>
          <w:gridAfter w:val="1"/>
          <w:wAfter w:w="28" w:type="dxa"/>
          <w:cantSplit/>
        </w:trPr>
        <w:tc>
          <w:tcPr>
            <w:tcW w:w="2268" w:type="dxa"/>
          </w:tcPr>
          <w:p>
            <w:pPr>
              <w:pStyle w:val="nTable"/>
              <w:spacing w:after="40"/>
              <w:ind w:right="113"/>
              <w:rPr>
                <w:sz w:val="19"/>
              </w:rPr>
            </w:pPr>
            <w:r>
              <w:rPr>
                <w:i/>
                <w:sz w:val="19"/>
              </w:rPr>
              <w:t>Courts Legislation Amendment Act 2000</w:t>
            </w:r>
            <w:r>
              <w:rPr>
                <w:sz w:val="19"/>
              </w:rPr>
              <w:t xml:space="preserve"> Pt. 2 (s. 3</w:t>
            </w:r>
            <w:r>
              <w:rPr>
                <w:sz w:val="19"/>
              </w:rPr>
              <w:noBreakHyphen/>
              <w:t>7)</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3</w:t>
            </w:r>
            <w:r>
              <w:rPr>
                <w:sz w:val="19"/>
              </w:rPr>
              <w:noBreakHyphen/>
              <w:t>5: 6 Jul 2000 (see s. 2(1));</w:t>
            </w:r>
            <w:r>
              <w:rPr>
                <w:sz w:val="19"/>
              </w:rPr>
              <w:br/>
              <w:t xml:space="preserve">s. 6 and 7: 28 Jul 2001 (see s. 2(2) and </w:t>
            </w:r>
            <w:r>
              <w:rPr>
                <w:i/>
                <w:sz w:val="19"/>
              </w:rPr>
              <w:t>Gazette</w:t>
            </w:r>
            <w:r>
              <w:rPr>
                <w:sz w:val="19"/>
              </w:rPr>
              <w:t xml:space="preserve"> 27 Jul 2001 p. 3797)</w:t>
            </w:r>
          </w:p>
        </w:tc>
      </w:tr>
      <w:tr>
        <w:trPr>
          <w:gridAfter w:val="1"/>
          <w:wAfter w:w="28" w:type="dxa"/>
          <w:cantSplit/>
        </w:trPr>
        <w:tc>
          <w:tcPr>
            <w:tcW w:w="2268" w:type="dxa"/>
          </w:tcPr>
          <w:p>
            <w:pPr>
              <w:pStyle w:val="nTable"/>
              <w:spacing w:after="40"/>
              <w:ind w:right="113"/>
              <w:rPr>
                <w:sz w:val="19"/>
              </w:rPr>
            </w:pPr>
            <w:r>
              <w:rPr>
                <w:i/>
                <w:sz w:val="19"/>
              </w:rPr>
              <w:t>State Records (Consequential Provisions) Act 2000</w:t>
            </w:r>
            <w:r>
              <w:rPr>
                <w:sz w:val="19"/>
              </w:rPr>
              <w:t xml:space="preserve"> Pt. 3</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gridAfter w:val="1"/>
          <w:wAfter w:w="28" w:type="dxa"/>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19 Jan 2001</w:t>
            </w:r>
            <w:r>
              <w:rPr>
                <w:sz w:val="19"/>
              </w:rPr>
              <w:t xml:space="preserve"> (includes amendments listed above except those in the </w:t>
            </w:r>
            <w:r>
              <w:rPr>
                <w:i/>
                <w:sz w:val="19"/>
              </w:rPr>
              <w:t>Courts Legislation Amendment Act 2000</w:t>
            </w:r>
            <w:r>
              <w:rPr>
                <w:sz w:val="19"/>
              </w:rPr>
              <w:t xml:space="preserve"> s. 6</w:t>
            </w:r>
            <w:r>
              <w:rPr>
                <w:sz w:val="19"/>
              </w:rPr>
              <w:noBreakHyphen/>
              <w:t xml:space="preserve">7 and the </w:t>
            </w:r>
            <w:r>
              <w:rPr>
                <w:i/>
                <w:sz w:val="19"/>
              </w:rPr>
              <w:t>State Records (Consequential Provisions) Act 2000</w:t>
            </w:r>
            <w:r>
              <w:rPr>
                <w:sz w:val="19"/>
              </w:rPr>
              <w:t>)</w:t>
            </w:r>
          </w:p>
        </w:tc>
      </w:tr>
      <w:tr>
        <w:trPr>
          <w:gridAfter w:val="1"/>
          <w:wAfter w:w="28" w:type="dxa"/>
          <w:cantSplit/>
        </w:trPr>
        <w:tc>
          <w:tcPr>
            <w:tcW w:w="2268" w:type="dxa"/>
          </w:tcPr>
          <w:p>
            <w:pPr>
              <w:pStyle w:val="nTable"/>
              <w:spacing w:after="40"/>
              <w:ind w:right="113"/>
              <w:rPr>
                <w:i/>
                <w:sz w:val="19"/>
              </w:rPr>
            </w:pPr>
            <w:r>
              <w:rPr>
                <w:i/>
                <w:sz w:val="19"/>
              </w:rPr>
              <w:t>Vexatious Proceedings Restriction Act 2002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gridAfter w:val="1"/>
          <w:wAfter w:w="28" w:type="dxa"/>
          <w:cantSplit/>
        </w:trPr>
        <w:tc>
          <w:tcPr>
            <w:tcW w:w="2268" w:type="dxa"/>
          </w:tcPr>
          <w:p>
            <w:pPr>
              <w:pStyle w:val="nTable"/>
              <w:spacing w:after="40"/>
              <w:ind w:right="113"/>
              <w:rPr>
                <w:sz w:val="19"/>
              </w:rPr>
            </w:pPr>
            <w:r>
              <w:rPr>
                <w:i/>
                <w:sz w:val="19"/>
              </w:rPr>
              <w:t>Acts Amendment (Equality of Status) Act 2003</w:t>
            </w:r>
            <w:r>
              <w:rPr>
                <w:sz w:val="19"/>
              </w:rPr>
              <w:t xml:space="preserve"> Pt. 17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8" w:type="dxa"/>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32, 111 and 125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28" w:type="dxa"/>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32</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After w:val="1"/>
          <w:wAfter w:w="28" w:type="dxa"/>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10 </w:t>
            </w:r>
            <w:r>
              <w:rPr>
                <w:snapToGrid w:val="0"/>
                <w:sz w:val="19"/>
                <w:vertAlign w:val="superscript"/>
                <w:lang w:val="en-US"/>
              </w:rPr>
              <w:t>3</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After w:val="1"/>
          <w:wAfter w:w="28" w:type="dxa"/>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7</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28" w:type="dxa"/>
          <w:cantSplit/>
        </w:trPr>
        <w:tc>
          <w:tcPr>
            <w:tcW w:w="7087" w:type="dxa"/>
            <w:gridSpan w:val="4"/>
          </w:tcPr>
          <w:p>
            <w:pPr>
              <w:pStyle w:val="nTable"/>
              <w:spacing w:after="40"/>
              <w:rPr>
                <w:snapToGrid w:val="0"/>
                <w:sz w:val="19"/>
                <w:lang w:val="en-US"/>
              </w:rPr>
            </w:pPr>
            <w:r>
              <w:rPr>
                <w:b/>
                <w:sz w:val="19"/>
              </w:rPr>
              <w:t xml:space="preserve">Reprint 7: The </w:t>
            </w:r>
            <w:r>
              <w:rPr>
                <w:b/>
                <w:i/>
                <w:sz w:val="19"/>
              </w:rPr>
              <w:t>District Court of Western Australia Act 1969</w:t>
            </w:r>
            <w:r>
              <w:rPr>
                <w:b/>
                <w:sz w:val="19"/>
              </w:rPr>
              <w:t xml:space="preserve"> as at 19 Aug 2005</w:t>
            </w:r>
            <w:r>
              <w:rPr>
                <w:sz w:val="19"/>
              </w:rPr>
              <w:t xml:space="preserve"> (includes amendments listed above)</w:t>
            </w:r>
          </w:p>
        </w:tc>
      </w:tr>
      <w:tr>
        <w:tc>
          <w:tcPr>
            <w:tcW w:w="2268" w:type="dxa"/>
            <w:tcBorders>
              <w:bottom w:val="single" w:sz="4" w:space="0" w:color="auto"/>
            </w:tcBorders>
          </w:tcPr>
          <w:p>
            <w:pPr>
              <w:pStyle w:val="nTable"/>
              <w:spacing w:after="4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5 </w:t>
            </w:r>
            <w:r>
              <w:rPr>
                <w:snapToGrid w:val="0"/>
                <w:sz w:val="19"/>
                <w:vertAlign w:val="superscript"/>
                <w:lang w:val="en-US"/>
              </w:rPr>
              <w:t>5</w:t>
            </w:r>
          </w:p>
        </w:tc>
        <w:tc>
          <w:tcPr>
            <w:tcW w:w="1134" w:type="dxa"/>
            <w:tcBorders>
              <w:bottom w:val="single" w:sz="4" w:space="0" w:color="auto"/>
            </w:tcBorders>
          </w:tcPr>
          <w:p>
            <w:pPr>
              <w:pStyle w:val="nTable"/>
              <w:spacing w:after="40"/>
              <w:rPr>
                <w:snapToGrid w:val="0"/>
                <w:sz w:val="19"/>
                <w:lang w:val="en-US"/>
              </w:rPr>
            </w:pPr>
            <w:r>
              <w:rPr>
                <w:snapToGrid w:val="0"/>
                <w:sz w:val="19"/>
                <w:lang w:val="en-US"/>
              </w:rPr>
              <w:t>20 of 2005</w:t>
            </w:r>
          </w:p>
        </w:tc>
        <w:tc>
          <w:tcPr>
            <w:tcW w:w="1134" w:type="dxa"/>
            <w:tcBorders>
              <w:bottom w:val="single" w:sz="4" w:space="0" w:color="auto"/>
            </w:tcBorders>
          </w:tcPr>
          <w:p>
            <w:pPr>
              <w:pStyle w:val="nTable"/>
              <w:spacing w:after="40"/>
              <w:rPr>
                <w:sz w:val="19"/>
              </w:rPr>
            </w:pPr>
            <w:r>
              <w:rPr>
                <w:sz w:val="19"/>
              </w:rPr>
              <w:t>15 Nov 2005</w:t>
            </w:r>
          </w:p>
        </w:tc>
        <w:tc>
          <w:tcPr>
            <w:tcW w:w="2551" w:type="dxa"/>
            <w:gridSpan w:val="2"/>
            <w:tcBorders>
              <w:bottom w:val="single" w:sz="4" w:space="0" w:color="auto"/>
            </w:tcBorders>
          </w:tcPr>
          <w:p>
            <w:pPr>
              <w:pStyle w:val="nTable"/>
              <w:spacing w:after="40"/>
              <w:rPr>
                <w:snapToGrid w:val="0"/>
                <w:sz w:val="19"/>
                <w:lang w:val="en-US"/>
              </w:rPr>
            </w:pPr>
            <w:r>
              <w:rPr>
                <w:snapToGrid w:val="0"/>
                <w:sz w:val="19"/>
                <w:lang w:val="en-US"/>
              </w:rPr>
              <w:t>15 Nov 2005 (see s. 2)</w:t>
            </w:r>
          </w:p>
        </w:tc>
      </w:tr>
    </w:tbl>
    <w:p>
      <w:pPr>
        <w:pStyle w:val="nSubsection"/>
        <w:spacing w:before="360"/>
        <w:ind w:left="482" w:hanging="482"/>
      </w:pPr>
      <w:r>
        <w:rPr>
          <w:vertAlign w:val="superscript"/>
        </w:rPr>
        <w:t>1a</w:t>
      </w:r>
      <w:r>
        <w:tab/>
        <w:t>On the date as at which thi</w:t>
      </w:r>
      <w:bookmarkStart w:id="701" w:name="_Hlt507390729"/>
      <w:bookmarkEnd w:id="70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02" w:name="_Toc113079953"/>
      <w:bookmarkStart w:id="703" w:name="_Toc194986656"/>
      <w:r>
        <w:rPr>
          <w:snapToGrid w:val="0"/>
        </w:rPr>
        <w:t>Provisions that have not come into operation</w:t>
      </w:r>
      <w:bookmarkEnd w:id="702"/>
      <w:bookmarkEnd w:id="703"/>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4</w:t>
            </w:r>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To be proclaimed (see s. 2(2))</w:t>
            </w:r>
          </w:p>
        </w:tc>
      </w:tr>
      <w:tr>
        <w:trPr>
          <w:cantSplit/>
        </w:trPr>
        <w:tc>
          <w:tcPr>
            <w:tcW w:w="2268" w:type="dxa"/>
            <w:tcBorders>
              <w:bottom w:val="single" w:sz="8" w:space="0" w:color="auto"/>
            </w:tcBorders>
          </w:tcPr>
          <w:p>
            <w:pPr>
              <w:pStyle w:val="nTable"/>
              <w:spacing w:after="40"/>
              <w:ind w:right="113"/>
              <w:rPr>
                <w:i/>
                <w:sz w:val="19"/>
              </w:rPr>
            </w:pPr>
            <w:r>
              <w:rPr>
                <w:i/>
                <w:sz w:val="19"/>
              </w:rPr>
              <w:t>Oaths, Affidavits and Statutory Declarations (Consequential Provisions) Act 2005</w:t>
            </w:r>
            <w:r>
              <w:rPr>
                <w:iCs/>
                <w:sz w:val="19"/>
              </w:rPr>
              <w:t xml:space="preserve"> Pt. 6</w:t>
            </w:r>
            <w:r>
              <w:rPr>
                <w:iCs/>
                <w:sz w:val="19"/>
                <w:vertAlign w:val="superscript"/>
              </w:rPr>
              <w:t> 6</w:t>
            </w:r>
          </w:p>
        </w:tc>
        <w:tc>
          <w:tcPr>
            <w:tcW w:w="1134" w:type="dxa"/>
            <w:tcBorders>
              <w:bottom w:val="single" w:sz="8" w:space="0" w:color="auto"/>
            </w:tcBorders>
          </w:tcPr>
          <w:p>
            <w:pPr>
              <w:pStyle w:val="nTable"/>
              <w:spacing w:after="40"/>
              <w:rPr>
                <w:sz w:val="19"/>
              </w:rPr>
            </w:pPr>
            <w:r>
              <w:rPr>
                <w:sz w:val="19"/>
              </w:rPr>
              <w:t>24 of 2005</w:t>
            </w:r>
          </w:p>
        </w:tc>
        <w:tc>
          <w:tcPr>
            <w:tcW w:w="1134" w:type="dxa"/>
            <w:tcBorders>
              <w:bottom w:val="single" w:sz="8" w:space="0" w:color="auto"/>
            </w:tcBorders>
          </w:tcPr>
          <w:p>
            <w:pPr>
              <w:pStyle w:val="nTable"/>
              <w:spacing w:after="40"/>
              <w:rPr>
                <w:sz w:val="19"/>
              </w:rPr>
            </w:pPr>
            <w:r>
              <w:rPr>
                <w:sz w:val="19"/>
              </w:rPr>
              <w:t>2 Dec 2005</w:t>
            </w:r>
          </w:p>
        </w:tc>
        <w:tc>
          <w:tcPr>
            <w:tcW w:w="2552" w:type="dxa"/>
            <w:tcBorders>
              <w:bottom w:val="single" w:sz="8" w:space="0" w:color="auto"/>
            </w:tcBorders>
          </w:tcPr>
          <w:p>
            <w:pPr>
              <w:pStyle w:val="nTable"/>
              <w:spacing w:after="40"/>
              <w:rPr>
                <w:sz w:val="19"/>
              </w:rPr>
            </w:pPr>
            <w:r>
              <w:rPr>
                <w:sz w:val="19"/>
              </w:rPr>
              <w:t>To be proclaimed (see s. 2)</w:t>
            </w:r>
          </w:p>
        </w:tc>
      </w:tr>
    </w:tbl>
    <w:p>
      <w:pPr>
        <w:pStyle w:val="nSubsection"/>
      </w:pPr>
      <w:r>
        <w:rPr>
          <w:vertAlign w:val="superscript"/>
        </w:rPr>
        <w:t>2</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 xml:space="preserve">Courts Legislation Amendment and Repeal Act 2004 </w:t>
      </w:r>
      <w:r>
        <w:rPr>
          <w:snapToGrid w:val="0"/>
        </w:rPr>
        <w:t xml:space="preserve">Pt. 22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704" w:name="_Toc88630546"/>
      <w:r>
        <w:rPr>
          <w:rStyle w:val="CharSectno"/>
        </w:rPr>
        <w:t>143</w:t>
      </w:r>
      <w:r>
        <w:t>.</w:t>
      </w:r>
      <w:r>
        <w:tab/>
        <w:t>Interpretation</w:t>
      </w:r>
      <w:bookmarkEnd w:id="704"/>
    </w:p>
    <w:p>
      <w:pPr>
        <w:pStyle w:val="nzSubsection"/>
      </w:pPr>
      <w:r>
        <w:tab/>
        <w:t>(1)</w:t>
      </w:r>
      <w:r>
        <w:tab/>
        <w:t xml:space="preserve">In this Part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court fee</w:t>
      </w:r>
      <w:r>
        <w:rPr>
          <w:b/>
        </w:rPr>
        <w:t>”</w:t>
      </w:r>
      <w:r>
        <w:t>, for an application, does not include any fee payable in connection with serving the application to the Sheriff or any other person;</w:t>
      </w:r>
    </w:p>
    <w:p>
      <w:pPr>
        <w:pStyle w:val="nzDefstart"/>
      </w:pPr>
      <w:r>
        <w:rPr>
          <w:b/>
        </w:rPr>
        <w:tab/>
        <w:t>“</w:t>
      </w:r>
      <w:r>
        <w:rPr>
          <w:rStyle w:val="CharDefText"/>
        </w:rPr>
        <w:t>enforcement process</w:t>
      </w:r>
      <w:r>
        <w:rPr>
          <w:b/>
        </w:rPr>
        <w:t>”</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705" w:name="_Toc88630547"/>
      <w:r>
        <w:rPr>
          <w:rStyle w:val="CharSectno"/>
        </w:rPr>
        <w:t>144</w:t>
      </w:r>
      <w:r>
        <w:t>.</w:t>
      </w:r>
      <w:r>
        <w:tab/>
        <w:t>Judgments not satisfied before commencement</w:t>
      </w:r>
      <w:bookmarkEnd w:id="705"/>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proceedings to enforce the judgment are pending or any process for the enforcement of the judgment is in force, section 145 applies;</w:t>
      </w:r>
    </w:p>
    <w:p>
      <w:pPr>
        <w:pStyle w:val="nzIndenta"/>
      </w:pPr>
      <w:r>
        <w:tab/>
        <w:t>(b)</w:t>
      </w:r>
      <w:r>
        <w:tab/>
        <w:t xml:space="preserve">otherwise, the judgment may be enforced under and subject to the </w:t>
      </w:r>
      <w:r>
        <w:rPr>
          <w:i/>
        </w:rPr>
        <w:t>Civil Judgments Enforcement Act 2004</w:t>
      </w:r>
      <w:r>
        <w:t>.</w:t>
      </w:r>
    </w:p>
    <w:p>
      <w:pPr>
        <w:pStyle w:val="nzHeading5"/>
      </w:pPr>
      <w:bookmarkStart w:id="706" w:name="_Toc88630548"/>
      <w:r>
        <w:rPr>
          <w:rStyle w:val="CharSectno"/>
        </w:rPr>
        <w:t>145</w:t>
      </w:r>
      <w:r>
        <w:t>.</w:t>
      </w:r>
      <w:r>
        <w:tab/>
        <w:t>Pending proceedings to enforce a judgment</w:t>
      </w:r>
      <w:bookmarkEnd w:id="706"/>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707" w:name="_Toc88630549"/>
      <w:r>
        <w:rPr>
          <w:rStyle w:val="CharSectno"/>
        </w:rPr>
        <w:t>146</w:t>
      </w:r>
      <w:r>
        <w:t>.</w:t>
      </w:r>
      <w:r>
        <w:tab/>
        <w:t>Pending process to enforce a judgment</w:t>
      </w:r>
      <w:bookmarkEnd w:id="707"/>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708" w:name="_Toc88630550"/>
      <w:r>
        <w:rPr>
          <w:rStyle w:val="CharSectno"/>
        </w:rPr>
        <w:t>147</w:t>
      </w:r>
      <w:r>
        <w:t>.</w:t>
      </w:r>
      <w:r>
        <w:tab/>
        <w:t>Existing bailiffs and their assistants, termination of appointment etc.</w:t>
      </w:r>
      <w:bookmarkEnd w:id="708"/>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709" w:name="_Toc88630551"/>
      <w:r>
        <w:rPr>
          <w:rStyle w:val="CharSectno"/>
        </w:rPr>
        <w:t>148</w:t>
      </w:r>
      <w:r>
        <w:t>.</w:t>
      </w:r>
      <w:r>
        <w:tab/>
        <w:t>Transitional regulations</w:t>
      </w:r>
      <w:bookmarkEnd w:id="709"/>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keepNext/>
        <w:rPr>
          <w:snapToGrid w:val="0"/>
        </w:rPr>
      </w:pPr>
      <w:r>
        <w:rPr>
          <w:snapToGrid w:val="0"/>
          <w:vertAlign w:val="superscript"/>
        </w:rPr>
        <w:t>4</w:t>
      </w:r>
      <w:r>
        <w:rPr>
          <w:snapToGrid w:val="0"/>
        </w:rPr>
        <w:tab/>
      </w:r>
      <w:r>
        <w:t xml:space="preserve">On the date as at which this compilation was prepared, the </w:t>
      </w:r>
      <w:r>
        <w:rPr>
          <w:i/>
          <w:snapToGrid w:val="0"/>
        </w:rPr>
        <w:t>State Superannuation (Transitional and Consequential Provisions) Act 2000</w:t>
      </w:r>
      <w:r>
        <w:t xml:space="preserve"> s. 75 had not come into operation.  It reads as follows:</w:t>
      </w:r>
      <w:r>
        <w:rPr>
          <w:snapToGrid w:val="0"/>
        </w:rPr>
        <w:t xml:space="preserve"> </w:t>
      </w:r>
    </w:p>
    <w:p>
      <w:pPr>
        <w:pStyle w:val="MiscOpen"/>
        <w:rPr>
          <w:snapToGrid w:val="0"/>
        </w:rPr>
      </w:pPr>
      <w:r>
        <w:rPr>
          <w:snapToGrid w:val="0"/>
        </w:rPr>
        <w:t>“</w:t>
      </w:r>
    </w:p>
    <w:p>
      <w:pPr>
        <w:pStyle w:val="nzHeading5"/>
      </w:pPr>
      <w:bookmarkStart w:id="710" w:name="_Toc497533394"/>
      <w:r>
        <w:t>75.</w:t>
      </w:r>
      <w:r>
        <w:tab/>
        <w:t>Various provisions repealed</w:t>
      </w:r>
      <w:bookmarkEnd w:id="710"/>
    </w:p>
    <w:p>
      <w:pPr>
        <w:pStyle w:val="nzSubsection"/>
      </w:pPr>
      <w:r>
        <w:tab/>
      </w:r>
      <w:r>
        <w:tab/>
        <w:t>The provisions listed in the Table to this section are repealed.</w:t>
      </w:r>
    </w:p>
    <w:p>
      <w:pPr>
        <w:pStyle w:val="nzMiscellaneousHeading"/>
        <w:spacing w:after="120"/>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418"/>
      </w:tblGrid>
      <w:tr>
        <w:trPr>
          <w:tblHeader/>
        </w:trPr>
        <w:tc>
          <w:tcPr>
            <w:tcW w:w="3827" w:type="dxa"/>
          </w:tcPr>
          <w:p>
            <w:pPr>
              <w:pStyle w:val="nzTable"/>
              <w:jc w:val="center"/>
              <w:rPr>
                <w:b/>
              </w:rPr>
            </w:pPr>
            <w:r>
              <w:rPr>
                <w:b/>
              </w:rPr>
              <w:t>Act</w:t>
            </w:r>
          </w:p>
        </w:tc>
        <w:tc>
          <w:tcPr>
            <w:tcW w:w="1418" w:type="dxa"/>
          </w:tcPr>
          <w:p>
            <w:pPr>
              <w:pStyle w:val="nzTable"/>
              <w:jc w:val="center"/>
              <w:rPr>
                <w:b/>
              </w:rPr>
            </w:pPr>
            <w:r>
              <w:rPr>
                <w:b/>
              </w:rPr>
              <w:t>Provision</w:t>
            </w:r>
          </w:p>
        </w:tc>
      </w:tr>
      <w:tr>
        <w:tc>
          <w:tcPr>
            <w:tcW w:w="3827" w:type="dxa"/>
          </w:tcPr>
          <w:p>
            <w:pPr>
              <w:pStyle w:val="nzTable"/>
              <w:rPr>
                <w:i/>
              </w:rPr>
            </w:pPr>
            <w:r>
              <w:rPr>
                <w:i/>
              </w:rPr>
              <w:t>...........................................................</w:t>
            </w:r>
          </w:p>
        </w:tc>
        <w:tc>
          <w:tcPr>
            <w:tcW w:w="1418" w:type="dxa"/>
          </w:tcPr>
          <w:p>
            <w:pPr>
              <w:pStyle w:val="nzTable"/>
              <w:jc w:val="center"/>
            </w:pPr>
            <w:r>
              <w:t>.........</w:t>
            </w:r>
          </w:p>
        </w:tc>
      </w:tr>
      <w:tr>
        <w:tc>
          <w:tcPr>
            <w:tcW w:w="3827" w:type="dxa"/>
          </w:tcPr>
          <w:p>
            <w:pPr>
              <w:pStyle w:val="nzTable"/>
            </w:pPr>
            <w:r>
              <w:rPr>
                <w:i/>
              </w:rPr>
              <w:t>District Court of Western Australia Act 1969</w:t>
            </w:r>
          </w:p>
        </w:tc>
        <w:tc>
          <w:tcPr>
            <w:tcW w:w="1418" w:type="dxa"/>
          </w:tcPr>
          <w:p>
            <w:pPr>
              <w:pStyle w:val="nzTable"/>
              <w:jc w:val="center"/>
            </w:pPr>
            <w:r>
              <w:t>s. 15</w:t>
            </w:r>
          </w:p>
        </w:tc>
      </w:tr>
      <w:tr>
        <w:tc>
          <w:tcPr>
            <w:tcW w:w="3827" w:type="dxa"/>
          </w:tcPr>
          <w:p>
            <w:pPr>
              <w:pStyle w:val="nzTable"/>
              <w:rPr>
                <w:i/>
              </w:rPr>
            </w:pPr>
            <w:r>
              <w:rPr>
                <w:i/>
              </w:rPr>
              <w:t>...........................................................</w:t>
            </w:r>
          </w:p>
        </w:tc>
        <w:tc>
          <w:tcPr>
            <w:tcW w:w="1418" w:type="dxa"/>
          </w:tcPr>
          <w:p>
            <w:pPr>
              <w:pStyle w:val="nzTable"/>
              <w:jc w:val="center"/>
            </w:pPr>
            <w:r>
              <w:t>.........</w:t>
            </w:r>
          </w:p>
        </w:tc>
      </w:tr>
    </w:tbl>
    <w:p>
      <w:pPr>
        <w:pStyle w:val="MiscClose"/>
        <w:rPr>
          <w:snapToGrid w:val="0"/>
        </w:rPr>
      </w:pPr>
      <w:r>
        <w:rPr>
          <w:snapToGrid w:val="0"/>
        </w:rPr>
        <w:t>”.</w:t>
      </w:r>
    </w:p>
    <w:p>
      <w:pPr>
        <w:pStyle w:val="nSubsection"/>
      </w:pPr>
      <w:r>
        <w:rPr>
          <w:vertAlign w:val="superscript"/>
        </w:rPr>
        <w:t>5</w:t>
      </w:r>
      <w:r>
        <w:tab/>
        <w:t xml:space="preserve">The </w:t>
      </w:r>
      <w:r>
        <w:rPr>
          <w:i/>
        </w:rPr>
        <w:t xml:space="preserve">Limitation Legislation Amendment and Repeal Act 2005 </w:t>
      </w:r>
      <w:r>
        <w:rPr>
          <w:iCs/>
        </w:rPr>
        <w:t>s. 10(2)</w:t>
      </w:r>
      <w:r>
        <w:t xml:space="preserve"> reads as follows:</w:t>
      </w:r>
    </w:p>
    <w:p>
      <w:pPr>
        <w:pStyle w:val="MiscOpen"/>
      </w:pPr>
      <w:r>
        <w:t>“</w:t>
      </w:r>
    </w:p>
    <w:p>
      <w:pPr>
        <w:pStyle w:val="nzHeading5"/>
      </w:pPr>
      <w:bookmarkStart w:id="711" w:name="_Toc86826887"/>
      <w:bookmarkStart w:id="712" w:name="_Toc119316834"/>
      <w:r>
        <w:rPr>
          <w:rStyle w:val="CharSectno"/>
        </w:rPr>
        <w:t>10</w:t>
      </w:r>
      <w:r>
        <w:t>.</w:t>
      </w:r>
      <w:r>
        <w:tab/>
        <w:t>Section 37 amended and a savings provision</w:t>
      </w:r>
      <w:bookmarkEnd w:id="711"/>
      <w:bookmarkEnd w:id="712"/>
    </w:p>
    <w:p>
      <w:pPr>
        <w:pStyle w:val="nzSubsection"/>
      </w:pPr>
      <w:r>
        <w:tab/>
        <w:t>(2)</w:t>
      </w:r>
      <w:r>
        <w:tab/>
        <w:t xml:space="preserve">The </w:t>
      </w:r>
      <w:r>
        <w:rPr>
          <w:i/>
        </w:rPr>
        <w:t>District Court of Western Australia Act 1969</w:t>
      </w:r>
      <w:r>
        <w:t xml:space="preserve"> section 37, as it was immediately before commencement day, continues to apply to causes of action that accrued before commencement day as if subsection (1) had not been enacted.</w:t>
      </w:r>
    </w:p>
    <w:p>
      <w:pPr>
        <w:pStyle w:val="MiscClose"/>
      </w:pPr>
      <w:r>
        <w:t>”.</w:t>
      </w:r>
    </w:p>
    <w:p>
      <w:pPr>
        <w:pStyle w:val="nSubsection"/>
        <w:keepLines/>
        <w:spacing w:before="0"/>
        <w:rPr>
          <w:iCs/>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Oaths, Affidavits and Statutory Declarations (Consequential Provisions) Act 2005</w:t>
      </w:r>
      <w:r>
        <w:rPr>
          <w:iCs/>
          <w:snapToGrid w:val="0"/>
        </w:rPr>
        <w:t xml:space="preserve"> Pt. 6 had not come into operation.  It reads as follows:</w:t>
      </w:r>
    </w:p>
    <w:p>
      <w:pPr>
        <w:pStyle w:val="MiscOpen"/>
        <w:keepNext w:val="0"/>
        <w:spacing w:before="60"/>
        <w:rPr>
          <w:sz w:val="20"/>
        </w:rPr>
      </w:pPr>
      <w:r>
        <w:rPr>
          <w:sz w:val="20"/>
        </w:rPr>
        <w:t>“</w:t>
      </w:r>
    </w:p>
    <w:p>
      <w:pPr>
        <w:pStyle w:val="nzHeading2"/>
      </w:pPr>
      <w:bookmarkStart w:id="713" w:name="_Toc98909406"/>
      <w:bookmarkStart w:id="714" w:name="_Toc98909737"/>
      <w:bookmarkStart w:id="715" w:name="_Toc98910461"/>
      <w:bookmarkStart w:id="716" w:name="_Toc99358931"/>
      <w:bookmarkStart w:id="717" w:name="_Toc99359027"/>
      <w:bookmarkStart w:id="718" w:name="_Toc99359123"/>
      <w:bookmarkStart w:id="719" w:name="_Toc99427074"/>
      <w:bookmarkStart w:id="720" w:name="_Toc99427171"/>
      <w:bookmarkStart w:id="721" w:name="_Toc99515114"/>
      <w:bookmarkStart w:id="722" w:name="_Toc99853277"/>
      <w:bookmarkStart w:id="723" w:name="_Toc117043583"/>
      <w:bookmarkStart w:id="724" w:name="_Toc120952328"/>
      <w:bookmarkStart w:id="725" w:name="_Toc120952463"/>
      <w:r>
        <w:rPr>
          <w:rStyle w:val="CharPartNo"/>
        </w:rPr>
        <w:t>Part 6</w:t>
      </w:r>
      <w:r>
        <w:rPr>
          <w:rStyle w:val="CharDivNo"/>
        </w:rPr>
        <w:t> </w:t>
      </w:r>
      <w:r>
        <w:t>—</w:t>
      </w:r>
      <w:r>
        <w:rPr>
          <w:rStyle w:val="CharDivText"/>
        </w:rPr>
        <w:t> </w:t>
      </w:r>
      <w:r>
        <w:rPr>
          <w:rStyle w:val="CharPartText"/>
          <w:i/>
          <w:iCs/>
        </w:rPr>
        <w:t xml:space="preserve">District Court of Western Australia Act 1969 </w:t>
      </w:r>
      <w:r>
        <w:rPr>
          <w:rStyle w:val="CharPartText"/>
        </w:rPr>
        <w:t>amended</w:t>
      </w:r>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nzHeading5"/>
      </w:pPr>
      <w:bookmarkStart w:id="726" w:name="_Toc71478926"/>
      <w:bookmarkStart w:id="727" w:name="_Toc120952464"/>
      <w:r>
        <w:rPr>
          <w:rStyle w:val="CharSectno"/>
        </w:rPr>
        <w:t>17</w:t>
      </w:r>
      <w:r>
        <w:t>.</w:t>
      </w:r>
      <w:r>
        <w:tab/>
      </w:r>
      <w:bookmarkEnd w:id="726"/>
      <w:r>
        <w:rPr>
          <w:iCs/>
        </w:rPr>
        <w:t xml:space="preserve">The Act </w:t>
      </w:r>
      <w:r>
        <w:t>amended in this Part</w:t>
      </w:r>
      <w:bookmarkEnd w:id="727"/>
    </w:p>
    <w:p>
      <w:pPr>
        <w:pStyle w:val="nzSubsection"/>
      </w:pPr>
      <w:r>
        <w:tab/>
      </w:r>
      <w:r>
        <w:tab/>
        <w:t xml:space="preserve">The amendments in this Part are to the </w:t>
      </w:r>
      <w:r>
        <w:rPr>
          <w:i/>
        </w:rPr>
        <w:t>District Court of Western Australia Act 1969</w:t>
      </w:r>
      <w:r>
        <w:t>.</w:t>
      </w:r>
    </w:p>
    <w:p>
      <w:pPr>
        <w:pStyle w:val="nzHeading5"/>
      </w:pPr>
      <w:bookmarkStart w:id="728" w:name="_Toc120952465"/>
      <w:r>
        <w:rPr>
          <w:rStyle w:val="CharSectno"/>
        </w:rPr>
        <w:t>18</w:t>
      </w:r>
      <w:r>
        <w:t>.</w:t>
      </w:r>
      <w:r>
        <w:tab/>
        <w:t>Section 11 amended</w:t>
      </w:r>
      <w:bookmarkEnd w:id="728"/>
    </w:p>
    <w:p>
      <w:pPr>
        <w:pStyle w:val="nzSubsection"/>
      </w:pPr>
      <w:r>
        <w:tab/>
      </w:r>
      <w:r>
        <w:tab/>
        <w:t xml:space="preserve">Section 11(2) is repealed and the following subsection is inserted instead — </w:t>
      </w:r>
    </w:p>
    <w:p>
      <w:pPr>
        <w:pStyle w:val="MiscOpen"/>
        <w:ind w:left="600"/>
      </w:pPr>
      <w:r>
        <w:t xml:space="preserve">“    </w:t>
      </w:r>
    </w:p>
    <w:p>
      <w:pPr>
        <w:pStyle w:val="nzSubsection"/>
      </w:pPr>
      <w:r>
        <w:tab/>
        <w:t>(2)</w:t>
      </w:r>
      <w:r>
        <w:tab/>
        <w:t>Before a person who is appointed to be a District Court Judge, an acting District Court Judge, an auxiliary District Court Judge, or a commissioner of the Court, performs any function of the office, he or she shall take before the Governor, a Supreme Court Judge, or some person authorised for the purpose by the Governor, an oath or affirmation in the form set out in Schedule 1.</w:t>
      </w:r>
    </w:p>
    <w:p>
      <w:pPr>
        <w:pStyle w:val="MiscClose"/>
        <w:ind w:right="488"/>
      </w:pPr>
      <w:r>
        <w:t xml:space="preserve">    ”.</w:t>
      </w:r>
    </w:p>
    <w:p>
      <w:pPr>
        <w:pStyle w:val="nzHeading5"/>
      </w:pPr>
      <w:bookmarkStart w:id="729" w:name="_Toc120952466"/>
      <w:r>
        <w:rPr>
          <w:rStyle w:val="CharSectno"/>
        </w:rPr>
        <w:t>19</w:t>
      </w:r>
      <w:r>
        <w:t>.</w:t>
      </w:r>
      <w:r>
        <w:tab/>
        <w:t>Section 27 amended</w:t>
      </w:r>
      <w:bookmarkEnd w:id="729"/>
    </w:p>
    <w:p>
      <w:pPr>
        <w:pStyle w:val="nzSubsection"/>
      </w:pPr>
      <w:r>
        <w:tab/>
        <w:t>(1)</w:t>
      </w:r>
      <w:r>
        <w:tab/>
        <w:t>Section 27(2) is repealed.</w:t>
      </w:r>
    </w:p>
    <w:p>
      <w:pPr>
        <w:pStyle w:val="nzSubsection"/>
      </w:pPr>
      <w:r>
        <w:tab/>
        <w:t>(2)</w:t>
      </w:r>
      <w:r>
        <w:tab/>
        <w:t xml:space="preserve">Section 27(3) is amended by deleting “Sections 174, 176 and 177” and inserting instead — </w:t>
      </w:r>
    </w:p>
    <w:p>
      <w:pPr>
        <w:pStyle w:val="nzSubsection"/>
      </w:pPr>
      <w:r>
        <w:tab/>
      </w:r>
      <w:r>
        <w:tab/>
        <w:t>“    Section 174    ”.</w:t>
      </w:r>
    </w:p>
    <w:p>
      <w:pPr>
        <w:pStyle w:val="nzHeading5"/>
      </w:pPr>
      <w:bookmarkStart w:id="730" w:name="_Toc120952467"/>
      <w:r>
        <w:rPr>
          <w:rStyle w:val="CharSectno"/>
        </w:rPr>
        <w:t>20</w:t>
      </w:r>
      <w:r>
        <w:t>.</w:t>
      </w:r>
      <w:r>
        <w:tab/>
        <w:t>Schedule replaced</w:t>
      </w:r>
      <w:bookmarkEnd w:id="730"/>
    </w:p>
    <w:p>
      <w:pPr>
        <w:pStyle w:val="nzSubsection"/>
      </w:pPr>
      <w:r>
        <w:tab/>
      </w:r>
      <w:r>
        <w:tab/>
        <w:t xml:space="preserve">The Schedule is repealed and the following schedule is inserted instead — </w:t>
      </w:r>
    </w:p>
    <w:p>
      <w:pPr>
        <w:pStyle w:val="MiscOpen"/>
        <w:ind w:left="360"/>
      </w:pPr>
      <w:r>
        <w:t xml:space="preserve">“    </w:t>
      </w:r>
    </w:p>
    <w:p>
      <w:pPr>
        <w:pStyle w:val="zyScheduleHeading"/>
      </w:pPr>
      <w:bookmarkStart w:id="731" w:name="_Toc121551205"/>
      <w:bookmarkStart w:id="732" w:name="_Toc194986657"/>
      <w:r>
        <w:t>Schedule 1 — Oath and affirmation of office</w:t>
      </w:r>
      <w:bookmarkEnd w:id="731"/>
      <w:bookmarkEnd w:id="732"/>
    </w:p>
    <w:p>
      <w:pPr>
        <w:pStyle w:val="zyShoulderClause"/>
        <w:keepNext/>
      </w:pPr>
      <w:r>
        <w:t>[s. 11(2)]</w:t>
      </w:r>
    </w:p>
    <w:p>
      <w:pPr>
        <w:pStyle w:val="zySubsection"/>
        <w:rPr>
          <w:sz w:val="20"/>
        </w:rPr>
      </w:pPr>
      <w:r>
        <w:rPr>
          <w:sz w:val="20"/>
        </w:rPr>
        <w:tab/>
      </w:r>
      <w:r>
        <w:rPr>
          <w:sz w:val="20"/>
        </w:rPr>
        <w:tab/>
        <w:t>I, [</w:t>
      </w:r>
      <w:r>
        <w:rPr>
          <w:i/>
          <w:sz w:val="20"/>
        </w:rPr>
        <w:t>name</w:t>
      </w:r>
      <w:r>
        <w:rPr>
          <w:sz w:val="20"/>
        </w:rPr>
        <w:t>], [</w:t>
      </w:r>
      <w:r>
        <w:rPr>
          <w:i/>
          <w:sz w:val="20"/>
        </w:rPr>
        <w:t>insert an oath or affirmation according to the Oaths, Affidavits and Statutory Declarations Act 2005</w:t>
      </w:r>
      <w:r>
        <w:rPr>
          <w:sz w:val="20"/>
        </w:rPr>
        <w:t>] that I will faithfully serve the people and the State of Western Australia in the office of [</w:t>
      </w:r>
      <w:r>
        <w:rPr>
          <w:i/>
          <w:sz w:val="20"/>
        </w:rPr>
        <w:t>title of office</w:t>
      </w:r>
      <w:r>
        <w:rPr>
          <w:sz w:val="20"/>
        </w:rPr>
        <w:t>] of the District Court of Western Australia and I will do right to all manner of people, according to law, without fear or favour, affection or ill will.</w:t>
      </w:r>
    </w:p>
    <w:p>
      <w:pPr>
        <w:pStyle w:val="MiscClose"/>
        <w:ind w:right="488"/>
      </w:pPr>
      <w:r>
        <w:t>”.</w:t>
      </w:r>
    </w:p>
    <w:p>
      <w:pPr>
        <w:pStyle w:val="MiscClose"/>
      </w:pPr>
      <w:r>
        <w:t>”.</w:t>
      </w:r>
    </w:p>
    <w:p>
      <w:pPr>
        <w:pStyle w:val="nSubsection"/>
      </w:pPr>
      <w:r>
        <w:rPr>
          <w:snapToGrid w:val="0"/>
          <w:vertAlign w:val="superscript"/>
        </w:rPr>
        <w:t>7</w:t>
      </w:r>
      <w:r>
        <w:rPr>
          <w:snapToGrid w:val="0"/>
        </w:rPr>
        <w:tab/>
        <w:t xml:space="preserve">This Act has a retrospective amendment effective from 1 May 2005 see the </w:t>
      </w:r>
      <w:r>
        <w:rPr>
          <w:i/>
          <w:iCs/>
          <w:snapToGrid w:val="0"/>
        </w:rPr>
        <w:t>Acts Amendment (Justice) Act 2008</w:t>
      </w:r>
      <w:r>
        <w:rPr>
          <w:snapToGrid w:val="0"/>
        </w:rPr>
        <w:t xml:space="preserve"> s. 24.  The effect of this retrospective amendment has not been included in this document.  To see the provision as amended by the retrospective amendment see the document as at 31 Mar 2008.</w:t>
      </w:r>
    </w:p>
    <w:p/>
    <w:p>
      <w:pPr>
        <w:sectPr>
          <w:headerReference w:type="even"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District Court of Western Australia Act 1969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42" w:type="dxa"/>
        </w:tcPr>
        <w:p>
          <w:pPr>
            <w:pStyle w:val="HeaderTextRight"/>
          </w:pPr>
        </w:p>
      </w:tc>
      <w:tc>
        <w:tcPr>
          <w:tcW w:w="1521" w:type="dxa"/>
        </w:tcPr>
        <w:p>
          <w:pPr>
            <w:pStyle w:val="HeaderNumberRight"/>
            <w:ind w:right="17"/>
          </w:pPr>
          <w:fldSimple w:instr=" STYLEREF CharSchNo \* MERGEFORMAT ">
            <w:r>
              <w:rPr>
                <w:noProof/>
              </w:rPr>
              <w:t>Schedule 1</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0E5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0FACB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7604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765D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0241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9AF4F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3D04D5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D2A81B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1E2675E"/>
    <w:lvl w:ilvl="0">
      <w:start w:val="1"/>
      <w:numFmt w:val="decimal"/>
      <w:pStyle w:val="ListNumber"/>
      <w:lvlText w:val="%1."/>
      <w:lvlJc w:val="left"/>
      <w:pPr>
        <w:tabs>
          <w:tab w:val="num" w:pos="360"/>
        </w:tabs>
        <w:ind w:left="360" w:hanging="360"/>
      </w:pPr>
    </w:lvl>
  </w:abstractNum>
  <w:abstractNum w:abstractNumId="9">
    <w:nsid w:val="FFFFFF89"/>
    <w:multiLevelType w:val="singleLevel"/>
    <w:tmpl w:val="4E2687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A9AF6B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7642C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16604</Words>
  <Characters>74719</Characters>
  <Application>Microsoft Office Word</Application>
  <DocSecurity>0</DocSecurity>
  <Lines>2019</Lines>
  <Paragraphs>1061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1969 - 07-b0-04</dc:title>
  <dc:subject/>
  <dc:creator/>
  <cp:keywords/>
  <dc:description/>
  <cp:lastModifiedBy>svcMRProcess</cp:lastModifiedBy>
  <cp:revision>4</cp:revision>
  <cp:lastPrinted>2005-08-29T04:33:00Z</cp:lastPrinted>
  <dcterms:created xsi:type="dcterms:W3CDTF">2018-08-28T03:08:00Z</dcterms:created>
  <dcterms:modified xsi:type="dcterms:W3CDTF">2018-08-28T03:08:00Z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CommencementDate">
    <vt:lpwstr>20051202</vt:lpwstr>
  </property>
  <property fmtid="{D5CDD505-2E9C-101B-9397-08002B2CF9AE}" pid="4" name="DocumentType">
    <vt:lpwstr>Act</vt:lpwstr>
  </property>
  <property fmtid="{D5CDD505-2E9C-101B-9397-08002B2CF9AE}" pid="5" name="OwlsUID">
    <vt:i4>228</vt:i4>
  </property>
  <property fmtid="{D5CDD505-2E9C-101B-9397-08002B2CF9AE}" pid="6" name="AsAtDate">
    <vt:lpwstr>02 Dec 2005</vt:lpwstr>
  </property>
  <property fmtid="{D5CDD505-2E9C-101B-9397-08002B2CF9AE}" pid="7" name="Suffix">
    <vt:lpwstr>07-b0-04</vt:lpwstr>
  </property>
</Properties>
</file>