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Law (Mentally Impaired Accused) Act 1996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2008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Law (Mentally Impaired Accused)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_Toc415666216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_Toc415666217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to provide documents to Board (s. 25)</w:t>
      </w:r>
      <w:r>
        <w:tab/>
      </w:r>
      <w:r>
        <w:fldChar w:fldCharType="begin"/>
      </w:r>
      <w:r>
        <w:instrText xml:space="preserve"> PAGEREF _Toc415666218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Absence without leave — prescribed persons (s. 31)</w:t>
      </w:r>
      <w:r>
        <w:tab/>
      </w:r>
      <w:r>
        <w:fldChar w:fldCharType="begin"/>
      </w:r>
      <w:r>
        <w:instrText xml:space="preserve"> PAGEREF _Toc415666219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_Toc415666220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w:t>
      </w:r>
    </w:p>
    <w:p>
      <w:pPr>
        <w:pStyle w:val="TOC2"/>
        <w:tabs>
          <w:tab w:val="right" w:leader="dot" w:pos="7077"/>
        </w:tabs>
        <w:rPr>
          <w:rFonts w:asciiTheme="minorHAnsi" w:eastAsiaTheme="minorEastAsia" w:hAnsiTheme="minorHAnsi" w:cstheme="minorBidi"/>
          <w:b w:val="0"/>
          <w:noProof/>
          <w:sz w:val="22"/>
          <w:szCs w:val="22"/>
        </w:rPr>
      </w:pPr>
      <w:r>
        <w:rPr>
          <w:noProof/>
        </w:rPr>
        <w:t>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_Toc415666224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2008</w:t>
            </w:r>
          </w:p>
        </w:tc>
      </w:tr>
    </w:tbl>
    <w:p>
      <w:pPr>
        <w:pStyle w:val="WA"/>
        <w:spacing w:before="12"/>
      </w:pPr>
      <w:r>
        <w:t>Western Australia</w:t>
      </w:r>
    </w:p>
    <w:p>
      <w:pPr>
        <w:pStyle w:val="PrincipalActReg"/>
        <w:rPr>
          <w:snapToGrid w:val="0"/>
          <w:vertAlign w:val="superscript"/>
        </w:rPr>
      </w:pPr>
      <w:r>
        <w:rPr>
          <w:snapToGrid w:val="0"/>
        </w:rPr>
        <w:t>Criminal Law (Mentally Impaired Accused) Act 1996</w:t>
      </w:r>
      <w:r>
        <w:rPr>
          <w:snapToGrid w:val="0"/>
          <w:vertAlign w:val="superscript"/>
        </w:rPr>
        <w:t> 2</w:t>
      </w:r>
    </w:p>
    <w:p>
      <w:pPr>
        <w:pStyle w:val="NameofActReg"/>
        <w:rPr>
          <w:sz w:val="22"/>
        </w:rPr>
      </w:pPr>
      <w:r>
        <w:t>Criminal Law (Mentally Impaired Accused) Regulations 1997</w:t>
      </w:r>
    </w:p>
    <w:p>
      <w:pPr>
        <w:pStyle w:val="Heading5"/>
        <w:rPr>
          <w:snapToGrid w:val="0"/>
        </w:rPr>
      </w:pPr>
      <w:bookmarkStart w:id="3" w:name="_Toc378154170"/>
      <w:bookmarkStart w:id="4" w:name="_Toc41566621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vertAlign w:val="superscript"/>
        </w:rPr>
        <w:t> 1</w:t>
      </w:r>
      <w:r>
        <w:rPr>
          <w:snapToGrid w:val="0"/>
        </w:rPr>
        <w:t>.</w:t>
      </w:r>
    </w:p>
    <w:p>
      <w:pPr>
        <w:pStyle w:val="Footnotesection"/>
      </w:pPr>
      <w:r>
        <w:tab/>
        <w:t>[Regulation 1 amended in Gazette 31 Jul 2007 p. 3795.]</w:t>
      </w:r>
    </w:p>
    <w:p>
      <w:pPr>
        <w:pStyle w:val="Heading5"/>
        <w:rPr>
          <w:snapToGrid w:val="0"/>
        </w:rPr>
      </w:pPr>
      <w:bookmarkStart w:id="5" w:name="_Toc378154171"/>
      <w:bookmarkStart w:id="6" w:name="_Toc41566621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r>
        <w:rPr>
          <w:i/>
          <w:iCs/>
          <w:snapToGrid w:val="0"/>
        </w:rPr>
        <w:t>Accused</w:t>
      </w:r>
      <w:r>
        <w:rPr>
          <w:i/>
          <w:snapToGrid w:val="0"/>
        </w:rPr>
        <w:t xml:space="preserve">) Act 1996 </w:t>
      </w:r>
      <w:r>
        <w:rPr>
          <w:snapToGrid w:val="0"/>
        </w:rPr>
        <w:t>comes into operation</w:t>
      </w:r>
      <w:r>
        <w:rPr>
          <w:snapToGrid w:val="0"/>
          <w:vertAlign w:val="superscript"/>
        </w:rPr>
        <w:t> 1, 3</w:t>
      </w:r>
      <w:r>
        <w:rPr>
          <w:snapToGrid w:val="0"/>
        </w:rPr>
        <w:t>.</w:t>
      </w:r>
    </w:p>
    <w:p>
      <w:pPr>
        <w:pStyle w:val="Heading5"/>
        <w:rPr>
          <w:snapToGrid w:val="0"/>
        </w:rPr>
      </w:pPr>
      <w:bookmarkStart w:id="7" w:name="_Toc378154172"/>
      <w:bookmarkStart w:id="8" w:name="_Toc415666218"/>
      <w:r>
        <w:rPr>
          <w:rStyle w:val="CharSectno"/>
        </w:rPr>
        <w:t>3</w:t>
      </w:r>
      <w:r>
        <w:rPr>
          <w:snapToGrid w:val="0"/>
        </w:rPr>
        <w:t>.</w:t>
      </w:r>
      <w:r>
        <w:rPr>
          <w:snapToGrid w:val="0"/>
        </w:rPr>
        <w:tab/>
        <w:t>Court to provide documents to Board (s. 25)</w:t>
      </w:r>
      <w:bookmarkEnd w:id="7"/>
      <w:bookmarkEnd w:id="8"/>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 in Gazette 31 Jul 2007 p. 3795.]</w:t>
      </w:r>
    </w:p>
    <w:p>
      <w:pPr>
        <w:pStyle w:val="Heading5"/>
        <w:rPr>
          <w:snapToGrid w:val="0"/>
        </w:rPr>
      </w:pPr>
      <w:bookmarkStart w:id="9" w:name="_Toc378154173"/>
      <w:bookmarkStart w:id="10" w:name="_Toc415666219"/>
      <w:r>
        <w:rPr>
          <w:rStyle w:val="CharSectno"/>
        </w:rPr>
        <w:t>4</w:t>
      </w:r>
      <w:r>
        <w:rPr>
          <w:snapToGrid w:val="0"/>
        </w:rPr>
        <w:t>.</w:t>
      </w:r>
      <w:r>
        <w:rPr>
          <w:snapToGrid w:val="0"/>
        </w:rPr>
        <w:tab/>
        <w:t>Absence without leave — prescribed persons (s. 31)</w:t>
      </w:r>
      <w:bookmarkEnd w:id="9"/>
      <w:bookmarkEnd w:id="10"/>
      <w:r>
        <w:rPr>
          <w:snapToGrid w:val="0"/>
        </w:rPr>
        <w:t xml:space="preserve"> </w:t>
      </w:r>
    </w:p>
    <w:p>
      <w:pPr>
        <w:pStyle w:val="Subsection"/>
        <w:rPr>
          <w:snapToGrid w:val="0"/>
        </w:rPr>
      </w:pPr>
      <w:r>
        <w:rPr>
          <w:snapToGrid w:val="0"/>
        </w:rPr>
        <w:tab/>
      </w:r>
      <w:r>
        <w:rPr>
          <w:snapToGrid w:val="0"/>
        </w:rPr>
        <w:tab/>
        <w:t xml:space="preserve">A person is qualified for the purposes of section 31(3) of the Act if the person is a mental health practitioner as defined in the </w:t>
      </w:r>
      <w:r>
        <w:rPr>
          <w:i/>
          <w:snapToGrid w:val="0"/>
        </w:rPr>
        <w:t>Mental Health Act 1996</w:t>
      </w:r>
      <w:r>
        <w:rPr>
          <w:snapToGrid w:val="0"/>
        </w:rPr>
        <w:t>.</w:t>
      </w:r>
    </w:p>
    <w:p>
      <w:pPr>
        <w:pStyle w:val="Heading5"/>
        <w:rPr>
          <w:snapToGrid w:val="0"/>
        </w:rPr>
      </w:pPr>
      <w:bookmarkStart w:id="11" w:name="_Toc378154174"/>
      <w:bookmarkStart w:id="12" w:name="_Toc415666220"/>
      <w:r>
        <w:rPr>
          <w:rStyle w:val="CharSectno"/>
        </w:rPr>
        <w:t>5</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154175"/>
      <w:bookmarkStart w:id="14" w:name="_Toc415666005"/>
      <w:bookmarkStart w:id="15" w:name="_Toc415666154"/>
      <w:bookmarkStart w:id="16" w:name="_Toc415666221"/>
      <w:r>
        <w:rPr>
          <w:rStyle w:val="CharSchNo"/>
        </w:rPr>
        <w:t>Schedule 1</w:t>
      </w:r>
      <w:bookmarkEnd w:id="13"/>
      <w:bookmarkEnd w:id="14"/>
      <w:bookmarkEnd w:id="15"/>
      <w:bookmarkEnd w:id="16"/>
      <w:r>
        <w:t xml:space="preserve"> </w:t>
      </w:r>
    </w:p>
    <w:p>
      <w:pPr>
        <w:pStyle w:val="yHeading2"/>
      </w:pPr>
      <w:bookmarkStart w:id="17" w:name="_Toc378154176"/>
      <w:bookmarkStart w:id="18" w:name="_Toc415666006"/>
      <w:bookmarkStart w:id="19" w:name="_Toc415666155"/>
      <w:bookmarkStart w:id="20" w:name="_Toc415666222"/>
      <w:r>
        <w:rPr>
          <w:rStyle w:val="CharSchText"/>
        </w:rPr>
        <w:t>Forms</w:t>
      </w:r>
      <w:bookmarkEnd w:id="17"/>
      <w:bookmarkEnd w:id="18"/>
      <w:bookmarkEnd w:id="19"/>
      <w:bookmarkEnd w:id="20"/>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37, 49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b/>
                <w:spacing w:val="-3"/>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spacing w:val="-2"/>
                <w:sz w:val="20"/>
              </w:rPr>
              <w:t>CWI Warrant No.:</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in Gazette 31 Jul 2007 p. 3795.]</w:t>
      </w:r>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vMerge w:val="restart"/>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District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Magistrates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Children’s Court</w:t>
            </w:r>
          </w:p>
        </w:tc>
      </w:tr>
      <w:tr>
        <w:trPr>
          <w:cantSplit/>
          <w:trHeight w:val="454"/>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At:</w:t>
            </w:r>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ageBreakBefore/>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2 amended in Gazette 28 Jul 2000 p. 4008; 31 Jul 2007 p. 3795.] </w:t>
      </w:r>
    </w:p>
    <w:p>
      <w:pPr>
        <w:pStyle w:val="yMiscellaneousHeading"/>
        <w:pageBreakBefore/>
        <w:spacing w:after="80"/>
        <w:jc w:val="left"/>
        <w:rPr>
          <w:snapToGrid w:val="0"/>
        </w:rPr>
      </w:pPr>
      <w:r>
        <w:rPr>
          <w:snapToGrid w:val="0"/>
        </w:rPr>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vMerge w:val="restart"/>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val="45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District Court</w:t>
            </w:r>
          </w:p>
        </w:tc>
      </w:tr>
      <w:tr>
        <w:trPr>
          <w:cantSplit/>
          <w:trHeight w:val="48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sz w:val="20"/>
              </w:rPr>
              <w:t>Magistrates Court</w:t>
            </w:r>
          </w:p>
        </w:tc>
      </w:tr>
      <w:tr>
        <w:trPr>
          <w:cantSplit/>
          <w:trHeight w:val="31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Children’s Court</w:t>
            </w:r>
          </w:p>
        </w:tc>
      </w:tr>
      <w:tr>
        <w:trPr>
          <w:cantSplit/>
          <w:trHeight w:val="310"/>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sz w:val="20"/>
              </w:rPr>
              <w:t>At:</w:t>
            </w:r>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in Gazette 28 Jul 2000 p. 4009; 31 Jul 2007 p. 3795</w:t>
      </w:r>
      <w:r>
        <w:noBreakHyphen/>
        <w:t>6.]</w:t>
      </w:r>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in Gazette 31 Jul 2007 p. 3796.]</w:t>
      </w:r>
    </w:p>
    <w:p>
      <w:pPr>
        <w:pStyle w:val="CentredBaseLine"/>
        <w:jc w:val="center"/>
      </w:pPr>
      <w:r>
        <w:rPr>
          <w:noProof/>
        </w:rPr>
        <w:drawing>
          <wp:inline distT="0" distB="0" distL="0" distR="0">
            <wp:extent cx="935355" cy="17653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 w:name="_Toc378154177"/>
      <w:bookmarkStart w:id="22" w:name="_Toc415666007"/>
      <w:bookmarkStart w:id="23" w:name="_Toc415666156"/>
      <w:bookmarkStart w:id="24" w:name="_Toc415666223"/>
      <w:r>
        <w:t>Notes</w:t>
      </w:r>
      <w:bookmarkEnd w:id="21"/>
      <w:bookmarkEnd w:id="22"/>
      <w:bookmarkEnd w:id="23"/>
      <w:bookmarkEnd w:id="24"/>
    </w:p>
    <w:p>
      <w:pPr>
        <w:pStyle w:val="nSubsection"/>
        <w:rPr>
          <w:snapToGrid w:val="0"/>
        </w:rPr>
      </w:pPr>
      <w:r>
        <w:rPr>
          <w:snapToGrid w:val="0"/>
          <w:vertAlign w:val="superscript"/>
        </w:rPr>
        <w:t>1</w:t>
      </w:r>
      <w:r>
        <w:rPr>
          <w:snapToGrid w:val="0"/>
        </w:rPr>
        <w:tab/>
        <w:t xml:space="preserve">This reprint is a compilation as at 4 April 2008 of the </w:t>
      </w:r>
      <w:r>
        <w:rPr>
          <w:i/>
          <w:noProof/>
          <w:snapToGrid w:val="0"/>
        </w:rPr>
        <w:t>Criminal Law (Mentally Impaired Accused)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378154178"/>
      <w:bookmarkStart w:id="26" w:name="_Toc415666224"/>
      <w:r>
        <w:rPr>
          <w:snapToGrid w:val="0"/>
        </w:rPr>
        <w:t>Compilation table</w:t>
      </w:r>
      <w:bookmarkEnd w:id="25"/>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Cs/>
                <w:vertAlign w:val="superscript"/>
              </w:rPr>
            </w:pPr>
            <w:r>
              <w:rPr>
                <w:i/>
              </w:rPr>
              <w:t>Criminal Law (Mentally Impaired Defendants) Regulations 1997 </w:t>
            </w:r>
            <w:r>
              <w:rPr>
                <w:iCs/>
                <w:vertAlign w:val="superscript"/>
              </w:rPr>
              <w:t>4</w:t>
            </w:r>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c>
          <w:tcPr>
            <w:tcW w:w="3118"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rPr>
          <w:cantSplit/>
        </w:trPr>
        <w:tc>
          <w:tcPr>
            <w:tcW w:w="7087"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c>
          <w:tcPr>
            <w:tcW w:w="3118"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3794-</w:t>
            </w:r>
            <w:r>
              <w:softHyphen/>
              <w:t>6</w:t>
            </w:r>
          </w:p>
        </w:tc>
        <w:tc>
          <w:tcPr>
            <w:tcW w:w="2693" w:type="dxa"/>
          </w:tcPr>
          <w:p>
            <w:pPr>
              <w:pStyle w:val="nTable"/>
              <w:spacing w:after="40"/>
            </w:pPr>
            <w:r>
              <w:rPr>
                <w:snapToGrid w:val="0"/>
              </w:rPr>
              <w:t>r. 1 and 2: 31 Jul 2007 (see r. 2(a));</w:t>
            </w:r>
            <w:r>
              <w:rPr>
                <w:snapToGrid w:val="0"/>
              </w:rPr>
              <w:br/>
              <w:t>Regulations other than r. 1 and 2: 1 Aug 2007 (see r. 2(b))</w:t>
            </w:r>
            <w:r>
              <w:t xml:space="preserve"> </w:t>
            </w:r>
          </w:p>
        </w:tc>
      </w:tr>
      <w:tr>
        <w:trPr>
          <w:cantSplit/>
        </w:trPr>
        <w:tc>
          <w:tcPr>
            <w:tcW w:w="7087" w:type="dxa"/>
            <w:gridSpan w:val="3"/>
            <w:tcBorders>
              <w:bottom w:val="single" w:sz="8" w:space="0" w:color="auto"/>
            </w:tcBorders>
          </w:tcPr>
          <w:p>
            <w:pPr>
              <w:pStyle w:val="nTable"/>
              <w:spacing w:after="40"/>
              <w:rPr>
                <w:snapToGrid w:val="0"/>
              </w:rPr>
            </w:pPr>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p>
        </w:tc>
      </w:tr>
    </w:tbl>
    <w:p>
      <w:pPr>
        <w:pStyle w:val="nSubsection"/>
        <w:spacing w:before="160"/>
      </w:pPr>
      <w:r>
        <w:rPr>
          <w:vertAlign w:val="superscript"/>
        </w:rPr>
        <w:t>2</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p>
    <w:p>
      <w:pPr>
        <w:pStyle w:val="nSubsection"/>
      </w:pPr>
      <w:r>
        <w:rPr>
          <w:vertAlign w:val="superscript"/>
        </w:rPr>
        <w:t>3</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w:t>
      </w:r>
    </w:p>
    <w:p>
      <w:pPr>
        <w:pStyle w:val="nSubsection"/>
      </w:pPr>
      <w:r>
        <w:rPr>
          <w:vertAlign w:val="superscript"/>
        </w:rPr>
        <w:t>4</w:t>
      </w:r>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Pr>
        <w:pStyle w:val="nSubsection"/>
      </w:pP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Subsection"/>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DC2088"/>
    <w:lvl w:ilvl="0">
      <w:start w:val="1"/>
      <w:numFmt w:val="decimal"/>
      <w:lvlText w:val="%1."/>
      <w:lvlJc w:val="left"/>
      <w:pPr>
        <w:tabs>
          <w:tab w:val="num" w:pos="1492"/>
        </w:tabs>
        <w:ind w:left="1492" w:hanging="360"/>
      </w:pPr>
    </w:lvl>
  </w:abstractNum>
  <w:abstractNum w:abstractNumId="1">
    <w:nsid w:val="FFFFFF7D"/>
    <w:multiLevelType w:val="singleLevel"/>
    <w:tmpl w:val="326A6D1A"/>
    <w:lvl w:ilvl="0">
      <w:start w:val="1"/>
      <w:numFmt w:val="decimal"/>
      <w:lvlText w:val="%1."/>
      <w:lvlJc w:val="left"/>
      <w:pPr>
        <w:tabs>
          <w:tab w:val="num" w:pos="1209"/>
        </w:tabs>
        <w:ind w:left="1209" w:hanging="360"/>
      </w:pPr>
    </w:lvl>
  </w:abstractNum>
  <w:abstractNum w:abstractNumId="2">
    <w:nsid w:val="FFFFFF7E"/>
    <w:multiLevelType w:val="singleLevel"/>
    <w:tmpl w:val="42C61230"/>
    <w:lvl w:ilvl="0">
      <w:start w:val="1"/>
      <w:numFmt w:val="decimal"/>
      <w:lvlText w:val="%1."/>
      <w:lvlJc w:val="left"/>
      <w:pPr>
        <w:tabs>
          <w:tab w:val="num" w:pos="926"/>
        </w:tabs>
        <w:ind w:left="926" w:hanging="360"/>
      </w:pPr>
    </w:lvl>
  </w:abstractNum>
  <w:abstractNum w:abstractNumId="3">
    <w:nsid w:val="FFFFFF7F"/>
    <w:multiLevelType w:val="singleLevel"/>
    <w:tmpl w:val="A0184172"/>
    <w:lvl w:ilvl="0">
      <w:start w:val="1"/>
      <w:numFmt w:val="decimal"/>
      <w:lvlText w:val="%1."/>
      <w:lvlJc w:val="left"/>
      <w:pPr>
        <w:tabs>
          <w:tab w:val="num" w:pos="643"/>
        </w:tabs>
        <w:ind w:left="643" w:hanging="360"/>
      </w:pPr>
    </w:lvl>
  </w:abstractNum>
  <w:abstractNum w:abstractNumId="4">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EEF0D4"/>
    <w:lvl w:ilvl="0">
      <w:start w:val="1"/>
      <w:numFmt w:val="decimal"/>
      <w:lvlText w:val="%1."/>
      <w:lvlJc w:val="left"/>
      <w:pPr>
        <w:tabs>
          <w:tab w:val="num" w:pos="360"/>
        </w:tabs>
        <w:ind w:left="360" w:hanging="360"/>
      </w:pPr>
    </w:lvl>
  </w:abstractNum>
  <w:abstractNum w:abstractNumId="9">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844"/>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1758</Words>
  <Characters>8601</Characters>
  <Application>Microsoft Office Word</Application>
  <DocSecurity>0</DocSecurity>
  <Lines>614</Lines>
  <Paragraphs>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10046</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1997 - 02-a0-06</dc:title>
  <dc:subject/>
  <dc:creator/>
  <cp:keywords/>
  <dc:description/>
  <cp:lastModifiedBy>svcMRProcess</cp:lastModifiedBy>
  <cp:revision>4</cp:revision>
  <cp:lastPrinted>2008-03-31T04:41:00Z</cp:lastPrinted>
  <dcterms:created xsi:type="dcterms:W3CDTF">2015-11-03T03:58:00Z</dcterms:created>
  <dcterms:modified xsi:type="dcterms:W3CDTF">2015-11-03T03:58:00Z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4385</vt:i4>
  </property>
  <property fmtid="{D5CDD505-2E9C-101B-9397-08002B2CF9AE}" pid="6" name="AsAtDate">
    <vt:lpwstr>04 Apr 2008</vt:lpwstr>
  </property>
  <property fmtid="{D5CDD505-2E9C-101B-9397-08002B2CF9AE}" pid="7" name="Suffix">
    <vt:lpwstr>02-a0-06</vt:lpwstr>
  </property>
  <property fmtid="{D5CDD505-2E9C-101B-9397-08002B2CF9AE}" pid="8" name="ReprintedAsAt">
    <vt:filetime>2008-04-03T16:00:00Z</vt:filetime>
  </property>
  <property fmtid="{D5CDD505-2E9C-101B-9397-08002B2CF9AE}" pid="9" name="ReprintNo">
    <vt:lpwstr>2</vt:lpwstr>
  </property>
</Properties>
</file>