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_Toc389745278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_Toc389745279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_Toc389745280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_Toc389745281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_Toc389745282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_Toc389745283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_Toc389745284 \h </w:instrText>
      </w:r>
      <w:r>
        <w:fldChar w:fldCharType="separate"/>
      </w:r>
      <w:r>
        <w:t>7</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_Toc389745286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_Toc389745287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_Toc389745288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_Toc389745289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_Toc389745290 \h </w:instrText>
      </w:r>
      <w:r>
        <w:fldChar w:fldCharType="separate"/>
      </w:r>
      <w:r>
        <w:t>11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_Toc389745291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_Toc389745292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_Toc389745293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_Toc389745294 \h </w:instrText>
      </w:r>
      <w:r>
        <w:fldChar w:fldCharType="separate"/>
      </w:r>
      <w:r>
        <w:t>12</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_Toc389745295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_Toc389745296 \h </w:instrText>
      </w:r>
      <w:r>
        <w:fldChar w:fldCharType="separate"/>
      </w:r>
      <w:r>
        <w:t>13</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_Toc389745297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_Toc389745300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_Toc389745301 \h </w:instrText>
      </w:r>
      <w:r>
        <w:fldChar w:fldCharType="separate"/>
      </w:r>
      <w:r>
        <w:t>16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_Toc389745302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_Toc389745303 \h </w:instrText>
      </w:r>
      <w:r>
        <w:fldChar w:fldCharType="separate"/>
      </w:r>
      <w:r>
        <w:t>17</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_Toc389745304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_Toc389745305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_Toc389745307 \h </w:instrText>
      </w:r>
      <w:r>
        <w:fldChar w:fldCharType="separate"/>
      </w:r>
      <w:r>
        <w:t>18</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_Toc389745308 \h </w:instrText>
      </w:r>
      <w:r>
        <w:fldChar w:fldCharType="separate"/>
      </w:r>
      <w:r>
        <w:t>20</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_Toc389745309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_Toc389745310 \h </w:instrText>
      </w:r>
      <w:r>
        <w:fldChar w:fldCharType="separate"/>
      </w:r>
      <w:r>
        <w:t>22</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_Toc389745311 \h </w:instrText>
      </w:r>
      <w:r>
        <w:fldChar w:fldCharType="separate"/>
      </w:r>
      <w:r>
        <w:t>23</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_Toc389745312 \h </w:instrText>
      </w:r>
      <w:r>
        <w:fldChar w:fldCharType="separate"/>
      </w:r>
      <w:r>
        <w:t>23</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_Toc389745313 \h </w:instrText>
      </w:r>
      <w:r>
        <w:fldChar w:fldCharType="separate"/>
      </w:r>
      <w:r>
        <w:t>24</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_Toc389745314 \h </w:instrText>
      </w:r>
      <w:r>
        <w:fldChar w:fldCharType="separate"/>
      </w:r>
      <w:r>
        <w:t>24</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for review of order of </w:t>
      </w:r>
      <w:r>
        <w:t>CEO</w:t>
      </w:r>
      <w:r>
        <w:tab/>
      </w:r>
      <w:r>
        <w:fldChar w:fldCharType="begin"/>
      </w:r>
      <w:r>
        <w:instrText xml:space="preserve"> PAGEREF _Toc389745315 \h </w:instrText>
      </w:r>
      <w:r>
        <w:fldChar w:fldCharType="separate"/>
      </w:r>
      <w:r>
        <w:t>24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_Toc389745316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_Toc389745318 \h </w:instrText>
      </w:r>
      <w:r>
        <w:fldChar w:fldCharType="separate"/>
      </w:r>
      <w:r>
        <w:t>25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_Toc389745319 \h </w:instrText>
      </w:r>
      <w:r>
        <w:fldChar w:fldCharType="separate"/>
      </w:r>
      <w:r>
        <w:t>26</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_Toc389745320 \h </w:instrText>
      </w:r>
      <w:r>
        <w:fldChar w:fldCharType="separate"/>
      </w:r>
      <w:r>
        <w:t>26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_Toc389745321 \h </w:instrText>
      </w:r>
      <w:r>
        <w:fldChar w:fldCharType="separate"/>
      </w:r>
      <w:r>
        <w:t>27</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_Toc389745322 \h </w:instrText>
      </w:r>
      <w:r>
        <w:fldChar w:fldCharType="separate"/>
      </w:r>
      <w:r>
        <w:t>27</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_Toc389745323 \h </w:instrText>
      </w:r>
      <w:r>
        <w:fldChar w:fldCharType="separate"/>
      </w:r>
      <w:r>
        <w:t>27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_Toc389745324 \h </w:instrText>
      </w:r>
      <w:r>
        <w:fldChar w:fldCharType="separate"/>
      </w:r>
      <w:r>
        <w:t>28</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_Toc389745325 \h </w:instrText>
      </w:r>
      <w:r>
        <w:fldChar w:fldCharType="separate"/>
      </w:r>
      <w:r>
        <w:t>28</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_Toc389745327 \h </w:instrText>
      </w:r>
      <w:r>
        <w:fldChar w:fldCharType="separate"/>
      </w:r>
      <w:r>
        <w:t>30</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_Toc389745328 \h </w:instrText>
      </w:r>
      <w:r>
        <w:fldChar w:fldCharType="separate"/>
      </w:r>
      <w:r>
        <w:t>30</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_Toc389745329 \h </w:instrText>
      </w:r>
      <w:r>
        <w:fldChar w:fldCharType="separate"/>
      </w:r>
      <w:r>
        <w:t>31</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_Toc389745330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_Toc389745332 \h </w:instrText>
      </w:r>
      <w:r>
        <w:fldChar w:fldCharType="separate"/>
      </w:r>
      <w:r>
        <w:t>33</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_Toc389745333 \h </w:instrText>
      </w:r>
      <w:r>
        <w:fldChar w:fldCharType="separate"/>
      </w:r>
      <w:r>
        <w:t>33</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_Toc389745334 \h </w:instrText>
      </w:r>
      <w:r>
        <w:fldChar w:fldCharType="separate"/>
      </w:r>
      <w:r>
        <w:t>33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_Toc389745335 \h </w:instrText>
      </w:r>
      <w:r>
        <w:fldChar w:fldCharType="separate"/>
      </w:r>
      <w:r>
        <w:t>34</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_Toc389745336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_Toc389745338 \h </w:instrText>
      </w:r>
      <w:r>
        <w:fldChar w:fldCharType="separate"/>
      </w:r>
      <w:r>
        <w:t>36</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_Toc389745339 \h </w:instrText>
      </w:r>
      <w:r>
        <w:fldChar w:fldCharType="separate"/>
      </w:r>
      <w:r>
        <w:t>36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_Toc389745340 \h </w:instrText>
      </w:r>
      <w:r>
        <w:fldChar w:fldCharType="separate"/>
      </w:r>
      <w:r>
        <w:t>36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_Toc389745341 \h </w:instrText>
      </w:r>
      <w:r>
        <w:fldChar w:fldCharType="separate"/>
      </w:r>
      <w:r>
        <w:t>37</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_Toc389745342 \h </w:instrText>
      </w:r>
      <w:r>
        <w:fldChar w:fldCharType="separate"/>
      </w:r>
      <w:r>
        <w:t>38</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_Toc389745343 \h </w:instrText>
      </w:r>
      <w:r>
        <w:fldChar w:fldCharType="separate"/>
      </w:r>
      <w:r>
        <w:t>39</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_Toc389745344 \h </w:instrText>
      </w:r>
      <w:r>
        <w:fldChar w:fldCharType="separate"/>
      </w:r>
      <w:r>
        <w:t>39</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_Toc389745345 \h </w:instrText>
      </w:r>
      <w:r>
        <w:fldChar w:fldCharType="separate"/>
      </w:r>
      <w:r>
        <w:t>40</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_Toc389745346 \h </w:instrText>
      </w:r>
      <w:r>
        <w:fldChar w:fldCharType="separate"/>
      </w:r>
      <w:r>
        <w:t>40</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_Toc389745347 \h </w:instrText>
      </w:r>
      <w:r>
        <w:fldChar w:fldCharType="separate"/>
      </w:r>
      <w:r>
        <w:t>40</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_Toc389745348 \h </w:instrText>
      </w:r>
      <w:r>
        <w:fldChar w:fldCharType="separate"/>
      </w:r>
      <w:r>
        <w:t>41</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_Toc389745349 \h </w:instrText>
      </w:r>
      <w:r>
        <w:fldChar w:fldCharType="separate"/>
      </w:r>
      <w:r>
        <w:t>41</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_Toc389745350 \h </w:instrText>
      </w:r>
      <w:r>
        <w:fldChar w:fldCharType="separate"/>
      </w:r>
      <w:r>
        <w:t>43</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_Toc389745351 \h </w:instrText>
      </w:r>
      <w:r>
        <w:fldChar w:fldCharType="separate"/>
      </w:r>
      <w:r>
        <w:t>43</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_Toc389745352 \h </w:instrText>
      </w:r>
      <w:r>
        <w:fldChar w:fldCharType="separate"/>
      </w:r>
      <w:r>
        <w:t>44</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_Toc389745353 \h </w:instrText>
      </w:r>
      <w:r>
        <w:fldChar w:fldCharType="separate"/>
      </w:r>
      <w:r>
        <w:t>45</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_Toc389745354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_Toc389745355 \h </w:instrText>
      </w:r>
      <w:r>
        <w:fldChar w:fldCharType="separate"/>
      </w:r>
      <w:r>
        <w:t>46</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_Toc389745356 \h </w:instrText>
      </w:r>
      <w:r>
        <w:fldChar w:fldCharType="separate"/>
      </w:r>
      <w:r>
        <w:t>46</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_Toc389745357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_Toc389745358 \h </w:instrText>
      </w:r>
      <w:r>
        <w:fldChar w:fldCharType="separate"/>
      </w:r>
      <w:r>
        <w:t>47</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_Toc389745359 \h </w:instrText>
      </w:r>
      <w:r>
        <w:fldChar w:fldCharType="separate"/>
      </w:r>
      <w:r>
        <w:t>52</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_Toc389745360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Interpretation</w:t>
      </w:r>
      <w:r>
        <w:tab/>
      </w:r>
      <w:r>
        <w:fldChar w:fldCharType="begin"/>
      </w:r>
      <w:r>
        <w:instrText xml:space="preserve"> PAGEREF _Toc389745362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_Toc389745375 \h </w:instrText>
      </w:r>
      <w:r>
        <w:fldChar w:fldCharType="separate"/>
      </w:r>
      <w:r>
        <w:t>66</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_Toc389745376 \h </w:instrText>
      </w:r>
      <w:r>
        <w:fldChar w:fldCharType="separate"/>
      </w:r>
      <w:r>
        <w:t>69</w:t>
      </w:r>
      <w:r>
        <w:fldChar w:fldCharType="end"/>
      </w:r>
    </w:p>
    <w:p>
      <w:pPr>
        <w:rPr>
          <w:b/>
          <w:sz w:val="28"/>
        </w:rPr>
      </w:pPr>
      <w:r>
        <w:fldChar w:fldCharType="end"/>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277"/>
      <w:r>
        <w:rPr>
          <w:rStyle w:val="CharPartNo"/>
        </w:rPr>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278"/>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279"/>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280"/>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section 3 of the </w:t>
      </w:r>
      <w:r>
        <w:rPr>
          <w:i/>
        </w:rPr>
        <w:t>Nurses and Midwives Act 2006</w:t>
      </w:r>
      <w:r>
        <w:rPr>
          <w:iCs/>
        </w:rP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No. 50 of 2006 s. 114.] </w:t>
      </w:r>
    </w:p>
    <w:p>
      <w:pPr>
        <w:pStyle w:val="Heading5"/>
        <w:spacing w:before="180"/>
        <w:rPr>
          <w:snapToGrid w:val="0"/>
        </w:rPr>
      </w:pPr>
      <w:bookmarkStart w:id="5" w:name="_Toc389745281"/>
      <w:r>
        <w:rPr>
          <w:rStyle w:val="CharSectno"/>
        </w:rPr>
        <w:t>6</w:t>
      </w:r>
      <w:r>
        <w:rPr>
          <w:snapToGrid w:val="0"/>
        </w:rPr>
        <w:t>.</w:t>
      </w:r>
      <w:r>
        <w:rPr>
          <w:snapToGrid w:val="0"/>
        </w:rPr>
        <w:tab/>
        <w:t>Construction</w:t>
      </w:r>
      <w:bookmarkEnd w:id="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282"/>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283"/>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 w:name="_Toc389745284"/>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285"/>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286"/>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11" w:name="_Toc389745287"/>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288"/>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289"/>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290"/>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 w:name="_Toc389745291"/>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292"/>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293"/>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294"/>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295"/>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296"/>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297"/>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2" w:name="_Toc389745298"/>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299"/>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300"/>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5" w:name="_Toc389745301"/>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302"/>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303"/>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304"/>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305"/>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306"/>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307"/>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2" w:name="_Toc389745308"/>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3" w:name="_Toc389745309"/>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4" w:name="_Toc389745310"/>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35" w:name="_Toc389745311"/>
      <w:r>
        <w:rPr>
          <w:rStyle w:val="CharSectno"/>
        </w:rPr>
        <w:t>26A</w:t>
      </w:r>
      <w:r>
        <w:rPr>
          <w:snapToGrid w:val="0"/>
        </w:rPr>
        <w:t>.</w:t>
      </w:r>
      <w:r>
        <w:rPr>
          <w:snapToGrid w:val="0"/>
        </w:rPr>
        <w:tab/>
        <w:t>Conditions</w:t>
      </w:r>
      <w:bookmarkEnd w:id="3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36" w:name="_Toc389745312"/>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37" w:name="_Toc389745313"/>
      <w:r>
        <w:rPr>
          <w:rStyle w:val="CharSectno"/>
        </w:rPr>
        <w:t>27</w:t>
      </w:r>
      <w:r>
        <w:rPr>
          <w:snapToGrid w:val="0"/>
        </w:rPr>
        <w:t>.</w:t>
      </w:r>
      <w:r>
        <w:rPr>
          <w:snapToGrid w:val="0"/>
        </w:rPr>
        <w:tab/>
        <w:t>Fees for licences, permits and renewals</w:t>
      </w:r>
      <w:bookmarkEnd w:id="3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38" w:name="_Toc389745314"/>
      <w:r>
        <w:rPr>
          <w:rStyle w:val="CharSectno"/>
        </w:rPr>
        <w:t>28</w:t>
      </w:r>
      <w:r>
        <w:rPr>
          <w:snapToGrid w:val="0"/>
        </w:rPr>
        <w:t>.</w:t>
      </w:r>
      <w:r>
        <w:rPr>
          <w:snapToGrid w:val="0"/>
        </w:rPr>
        <w:tab/>
      </w:r>
      <w:r>
        <w:t xml:space="preserve">CEO </w:t>
      </w:r>
      <w:r>
        <w:rPr>
          <w:snapToGrid w:val="0"/>
        </w:rPr>
        <w:t>may cancel, suspend or revoke licence or permit</w:t>
      </w:r>
      <w:bookmarkEnd w:id="3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39" w:name="_Toc389745315"/>
      <w:r>
        <w:rPr>
          <w:rStyle w:val="CharSectno"/>
        </w:rPr>
        <w:t>29</w:t>
      </w:r>
      <w:r>
        <w:rPr>
          <w:snapToGrid w:val="0"/>
        </w:rPr>
        <w:t>.</w:t>
      </w:r>
      <w:r>
        <w:rPr>
          <w:snapToGrid w:val="0"/>
        </w:rPr>
        <w:tab/>
        <w:t xml:space="preserve">Application for review of order of </w:t>
      </w:r>
      <w:r>
        <w:t>CEO</w:t>
      </w:r>
      <w:bookmarkEnd w:id="3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0" w:name="_Toc389745316"/>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317"/>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318"/>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3" w:name="_Toc389745319"/>
      <w:r>
        <w:rPr>
          <w:rStyle w:val="CharSectno"/>
        </w:rPr>
        <w:t>32</w:t>
      </w:r>
      <w:r>
        <w:rPr>
          <w:snapToGrid w:val="0"/>
        </w:rPr>
        <w:t>.</w:t>
      </w:r>
      <w:r>
        <w:rPr>
          <w:snapToGrid w:val="0"/>
        </w:rPr>
        <w:tab/>
        <w:t>Unauthorised sales of poisons</w:t>
      </w:r>
      <w:bookmarkEnd w:id="43"/>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44" w:name="_Toc389745320"/>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45" w:name="_Toc389745321"/>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322"/>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7" w:name="_Toc389745323"/>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324"/>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325"/>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0" w:name="_Toc389745326"/>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spacing w:before="240"/>
        <w:rPr>
          <w:snapToGrid w:val="0"/>
        </w:rPr>
      </w:pPr>
      <w:bookmarkStart w:id="51" w:name="_Toc389745327"/>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2" w:name="_Toc389745328"/>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329"/>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54" w:name="_Toc389745330"/>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331"/>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240"/>
        <w:rPr>
          <w:snapToGrid w:val="0"/>
        </w:rPr>
      </w:pPr>
      <w:bookmarkStart w:id="56" w:name="_Toc389745332"/>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57" w:name="_Toc389745333"/>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58" w:name="_Toc389745334"/>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59" w:name="_Toc389745335"/>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336"/>
      <w:r>
        <w:rPr>
          <w:rStyle w:val="CharSectno"/>
        </w:rPr>
        <w:t>50</w:t>
      </w:r>
      <w:r>
        <w:rPr>
          <w:snapToGrid w:val="0"/>
        </w:rPr>
        <w:t>.</w:t>
      </w:r>
      <w:r>
        <w:rPr>
          <w:snapToGrid w:val="0"/>
        </w:rPr>
        <w:tab/>
        <w:t>Leaving poisons unlabelled an offence</w:t>
      </w:r>
      <w:bookmarkEnd w:id="6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1" w:name="_Toc389745337"/>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spacing w:before="180"/>
        <w:rPr>
          <w:snapToGrid w:val="0"/>
        </w:rPr>
      </w:pPr>
      <w:bookmarkStart w:id="62" w:name="_Toc389745338"/>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 w:name="_Toc389745339"/>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64" w:name="_Toc389745340"/>
      <w:r>
        <w:rPr>
          <w:rStyle w:val="CharSectno"/>
        </w:rPr>
        <w:t>53</w:t>
      </w:r>
      <w:r>
        <w:rPr>
          <w:snapToGrid w:val="0"/>
        </w:rPr>
        <w:t>.</w:t>
      </w:r>
      <w:r>
        <w:rPr>
          <w:snapToGrid w:val="0"/>
        </w:rPr>
        <w:tab/>
        <w:t>Apprehension of offenders</w:t>
      </w:r>
      <w:bookmarkEnd w:id="64"/>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65" w:name="_Toc389745341"/>
      <w:r>
        <w:rPr>
          <w:rStyle w:val="CharSectno"/>
        </w:rPr>
        <w:t>54</w:t>
      </w:r>
      <w:r>
        <w:rPr>
          <w:snapToGrid w:val="0"/>
        </w:rPr>
        <w:t>.</w:t>
      </w:r>
      <w:r>
        <w:rPr>
          <w:snapToGrid w:val="0"/>
        </w:rPr>
        <w:tab/>
        <w:t>Routine inspection</w:t>
      </w:r>
      <w:bookmarkEnd w:id="65"/>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342"/>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343"/>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344"/>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345"/>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346"/>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347"/>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72" w:name="_Toc389745348"/>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349"/>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350"/>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351"/>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76" w:name="_Toc389745352"/>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353"/>
      <w:r>
        <w:rPr>
          <w:rStyle w:val="CharSectno"/>
        </w:rPr>
        <w:t>61</w:t>
      </w:r>
      <w:r>
        <w:rPr>
          <w:snapToGrid w:val="0"/>
        </w:rPr>
        <w:t>.</w:t>
      </w:r>
      <w:r>
        <w:rPr>
          <w:snapToGrid w:val="0"/>
        </w:rPr>
        <w:tab/>
        <w:t>Evidence of qualifications</w:t>
      </w:r>
      <w:bookmarkEnd w:id="7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No. 50 of 2006 s. 114.] </w:t>
      </w:r>
    </w:p>
    <w:p>
      <w:pPr>
        <w:pStyle w:val="Heading5"/>
        <w:rPr>
          <w:snapToGrid w:val="0"/>
        </w:rPr>
      </w:pPr>
      <w:bookmarkStart w:id="78" w:name="_Toc389745354"/>
      <w:r>
        <w:rPr>
          <w:rStyle w:val="CharSectno"/>
        </w:rPr>
        <w:t>61A</w:t>
      </w:r>
      <w:r>
        <w:rPr>
          <w:snapToGrid w:val="0"/>
        </w:rPr>
        <w:t>.</w:t>
      </w:r>
      <w:r>
        <w:rPr>
          <w:snapToGrid w:val="0"/>
        </w:rPr>
        <w:tab/>
        <w:t>Evidence of approval</w:t>
      </w:r>
      <w:bookmarkEnd w:id="7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79" w:name="_Toc389745355"/>
      <w:r>
        <w:rPr>
          <w:rStyle w:val="CharSectno"/>
        </w:rPr>
        <w:t>61B</w:t>
      </w:r>
      <w:r>
        <w:rPr>
          <w:snapToGrid w:val="0"/>
        </w:rPr>
        <w:t>.</w:t>
      </w:r>
      <w:r>
        <w:rPr>
          <w:snapToGrid w:val="0"/>
        </w:rPr>
        <w:tab/>
        <w:t>Evidence of contents of standard</w:t>
      </w:r>
      <w:bookmarkEnd w:id="7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0" w:name="_Toc389745356"/>
      <w:r>
        <w:rPr>
          <w:rStyle w:val="CharSectno"/>
        </w:rPr>
        <w:t>62</w:t>
      </w:r>
      <w:r>
        <w:rPr>
          <w:snapToGrid w:val="0"/>
        </w:rPr>
        <w:t>.</w:t>
      </w:r>
      <w:r>
        <w:rPr>
          <w:snapToGrid w:val="0"/>
        </w:rPr>
        <w:tab/>
        <w:t>General penalty</w:t>
      </w:r>
      <w:bookmarkEnd w:id="8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1" w:name="_Toc389745357"/>
      <w:r>
        <w:rPr>
          <w:rStyle w:val="CharSectno"/>
        </w:rPr>
        <w:t>63</w:t>
      </w:r>
      <w:r>
        <w:rPr>
          <w:snapToGrid w:val="0"/>
        </w:rPr>
        <w:t>.</w:t>
      </w:r>
      <w:r>
        <w:rPr>
          <w:snapToGrid w:val="0"/>
        </w:rPr>
        <w:tab/>
        <w:t>Protection from liability</w:t>
      </w:r>
      <w:bookmarkEnd w:id="8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82" w:name="_Toc389745358"/>
      <w:r>
        <w:rPr>
          <w:rStyle w:val="CharSectno"/>
        </w:rPr>
        <w:t>64</w:t>
      </w:r>
      <w:r>
        <w:rPr>
          <w:snapToGrid w:val="0"/>
        </w:rPr>
        <w:t>.</w:t>
      </w:r>
      <w:r>
        <w:rPr>
          <w:snapToGrid w:val="0"/>
        </w:rPr>
        <w:tab/>
        <w:t>Regulations</w:t>
      </w:r>
      <w:bookmarkEnd w:id="8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83" w:name="_Toc389745359"/>
      <w:r>
        <w:rPr>
          <w:rStyle w:val="CharSectno"/>
        </w:rPr>
        <w:t>64A</w:t>
      </w:r>
      <w:r>
        <w:rPr>
          <w:snapToGrid w:val="0"/>
        </w:rPr>
        <w:t>.</w:t>
      </w:r>
      <w:r>
        <w:rPr>
          <w:snapToGrid w:val="0"/>
        </w:rPr>
        <w:tab/>
        <w:t>Regulations may adopt standards</w:t>
      </w:r>
      <w:bookmarkEnd w:id="8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84" w:name="_Toc389745360"/>
      <w:r>
        <w:rPr>
          <w:rStyle w:val="CharSectno"/>
        </w:rPr>
        <w:t>64B</w:t>
      </w:r>
      <w:r>
        <w:rPr>
          <w:snapToGrid w:val="0"/>
        </w:rPr>
        <w:t>.</w:t>
      </w:r>
      <w:r>
        <w:rPr>
          <w:snapToGrid w:val="0"/>
        </w:rPr>
        <w:tab/>
        <w:t>Copies of standards to be kept and made available to public</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85" w:name="_Toc389745361"/>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389745362"/>
      <w:r>
        <w:rPr>
          <w:rStyle w:val="CharSClsNo"/>
        </w:rPr>
        <w:t>1</w:t>
      </w:r>
      <w:r>
        <w:rPr>
          <w:snapToGrid w:val="0"/>
        </w:rPr>
        <w:t>.</w:t>
      </w:r>
      <w:r>
        <w:rPr>
          <w:snapToGrid w:val="0"/>
        </w:rPr>
        <w:tab/>
        <w:t>Interpretation</w:t>
      </w:r>
      <w:bookmarkEnd w:id="8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87" w:name="_Toc389745363"/>
      <w:r>
        <w:t>Schedule 1</w:t>
      </w:r>
      <w:bookmarkEnd w:id="8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88" w:name="_Toc389745364"/>
      <w:r>
        <w:t>Schedule 2</w:t>
      </w:r>
      <w:bookmarkEnd w:id="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89" w:name="_Toc389745365"/>
      <w:r>
        <w:t>Schedule 3</w:t>
      </w:r>
      <w:bookmarkEnd w:id="8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yScheduleHeading"/>
      </w:pPr>
      <w:bookmarkStart w:id="90" w:name="_Toc389745366"/>
      <w:r>
        <w:t>Schedule 4</w:t>
      </w:r>
      <w:bookmarkEnd w:id="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91" w:name="_Toc389745367"/>
      <w:r>
        <w:t>Schedule 5</w:t>
      </w:r>
      <w:bookmarkEnd w:id="9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92" w:name="_Toc389745368"/>
      <w:r>
        <w:t>Schedule 6</w:t>
      </w:r>
      <w:bookmarkEnd w:id="9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93" w:name="_Toc389745369"/>
      <w:r>
        <w:t>Schedule 7</w:t>
      </w:r>
      <w:bookmarkEnd w:id="9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94" w:name="_Toc389745370"/>
      <w:r>
        <w:t>Schedule 8</w:t>
      </w:r>
      <w:bookmarkEnd w:id="9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5" w:name="_Toc389745371"/>
      <w:r>
        <w:t>Schedule 9</w:t>
      </w:r>
      <w:bookmarkEnd w:id="9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6" w:name="_Toc389745372"/>
      <w:r>
        <w:rPr>
          <w:rStyle w:val="CharSchNo"/>
        </w:rPr>
        <w:t>Appendix B</w:t>
      </w:r>
      <w:bookmarkEnd w:id="9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97" w:name="_Toc389745373"/>
      <w:r>
        <w:t>Conventions</w:t>
      </w:r>
      <w:bookmarkEnd w:id="97"/>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pPr>
      <w:bookmarkStart w:id="98" w:name="_Toc389745374"/>
      <w:r>
        <w:t>Notes</w:t>
      </w:r>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99" w:name="_Toc389745375"/>
      <w:r>
        <w:rPr>
          <w:snapToGrid w:val="0"/>
        </w:rPr>
        <w:t>Compilation table</w:t>
      </w:r>
      <w:bookmarkEnd w:id="99"/>
    </w:p>
    <w:tbl>
      <w:tblPr>
        <w:tblW w:w="7099" w:type="dxa"/>
        <w:tblInd w:w="28" w:type="dxa"/>
        <w:tblLayout w:type="fixed"/>
        <w:tblCellMar>
          <w:left w:w="56" w:type="dxa"/>
          <w:right w:w="56" w:type="dxa"/>
        </w:tblCellMar>
        <w:tblLook w:val="0000" w:firstRow="0" w:lastRow="0" w:firstColumn="0" w:lastColumn="0" w:noHBand="0" w:noVBand="0"/>
      </w:tblPr>
      <w:tblGrid>
        <w:gridCol w:w="8"/>
        <w:gridCol w:w="2252"/>
        <w:gridCol w:w="16"/>
        <w:gridCol w:w="1117"/>
        <w:gridCol w:w="17"/>
        <w:gridCol w:w="1117"/>
        <w:gridCol w:w="20"/>
        <w:gridCol w:w="2552"/>
      </w:tblGrid>
      <w:tr>
        <w:trPr>
          <w:cantSplit/>
          <w:tblHeader/>
        </w:trPr>
        <w:tc>
          <w:tcPr>
            <w:tcW w:w="2260"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3"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70"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0" w:type="dxa"/>
            <w:gridSpan w:val="2"/>
            <w:tcBorders>
              <w:top w:val="single" w:sz="8" w:space="0" w:color="auto"/>
            </w:tcBorders>
          </w:tcPr>
          <w:p>
            <w:pPr>
              <w:pStyle w:val="nTable"/>
              <w:spacing w:after="40"/>
              <w:rPr>
                <w:sz w:val="19"/>
              </w:rPr>
            </w:pPr>
            <w:r>
              <w:rPr>
                <w:i/>
                <w:sz w:val="19"/>
              </w:rPr>
              <w:t>Poisons Act 1964</w:t>
            </w:r>
          </w:p>
        </w:tc>
        <w:tc>
          <w:tcPr>
            <w:tcW w:w="1133" w:type="dxa"/>
            <w:gridSpan w:val="2"/>
            <w:tcBorders>
              <w:top w:val="single" w:sz="8" w:space="0" w:color="auto"/>
            </w:tcBorders>
          </w:tcPr>
          <w:p>
            <w:pPr>
              <w:pStyle w:val="nTable"/>
              <w:spacing w:after="40"/>
              <w:rPr>
                <w:sz w:val="19"/>
              </w:rPr>
            </w:pPr>
            <w:r>
              <w:rPr>
                <w:sz w:val="19"/>
              </w:rPr>
              <w:t>70 of 1964 (13 Eliz. II No. 70)</w:t>
            </w:r>
          </w:p>
        </w:tc>
        <w:tc>
          <w:tcPr>
            <w:tcW w:w="1134" w:type="dxa"/>
            <w:gridSpan w:val="2"/>
            <w:tcBorders>
              <w:top w:val="single" w:sz="8" w:space="0" w:color="auto"/>
            </w:tcBorders>
          </w:tcPr>
          <w:p>
            <w:pPr>
              <w:pStyle w:val="nTable"/>
              <w:spacing w:after="40"/>
              <w:rPr>
                <w:sz w:val="19"/>
              </w:rPr>
            </w:pPr>
            <w:r>
              <w:rPr>
                <w:sz w:val="19"/>
              </w:rPr>
              <w:t>11 Dec 1964</w:t>
            </w:r>
          </w:p>
        </w:tc>
        <w:tc>
          <w:tcPr>
            <w:tcW w:w="2570"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0" w:type="dxa"/>
            <w:gridSpan w:val="2"/>
          </w:tcPr>
          <w:p>
            <w:pPr>
              <w:pStyle w:val="nTable"/>
              <w:spacing w:after="40"/>
              <w:rPr>
                <w:sz w:val="19"/>
              </w:rPr>
            </w:pPr>
            <w:r>
              <w:rPr>
                <w:i/>
                <w:sz w:val="19"/>
              </w:rPr>
              <w:t>Poisons Act Amendment Act 1966</w:t>
            </w:r>
          </w:p>
        </w:tc>
        <w:tc>
          <w:tcPr>
            <w:tcW w:w="1133"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70" w:type="dxa"/>
            <w:gridSpan w:val="2"/>
          </w:tcPr>
          <w:p>
            <w:pPr>
              <w:pStyle w:val="nTable"/>
              <w:spacing w:after="40"/>
              <w:rPr>
                <w:sz w:val="19"/>
              </w:rPr>
            </w:pPr>
            <w:r>
              <w:rPr>
                <w:sz w:val="19"/>
              </w:rPr>
              <w:t>27 Oct 1966</w:t>
            </w:r>
          </w:p>
        </w:tc>
      </w:tr>
      <w:tr>
        <w:trPr>
          <w:cantSplit/>
        </w:trPr>
        <w:tc>
          <w:tcPr>
            <w:tcW w:w="2260" w:type="dxa"/>
            <w:gridSpan w:val="2"/>
          </w:tcPr>
          <w:p>
            <w:pPr>
              <w:pStyle w:val="nTable"/>
              <w:spacing w:after="40"/>
              <w:rPr>
                <w:sz w:val="19"/>
              </w:rPr>
            </w:pPr>
            <w:r>
              <w:rPr>
                <w:i/>
                <w:sz w:val="19"/>
              </w:rPr>
              <w:t>Poisons Act Amendment Act 1967</w:t>
            </w:r>
          </w:p>
        </w:tc>
        <w:tc>
          <w:tcPr>
            <w:tcW w:w="1133"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70" w:type="dxa"/>
            <w:gridSpan w:val="2"/>
          </w:tcPr>
          <w:p>
            <w:pPr>
              <w:pStyle w:val="nTable"/>
              <w:spacing w:after="40"/>
              <w:rPr>
                <w:sz w:val="19"/>
              </w:rPr>
            </w:pPr>
            <w:r>
              <w:rPr>
                <w:sz w:val="19"/>
              </w:rPr>
              <w:t>17 Nov 1967</w:t>
            </w:r>
          </w:p>
        </w:tc>
      </w:tr>
      <w:tr>
        <w:trPr>
          <w:cantSplit/>
        </w:trPr>
        <w:tc>
          <w:tcPr>
            <w:tcW w:w="2260" w:type="dxa"/>
            <w:gridSpan w:val="2"/>
          </w:tcPr>
          <w:p>
            <w:pPr>
              <w:pStyle w:val="nTable"/>
              <w:spacing w:after="40"/>
              <w:rPr>
                <w:sz w:val="19"/>
              </w:rPr>
            </w:pPr>
            <w:r>
              <w:rPr>
                <w:i/>
                <w:sz w:val="19"/>
              </w:rPr>
              <w:t>Poisons Act Amendment Act (No. 2) 1967</w:t>
            </w:r>
          </w:p>
        </w:tc>
        <w:tc>
          <w:tcPr>
            <w:tcW w:w="1133"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70" w:type="dxa"/>
            <w:gridSpan w:val="2"/>
          </w:tcPr>
          <w:p>
            <w:pPr>
              <w:pStyle w:val="nTable"/>
              <w:spacing w:after="40"/>
              <w:rPr>
                <w:sz w:val="19"/>
              </w:rPr>
            </w:pPr>
            <w:r>
              <w:rPr>
                <w:sz w:val="19"/>
              </w:rPr>
              <w:t>5 Dec 1967</w:t>
            </w:r>
          </w:p>
        </w:tc>
      </w:tr>
      <w:tr>
        <w:trPr>
          <w:cantSplit/>
        </w:trPr>
        <w:tc>
          <w:tcPr>
            <w:tcW w:w="2260" w:type="dxa"/>
            <w:gridSpan w:val="2"/>
          </w:tcPr>
          <w:p>
            <w:pPr>
              <w:pStyle w:val="nTable"/>
              <w:spacing w:after="40"/>
              <w:rPr>
                <w:sz w:val="19"/>
              </w:rPr>
            </w:pPr>
            <w:r>
              <w:rPr>
                <w:i/>
                <w:sz w:val="19"/>
              </w:rPr>
              <w:t>Poisons Act Amendment Act 1969</w:t>
            </w:r>
          </w:p>
        </w:tc>
        <w:tc>
          <w:tcPr>
            <w:tcW w:w="1133"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70"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0" w:type="dxa"/>
            <w:gridSpan w:val="2"/>
          </w:tcPr>
          <w:p>
            <w:pPr>
              <w:pStyle w:val="nTable"/>
              <w:spacing w:after="40"/>
              <w:rPr>
                <w:sz w:val="19"/>
              </w:rPr>
            </w:pPr>
            <w:r>
              <w:rPr>
                <w:i/>
                <w:sz w:val="19"/>
              </w:rPr>
              <w:t>Poisons Act Amendment Act 1970</w:t>
            </w:r>
          </w:p>
        </w:tc>
        <w:tc>
          <w:tcPr>
            <w:tcW w:w="1133"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70"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97" w:type="dxa"/>
            <w:gridSpan w:val="8"/>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0" w:type="dxa"/>
            <w:gridSpan w:val="2"/>
          </w:tcPr>
          <w:p>
            <w:pPr>
              <w:pStyle w:val="nTable"/>
              <w:spacing w:after="40"/>
              <w:rPr>
                <w:sz w:val="19"/>
              </w:rPr>
            </w:pPr>
            <w:r>
              <w:rPr>
                <w:i/>
                <w:sz w:val="19"/>
              </w:rPr>
              <w:t>Poisons Act Amendment Act 1978</w:t>
            </w:r>
          </w:p>
        </w:tc>
        <w:tc>
          <w:tcPr>
            <w:tcW w:w="1133"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70"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0" w:type="dxa"/>
            <w:gridSpan w:val="2"/>
          </w:tcPr>
          <w:p>
            <w:pPr>
              <w:pStyle w:val="nTable"/>
              <w:spacing w:after="40"/>
              <w:rPr>
                <w:sz w:val="19"/>
              </w:rPr>
            </w:pPr>
            <w:r>
              <w:rPr>
                <w:i/>
                <w:sz w:val="19"/>
              </w:rPr>
              <w:t>Acts Amendment (Misuse of Drugs) Act 1981</w:t>
            </w:r>
            <w:r>
              <w:rPr>
                <w:sz w:val="19"/>
              </w:rPr>
              <w:t xml:space="preserve"> Pt. IV</w:t>
            </w:r>
          </w:p>
        </w:tc>
        <w:tc>
          <w:tcPr>
            <w:tcW w:w="1133"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0" w:type="dxa"/>
            <w:gridSpan w:val="2"/>
          </w:tcPr>
          <w:p>
            <w:pPr>
              <w:pStyle w:val="nTable"/>
              <w:spacing w:after="40"/>
              <w:rPr>
                <w:sz w:val="19"/>
              </w:rPr>
            </w:pPr>
            <w:r>
              <w:rPr>
                <w:i/>
                <w:sz w:val="19"/>
              </w:rPr>
              <w:t>Acts Amendment (Statutory Designations) and Validation Act 1981</w:t>
            </w:r>
            <w:r>
              <w:rPr>
                <w:sz w:val="19"/>
              </w:rPr>
              <w:t xml:space="preserve"> s. 4</w:t>
            </w:r>
          </w:p>
        </w:tc>
        <w:tc>
          <w:tcPr>
            <w:tcW w:w="1133"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13 Oct 1981</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0" w:type="dxa"/>
            <w:gridSpan w:val="2"/>
          </w:tcPr>
          <w:p>
            <w:pPr>
              <w:pStyle w:val="nTable"/>
              <w:spacing w:after="40"/>
              <w:rPr>
                <w:sz w:val="19"/>
              </w:rPr>
            </w:pPr>
            <w:r>
              <w:rPr>
                <w:i/>
                <w:sz w:val="19"/>
              </w:rPr>
              <w:t>Health Legislation Amendment Act 1984</w:t>
            </w:r>
            <w:r>
              <w:rPr>
                <w:sz w:val="19"/>
              </w:rPr>
              <w:t xml:space="preserve"> Pt. XX</w:t>
            </w:r>
          </w:p>
        </w:tc>
        <w:tc>
          <w:tcPr>
            <w:tcW w:w="1133"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70"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0" w:type="dxa"/>
            <w:gridSpan w:val="2"/>
          </w:tcPr>
          <w:p>
            <w:pPr>
              <w:pStyle w:val="nTable"/>
              <w:keepNext/>
              <w:spacing w:after="40"/>
              <w:rPr>
                <w:sz w:val="19"/>
              </w:rPr>
            </w:pPr>
            <w:r>
              <w:rPr>
                <w:i/>
                <w:sz w:val="19"/>
              </w:rPr>
              <w:t>Poisons Amendment Act 1994</w:t>
            </w:r>
          </w:p>
        </w:tc>
        <w:tc>
          <w:tcPr>
            <w:tcW w:w="1133" w:type="dxa"/>
            <w:gridSpan w:val="2"/>
          </w:tcPr>
          <w:p>
            <w:pPr>
              <w:pStyle w:val="nTable"/>
              <w:keepNext/>
              <w:spacing w:after="40"/>
              <w:rPr>
                <w:sz w:val="19"/>
              </w:rPr>
            </w:pPr>
            <w:r>
              <w:rPr>
                <w:sz w:val="19"/>
              </w:rPr>
              <w:t>12 of 1994</w:t>
            </w:r>
          </w:p>
        </w:tc>
        <w:tc>
          <w:tcPr>
            <w:tcW w:w="1134" w:type="dxa"/>
            <w:gridSpan w:val="2"/>
          </w:tcPr>
          <w:p>
            <w:pPr>
              <w:pStyle w:val="nTable"/>
              <w:keepNext/>
              <w:spacing w:after="40"/>
              <w:rPr>
                <w:sz w:val="19"/>
              </w:rPr>
            </w:pPr>
            <w:r>
              <w:rPr>
                <w:sz w:val="19"/>
              </w:rPr>
              <w:t>15 Apr 1994</w:t>
            </w:r>
          </w:p>
        </w:tc>
        <w:tc>
          <w:tcPr>
            <w:tcW w:w="2570" w:type="dxa"/>
            <w:gridSpan w:val="2"/>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60" w:type="dxa"/>
            <w:gridSpan w:val="2"/>
          </w:tcPr>
          <w:p>
            <w:pPr>
              <w:pStyle w:val="nTable"/>
              <w:spacing w:after="40"/>
              <w:rPr>
                <w:sz w:val="19"/>
              </w:rPr>
            </w:pPr>
            <w:r>
              <w:rPr>
                <w:i/>
                <w:sz w:val="19"/>
              </w:rPr>
              <w:t>Acts Amendment (Public Sector Management) Act 1994</w:t>
            </w:r>
            <w:r>
              <w:rPr>
                <w:sz w:val="19"/>
              </w:rPr>
              <w:t xml:space="preserve"> s. 3(2)</w:t>
            </w:r>
          </w:p>
        </w:tc>
        <w:tc>
          <w:tcPr>
            <w:tcW w:w="1133" w:type="dxa"/>
            <w:gridSpan w:val="2"/>
          </w:tcPr>
          <w:p>
            <w:pPr>
              <w:pStyle w:val="nTable"/>
              <w:spacing w:after="40"/>
              <w:rPr>
                <w:sz w:val="19"/>
              </w:rPr>
            </w:pPr>
            <w:r>
              <w:rPr>
                <w:sz w:val="19"/>
              </w:rPr>
              <w:t>32 of 1994</w:t>
            </w:r>
          </w:p>
        </w:tc>
        <w:tc>
          <w:tcPr>
            <w:tcW w:w="1134" w:type="dxa"/>
            <w:gridSpan w:val="2"/>
          </w:tcPr>
          <w:p>
            <w:pPr>
              <w:pStyle w:val="nTable"/>
              <w:spacing w:after="40"/>
              <w:rPr>
                <w:sz w:val="19"/>
              </w:rPr>
            </w:pPr>
            <w:r>
              <w:rPr>
                <w:sz w:val="19"/>
              </w:rPr>
              <w:t>29 Jun 1994</w:t>
            </w:r>
          </w:p>
        </w:tc>
        <w:tc>
          <w:tcPr>
            <w:tcW w:w="2570" w:type="dxa"/>
            <w:gridSpan w:val="2"/>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0" w:type="dxa"/>
            <w:gridSpan w:val="2"/>
          </w:tcPr>
          <w:p>
            <w:pPr>
              <w:pStyle w:val="nTable"/>
              <w:spacing w:after="40"/>
              <w:rPr>
                <w:sz w:val="19"/>
              </w:rPr>
            </w:pPr>
            <w:r>
              <w:rPr>
                <w:i/>
                <w:sz w:val="19"/>
              </w:rPr>
              <w:t>Poisons Amendment Act 1995</w:t>
            </w:r>
          </w:p>
        </w:tc>
        <w:tc>
          <w:tcPr>
            <w:tcW w:w="1133" w:type="dxa"/>
            <w:gridSpan w:val="2"/>
          </w:tcPr>
          <w:p>
            <w:pPr>
              <w:pStyle w:val="nTable"/>
              <w:spacing w:after="40"/>
              <w:rPr>
                <w:sz w:val="19"/>
              </w:rPr>
            </w:pPr>
            <w:r>
              <w:rPr>
                <w:sz w:val="19"/>
              </w:rPr>
              <w:t>48 of 1995</w:t>
            </w:r>
          </w:p>
        </w:tc>
        <w:tc>
          <w:tcPr>
            <w:tcW w:w="1134" w:type="dxa"/>
            <w:gridSpan w:val="2"/>
          </w:tcPr>
          <w:p>
            <w:pPr>
              <w:pStyle w:val="nTable"/>
              <w:spacing w:after="40"/>
              <w:rPr>
                <w:sz w:val="19"/>
              </w:rPr>
            </w:pPr>
            <w:r>
              <w:rPr>
                <w:sz w:val="19"/>
              </w:rPr>
              <w:t>6 Nov 1995</w:t>
            </w:r>
          </w:p>
        </w:tc>
        <w:tc>
          <w:tcPr>
            <w:tcW w:w="2570" w:type="dxa"/>
            <w:gridSpan w:val="2"/>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27" w:type="dxa"/>
            <w:gridSpan w:val="6"/>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70" w:type="dxa"/>
            <w:gridSpan w:val="2"/>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0" w:type="dxa"/>
            <w:gridSpan w:val="2"/>
          </w:tcPr>
          <w:p>
            <w:pPr>
              <w:pStyle w:val="nTable"/>
              <w:spacing w:after="40"/>
              <w:rPr>
                <w:sz w:val="19"/>
              </w:rPr>
            </w:pPr>
            <w:r>
              <w:rPr>
                <w:i/>
                <w:sz w:val="19"/>
              </w:rPr>
              <w:t>Local Government (Consequential Amendments) Act 1996</w:t>
            </w:r>
            <w:r>
              <w:rPr>
                <w:sz w:val="19"/>
              </w:rPr>
              <w:t xml:space="preserve"> s. 4</w:t>
            </w:r>
          </w:p>
        </w:tc>
        <w:tc>
          <w:tcPr>
            <w:tcW w:w="1133" w:type="dxa"/>
            <w:gridSpan w:val="2"/>
          </w:tcPr>
          <w:p>
            <w:pPr>
              <w:pStyle w:val="nTable"/>
              <w:keepNext/>
              <w:spacing w:after="40"/>
              <w:rPr>
                <w:sz w:val="19"/>
              </w:rPr>
            </w:pPr>
            <w:r>
              <w:rPr>
                <w:sz w:val="19"/>
              </w:rPr>
              <w:t>14 of 1996</w:t>
            </w:r>
          </w:p>
        </w:tc>
        <w:tc>
          <w:tcPr>
            <w:tcW w:w="1134" w:type="dxa"/>
            <w:gridSpan w:val="2"/>
          </w:tcPr>
          <w:p>
            <w:pPr>
              <w:pStyle w:val="nTable"/>
              <w:spacing w:after="40"/>
              <w:rPr>
                <w:sz w:val="19"/>
              </w:rPr>
            </w:pPr>
            <w:r>
              <w:rPr>
                <w:sz w:val="19"/>
              </w:rPr>
              <w:t>28 Jun 1996</w:t>
            </w:r>
          </w:p>
        </w:tc>
        <w:tc>
          <w:tcPr>
            <w:tcW w:w="2570" w:type="dxa"/>
            <w:gridSpan w:val="2"/>
          </w:tcPr>
          <w:p>
            <w:pPr>
              <w:pStyle w:val="nTable"/>
              <w:spacing w:after="40"/>
              <w:rPr>
                <w:sz w:val="19"/>
              </w:rPr>
            </w:pPr>
            <w:r>
              <w:rPr>
                <w:sz w:val="19"/>
              </w:rPr>
              <w:t>1 Jul 1996 (see s. 2)</w:t>
            </w:r>
          </w:p>
        </w:tc>
      </w:tr>
      <w:tr>
        <w:trPr>
          <w:cantSplit/>
        </w:trPr>
        <w:tc>
          <w:tcPr>
            <w:tcW w:w="4527" w:type="dxa"/>
            <w:gridSpan w:val="6"/>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70" w:type="dxa"/>
            <w:gridSpan w:val="2"/>
          </w:tcPr>
          <w:p>
            <w:pPr>
              <w:pStyle w:val="nTable"/>
              <w:spacing w:after="40"/>
              <w:rPr>
                <w:sz w:val="19"/>
              </w:rPr>
            </w:pPr>
            <w:r>
              <w:rPr>
                <w:sz w:val="19"/>
              </w:rPr>
              <w:t>24 Sep 1996 (see cl. 2)</w:t>
            </w:r>
          </w:p>
        </w:tc>
      </w:tr>
      <w:tr>
        <w:trPr>
          <w:cantSplit/>
        </w:trPr>
        <w:tc>
          <w:tcPr>
            <w:tcW w:w="4527" w:type="dxa"/>
            <w:gridSpan w:val="6"/>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70" w:type="dxa"/>
            <w:gridSpan w:val="2"/>
          </w:tcPr>
          <w:p>
            <w:pPr>
              <w:pStyle w:val="nTable"/>
              <w:spacing w:after="40"/>
              <w:rPr>
                <w:sz w:val="19"/>
              </w:rPr>
            </w:pPr>
            <w:r>
              <w:rPr>
                <w:sz w:val="19"/>
              </w:rPr>
              <w:t>10 Feb 1998 (see cl. 2)</w:t>
            </w:r>
          </w:p>
        </w:tc>
      </w:tr>
      <w:tr>
        <w:trPr>
          <w:cantSplit/>
        </w:trPr>
        <w:tc>
          <w:tcPr>
            <w:tcW w:w="2260" w:type="dxa"/>
            <w:gridSpan w:val="2"/>
          </w:tcPr>
          <w:p>
            <w:pPr>
              <w:pStyle w:val="nTable"/>
              <w:spacing w:after="40"/>
              <w:rPr>
                <w:sz w:val="19"/>
              </w:rPr>
            </w:pPr>
            <w:r>
              <w:rPr>
                <w:i/>
                <w:sz w:val="19"/>
              </w:rPr>
              <w:t>Statutes (Repeals and Minor Amendments) Act (No. 2) 1998</w:t>
            </w:r>
            <w:r>
              <w:rPr>
                <w:sz w:val="19"/>
              </w:rPr>
              <w:t xml:space="preserve"> s. 76</w:t>
            </w:r>
          </w:p>
        </w:tc>
        <w:tc>
          <w:tcPr>
            <w:tcW w:w="1133" w:type="dxa"/>
            <w:gridSpan w:val="2"/>
          </w:tcPr>
          <w:p>
            <w:pPr>
              <w:pStyle w:val="nTable"/>
              <w:keepNext/>
              <w:spacing w:after="40"/>
              <w:rPr>
                <w:sz w:val="19"/>
              </w:rPr>
            </w:pPr>
            <w:r>
              <w:rPr>
                <w:sz w:val="19"/>
              </w:rPr>
              <w:t>10 of 1998</w:t>
            </w:r>
          </w:p>
        </w:tc>
        <w:tc>
          <w:tcPr>
            <w:tcW w:w="1134" w:type="dxa"/>
            <w:gridSpan w:val="2"/>
          </w:tcPr>
          <w:p>
            <w:pPr>
              <w:pStyle w:val="nTable"/>
              <w:spacing w:after="40"/>
              <w:rPr>
                <w:sz w:val="19"/>
              </w:rPr>
            </w:pPr>
            <w:r>
              <w:rPr>
                <w:sz w:val="19"/>
              </w:rPr>
              <w:t>30 Apr 1998</w:t>
            </w:r>
          </w:p>
        </w:tc>
        <w:tc>
          <w:tcPr>
            <w:tcW w:w="2570" w:type="dxa"/>
            <w:gridSpan w:val="2"/>
          </w:tcPr>
          <w:p>
            <w:pPr>
              <w:pStyle w:val="nTable"/>
              <w:spacing w:after="40"/>
              <w:rPr>
                <w:sz w:val="19"/>
              </w:rPr>
            </w:pPr>
            <w:r>
              <w:rPr>
                <w:sz w:val="19"/>
              </w:rPr>
              <w:t>30 Apr 1998 (see s. 2(1))</w:t>
            </w:r>
          </w:p>
        </w:tc>
      </w:tr>
      <w:tr>
        <w:trPr>
          <w:cantSplit/>
        </w:trPr>
        <w:tc>
          <w:tcPr>
            <w:tcW w:w="4527" w:type="dxa"/>
            <w:gridSpan w:val="6"/>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70" w:type="dxa"/>
            <w:gridSpan w:val="2"/>
          </w:tcPr>
          <w:p>
            <w:pPr>
              <w:pStyle w:val="nTable"/>
              <w:spacing w:after="40"/>
              <w:rPr>
                <w:sz w:val="19"/>
              </w:rPr>
            </w:pPr>
            <w:r>
              <w:rPr>
                <w:sz w:val="19"/>
              </w:rPr>
              <w:t>22 Sep 1998 (see cl. 2)</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0" w:type="dxa"/>
            <w:gridSpan w:val="2"/>
          </w:tcPr>
          <w:p>
            <w:pPr>
              <w:pStyle w:val="nTable"/>
              <w:spacing w:after="40"/>
              <w:rPr>
                <w:sz w:val="19"/>
              </w:rPr>
            </w:pPr>
            <w:r>
              <w:rPr>
                <w:i/>
                <w:sz w:val="19"/>
              </w:rPr>
              <w:t>Acts Amendment and Repeal (Financial Sector Reform) Act 1999</w:t>
            </w:r>
            <w:r>
              <w:rPr>
                <w:sz w:val="19"/>
              </w:rPr>
              <w:t xml:space="preserve"> s. 96</w:t>
            </w:r>
          </w:p>
        </w:tc>
        <w:tc>
          <w:tcPr>
            <w:tcW w:w="1133" w:type="dxa"/>
            <w:gridSpan w:val="2"/>
          </w:tcPr>
          <w:p>
            <w:pPr>
              <w:pStyle w:val="nTable"/>
              <w:keepNext/>
              <w:spacing w:after="40"/>
              <w:rPr>
                <w:sz w:val="19"/>
              </w:rPr>
            </w:pPr>
            <w:r>
              <w:rPr>
                <w:sz w:val="19"/>
              </w:rPr>
              <w:t>26 of 1999</w:t>
            </w:r>
          </w:p>
        </w:tc>
        <w:tc>
          <w:tcPr>
            <w:tcW w:w="1134" w:type="dxa"/>
            <w:gridSpan w:val="2"/>
          </w:tcPr>
          <w:p>
            <w:pPr>
              <w:pStyle w:val="nTable"/>
              <w:spacing w:after="40"/>
              <w:rPr>
                <w:sz w:val="19"/>
              </w:rPr>
            </w:pPr>
            <w:r>
              <w:rPr>
                <w:sz w:val="19"/>
              </w:rPr>
              <w:t>29 Jun 1999</w:t>
            </w:r>
          </w:p>
        </w:tc>
        <w:tc>
          <w:tcPr>
            <w:tcW w:w="2570" w:type="dxa"/>
            <w:gridSpan w:val="2"/>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27" w:type="dxa"/>
            <w:gridSpan w:val="6"/>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70" w:type="dxa"/>
            <w:gridSpan w:val="2"/>
          </w:tcPr>
          <w:p>
            <w:pPr>
              <w:pStyle w:val="nTable"/>
              <w:spacing w:after="40"/>
              <w:rPr>
                <w:sz w:val="19"/>
              </w:rPr>
            </w:pPr>
            <w:r>
              <w:rPr>
                <w:sz w:val="19"/>
              </w:rPr>
              <w:t>8 Oct 1999</w:t>
            </w:r>
          </w:p>
        </w:tc>
      </w:tr>
      <w:tr>
        <w:trPr>
          <w:cantSplit/>
        </w:trPr>
        <w:tc>
          <w:tcPr>
            <w:tcW w:w="4527" w:type="dxa"/>
            <w:gridSpan w:val="6"/>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70" w:type="dxa"/>
            <w:gridSpan w:val="2"/>
          </w:tcPr>
          <w:p>
            <w:pPr>
              <w:pStyle w:val="nTable"/>
              <w:spacing w:after="40"/>
              <w:rPr>
                <w:sz w:val="19"/>
              </w:rPr>
            </w:pPr>
            <w:r>
              <w:rPr>
                <w:sz w:val="19"/>
              </w:rPr>
              <w:t>14 Sep 2001</w:t>
            </w:r>
          </w:p>
        </w:tc>
      </w:tr>
      <w:tr>
        <w:trPr>
          <w:cantSplit/>
        </w:trPr>
        <w:tc>
          <w:tcPr>
            <w:tcW w:w="4527" w:type="dxa"/>
            <w:gridSpan w:val="6"/>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70" w:type="dxa"/>
            <w:gridSpan w:val="2"/>
          </w:tcPr>
          <w:p>
            <w:pPr>
              <w:pStyle w:val="nTable"/>
              <w:spacing w:after="40"/>
              <w:rPr>
                <w:sz w:val="19"/>
              </w:rPr>
            </w:pPr>
            <w:r>
              <w:rPr>
                <w:sz w:val="19"/>
              </w:rPr>
              <w:t>8 Nov 2002 (see cl. 2)</w:t>
            </w:r>
          </w:p>
        </w:tc>
      </w:tr>
      <w:tr>
        <w:trPr>
          <w:cantSplit/>
        </w:trPr>
        <w:tc>
          <w:tcPr>
            <w:tcW w:w="2260" w:type="dxa"/>
            <w:gridSpan w:val="2"/>
          </w:tcPr>
          <w:p>
            <w:pPr>
              <w:pStyle w:val="nTable"/>
              <w:spacing w:after="40"/>
              <w:rPr>
                <w:i/>
                <w:sz w:val="19"/>
              </w:rPr>
            </w:pPr>
            <w:r>
              <w:rPr>
                <w:i/>
                <w:sz w:val="19"/>
              </w:rPr>
              <w:t>Nurses Amendment Act 2003</w:t>
            </w:r>
            <w:r>
              <w:rPr>
                <w:sz w:val="19"/>
              </w:rPr>
              <w:t xml:space="preserve"> Pt. 3 Div. 4</w:t>
            </w:r>
          </w:p>
        </w:tc>
        <w:tc>
          <w:tcPr>
            <w:tcW w:w="1133" w:type="dxa"/>
            <w:gridSpan w:val="2"/>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70" w:type="dxa"/>
            <w:gridSpan w:val="2"/>
          </w:tcPr>
          <w:p>
            <w:pPr>
              <w:pStyle w:val="nTable"/>
              <w:spacing w:after="40"/>
              <w:rPr>
                <w:sz w:val="19"/>
              </w:rPr>
            </w:pPr>
            <w:r>
              <w:rPr>
                <w:sz w:val="19"/>
              </w:rPr>
              <w:t>9 Apr 2003 (see s. 2)</w:t>
            </w:r>
          </w:p>
        </w:tc>
      </w:tr>
      <w:tr>
        <w:trPr>
          <w:cantSplit/>
        </w:trPr>
        <w:tc>
          <w:tcPr>
            <w:tcW w:w="2260" w:type="dxa"/>
            <w:gridSpan w:val="2"/>
          </w:tcPr>
          <w:p>
            <w:pPr>
              <w:pStyle w:val="nTable"/>
              <w:spacing w:after="40"/>
              <w:rPr>
                <w:i/>
                <w:sz w:val="19"/>
              </w:rPr>
            </w:pPr>
            <w:r>
              <w:rPr>
                <w:i/>
                <w:sz w:val="19"/>
              </w:rPr>
              <w:t xml:space="preserve">Sentencing Legislation Amendment and Repeal Act 2003 </w:t>
            </w:r>
            <w:r>
              <w:rPr>
                <w:sz w:val="19"/>
              </w:rPr>
              <w:t>s. 84</w:t>
            </w:r>
          </w:p>
        </w:tc>
        <w:tc>
          <w:tcPr>
            <w:tcW w:w="1133" w:type="dxa"/>
            <w:gridSpan w:val="2"/>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70" w:type="dxa"/>
            <w:gridSpan w:val="2"/>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27" w:type="dxa"/>
            <w:gridSpan w:val="6"/>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70" w:type="dxa"/>
            <w:gridSpan w:val="2"/>
          </w:tcPr>
          <w:p>
            <w:pPr>
              <w:pStyle w:val="nTable"/>
              <w:spacing w:after="40"/>
              <w:rPr>
                <w:sz w:val="19"/>
              </w:rPr>
            </w:pPr>
            <w:r>
              <w:rPr>
                <w:sz w:val="19"/>
              </w:rPr>
              <w:t>10 Oct 2003 (see cl. 2)</w:t>
            </w:r>
          </w:p>
        </w:tc>
      </w:tr>
      <w:tr>
        <w:trPr>
          <w:cantSplit/>
        </w:trPr>
        <w:tc>
          <w:tcPr>
            <w:tcW w:w="4527" w:type="dxa"/>
            <w:gridSpan w:val="6"/>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70" w:type="dxa"/>
            <w:gridSpan w:val="2"/>
          </w:tcPr>
          <w:p>
            <w:pPr>
              <w:pStyle w:val="nTable"/>
              <w:spacing w:after="40"/>
              <w:rPr>
                <w:sz w:val="19"/>
              </w:rPr>
            </w:pPr>
            <w:r>
              <w:rPr>
                <w:sz w:val="19"/>
              </w:rPr>
              <w:t>1 Jan 2004 (see cl. 2)</w:t>
            </w:r>
          </w:p>
        </w:tc>
      </w:tr>
      <w:tr>
        <w:trPr>
          <w:gridBefore w:val="1"/>
          <w:wBefore w:w="8" w:type="dxa"/>
          <w:cantSplit/>
        </w:trPr>
        <w:tc>
          <w:tcPr>
            <w:tcW w:w="2268" w:type="dxa"/>
            <w:gridSpan w:val="2"/>
          </w:tcPr>
          <w:p>
            <w:pPr>
              <w:pStyle w:val="nTable"/>
              <w:spacing w:after="40"/>
              <w:rPr>
                <w:sz w:val="19"/>
              </w:rPr>
            </w:pPr>
            <w:r>
              <w:rPr>
                <w:i/>
                <w:sz w:val="19"/>
              </w:rPr>
              <w:t>Industrial Hemp Act 2004</w:t>
            </w:r>
            <w:r>
              <w:rPr>
                <w:sz w:val="19"/>
              </w:rPr>
              <w:t xml:space="preserve"> Pt. 8</w:t>
            </w:r>
          </w:p>
        </w:tc>
        <w:tc>
          <w:tcPr>
            <w:tcW w:w="1134" w:type="dxa"/>
            <w:gridSpan w:val="2"/>
          </w:tcPr>
          <w:p>
            <w:pPr>
              <w:pStyle w:val="nTable"/>
              <w:keepNext/>
              <w:spacing w:after="40"/>
              <w:rPr>
                <w:sz w:val="19"/>
              </w:rPr>
            </w:pPr>
            <w:r>
              <w:rPr>
                <w:sz w:val="19"/>
              </w:rPr>
              <w:t>1 of 2004</w:t>
            </w:r>
          </w:p>
        </w:tc>
        <w:tc>
          <w:tcPr>
            <w:tcW w:w="1137" w:type="dxa"/>
            <w:gridSpan w:val="2"/>
          </w:tcPr>
          <w:p>
            <w:pPr>
              <w:pStyle w:val="nTable"/>
              <w:spacing w:after="40"/>
              <w:rPr>
                <w:sz w:val="19"/>
              </w:rPr>
            </w:pPr>
            <w:r>
              <w:rPr>
                <w:sz w:val="19"/>
              </w:rPr>
              <w:t>12 Mar 2004</w:t>
            </w:r>
          </w:p>
        </w:tc>
        <w:tc>
          <w:tcPr>
            <w:tcW w:w="2552"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wBefore w:w="8" w:type="dxa"/>
          <w:cantSplit/>
        </w:trPr>
        <w:tc>
          <w:tcPr>
            <w:tcW w:w="7091" w:type="dxa"/>
            <w:gridSpan w:val="7"/>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 </w:t>
            </w:r>
            <w:r>
              <w:rPr>
                <w:snapToGrid w:val="0"/>
                <w:sz w:val="19"/>
                <w:vertAlign w:val="superscript"/>
              </w:rPr>
              <w:t>6</w:t>
            </w:r>
          </w:p>
        </w:tc>
        <w:tc>
          <w:tcPr>
            <w:tcW w:w="1134" w:type="dxa"/>
            <w:gridSpan w:val="2"/>
            <w:tcBorders>
              <w:top w:val="nil"/>
              <w:bottom w:val="nil"/>
            </w:tcBorders>
          </w:tcPr>
          <w:p>
            <w:pPr>
              <w:pStyle w:val="nTable"/>
              <w:spacing w:after="40"/>
              <w:rPr>
                <w:snapToGrid w:val="0"/>
                <w:sz w:val="19"/>
              </w:rPr>
            </w:pPr>
            <w:r>
              <w:rPr>
                <w:snapToGrid w:val="0"/>
                <w:sz w:val="19"/>
              </w:rPr>
              <w:t>59 of 2004 (as amended by No. 2 of 2008 s. 77(13))</w:t>
            </w:r>
          </w:p>
        </w:tc>
        <w:tc>
          <w:tcPr>
            <w:tcW w:w="1137" w:type="dxa"/>
            <w:gridSpan w:val="2"/>
            <w:tcBorders>
              <w:top w:val="nil"/>
              <w:bottom w:val="nil"/>
            </w:tcBorders>
          </w:tcPr>
          <w:p>
            <w:pPr>
              <w:pStyle w:val="nTable"/>
              <w:spacing w:after="40"/>
              <w:rPr>
                <w:sz w:val="19"/>
              </w:rPr>
            </w:pPr>
            <w:r>
              <w:rPr>
                <w:sz w:val="19"/>
              </w:rPr>
              <w:t>23 Nov 2004</w:t>
            </w:r>
          </w:p>
        </w:tc>
        <w:tc>
          <w:tcPr>
            <w:tcW w:w="2552" w:type="dxa"/>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2"/>
            <w:tcBorders>
              <w:top w:val="nil"/>
              <w:bottom w:val="nil"/>
            </w:tcBorders>
          </w:tcPr>
          <w:p>
            <w:pPr>
              <w:pStyle w:val="nTable"/>
              <w:spacing w:after="40"/>
              <w:rPr>
                <w:sz w:val="19"/>
              </w:rPr>
            </w:pPr>
            <w:r>
              <w:rPr>
                <w:sz w:val="19"/>
              </w:rPr>
              <w:t>55 of 2004</w:t>
            </w:r>
          </w:p>
        </w:tc>
        <w:tc>
          <w:tcPr>
            <w:tcW w:w="1137" w:type="dxa"/>
            <w:gridSpan w:val="2"/>
            <w:tcBorders>
              <w:top w:val="nil"/>
              <w:bottom w:val="nil"/>
            </w:tcBorders>
          </w:tcPr>
          <w:p>
            <w:pPr>
              <w:pStyle w:val="nTable"/>
              <w:spacing w:after="40"/>
              <w:rPr>
                <w:sz w:val="19"/>
              </w:rPr>
            </w:pPr>
            <w:r>
              <w:rPr>
                <w:sz w:val="19"/>
              </w:rPr>
              <w:t>24 Nov 2004</w:t>
            </w:r>
          </w:p>
        </w:tc>
        <w:tc>
          <w:tcPr>
            <w:tcW w:w="2552"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2"/>
            <w:tcBorders>
              <w:top w:val="nil"/>
              <w:bottom w:val="nil"/>
            </w:tcBorders>
          </w:tcPr>
          <w:p>
            <w:pPr>
              <w:pStyle w:val="nTable"/>
              <w:spacing w:after="40"/>
              <w:rPr>
                <w:sz w:val="19"/>
              </w:rPr>
            </w:pPr>
            <w:r>
              <w:rPr>
                <w:snapToGrid w:val="0"/>
                <w:sz w:val="19"/>
              </w:rPr>
              <w:t>84 of 2004</w:t>
            </w:r>
          </w:p>
        </w:tc>
        <w:tc>
          <w:tcPr>
            <w:tcW w:w="1137" w:type="dxa"/>
            <w:gridSpan w:val="2"/>
            <w:tcBorders>
              <w:top w:val="nil"/>
              <w:bottom w:val="nil"/>
            </w:tcBorders>
          </w:tcPr>
          <w:p>
            <w:pPr>
              <w:pStyle w:val="nTable"/>
              <w:spacing w:after="40"/>
              <w:rPr>
                <w:sz w:val="19"/>
              </w:rPr>
            </w:pPr>
            <w:r>
              <w:rPr>
                <w:sz w:val="19"/>
              </w:rPr>
              <w:t>16 Dec 2004</w:t>
            </w:r>
          </w:p>
        </w:tc>
        <w:tc>
          <w:tcPr>
            <w:tcW w:w="2552"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2"/>
          </w:tcPr>
          <w:p>
            <w:pPr>
              <w:pStyle w:val="nTable"/>
              <w:spacing w:after="40"/>
              <w:rPr>
                <w:snapToGrid w:val="0"/>
                <w:sz w:val="19"/>
              </w:rPr>
            </w:pPr>
            <w:r>
              <w:rPr>
                <w:snapToGrid w:val="0"/>
                <w:sz w:val="19"/>
              </w:rPr>
              <w:t>28 of 2006</w:t>
            </w:r>
          </w:p>
        </w:tc>
        <w:tc>
          <w:tcPr>
            <w:tcW w:w="1137" w:type="dxa"/>
            <w:gridSpan w:val="2"/>
          </w:tcPr>
          <w:p>
            <w:pPr>
              <w:pStyle w:val="nTable"/>
              <w:spacing w:after="40"/>
              <w:rPr>
                <w:sz w:val="19"/>
              </w:rPr>
            </w:pPr>
            <w:r>
              <w:rPr>
                <w:sz w:val="19"/>
              </w:rPr>
              <w:t>26 Jun 2006</w:t>
            </w:r>
          </w:p>
        </w:tc>
        <w:tc>
          <w:tcPr>
            <w:tcW w:w="2552"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8" w:type="dxa"/>
          <w:cantSplit/>
        </w:trPr>
        <w:tc>
          <w:tcPr>
            <w:tcW w:w="7091" w:type="dxa"/>
            <w:gridSpan w:val="7"/>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2"/>
          </w:tcPr>
          <w:p>
            <w:pPr>
              <w:pStyle w:val="nTable"/>
              <w:spacing w:after="40"/>
              <w:rPr>
                <w:snapToGrid w:val="0"/>
                <w:sz w:val="19"/>
              </w:rPr>
            </w:pPr>
            <w:r>
              <w:rPr>
                <w:snapToGrid w:val="0"/>
                <w:sz w:val="19"/>
              </w:rPr>
              <w:t>59 of 2006</w:t>
            </w:r>
          </w:p>
        </w:tc>
        <w:tc>
          <w:tcPr>
            <w:tcW w:w="1137" w:type="dxa"/>
            <w:gridSpan w:val="2"/>
          </w:tcPr>
          <w:p>
            <w:pPr>
              <w:pStyle w:val="nTable"/>
              <w:spacing w:after="40"/>
              <w:rPr>
                <w:sz w:val="19"/>
              </w:rPr>
            </w:pPr>
            <w:r>
              <w:rPr>
                <w:sz w:val="19"/>
              </w:rPr>
              <w:t>16 Nov 2006</w:t>
            </w:r>
          </w:p>
        </w:tc>
        <w:tc>
          <w:tcPr>
            <w:tcW w:w="2552"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wBefore w:w="8" w:type="dxa"/>
          <w:cantSplit/>
        </w:trPr>
        <w:tc>
          <w:tcPr>
            <w:tcW w:w="2268" w:type="dxa"/>
            <w:gridSpan w:val="2"/>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2"/>
          </w:tcPr>
          <w:p>
            <w:pPr>
              <w:pStyle w:val="nTable"/>
              <w:spacing w:after="40"/>
              <w:rPr>
                <w:snapToGrid w:val="0"/>
                <w:sz w:val="19"/>
              </w:rPr>
            </w:pPr>
            <w:r>
              <w:rPr>
                <w:snapToGrid w:val="0"/>
                <w:sz w:val="19"/>
              </w:rPr>
              <w:t>10 of 2007</w:t>
            </w:r>
          </w:p>
        </w:tc>
        <w:tc>
          <w:tcPr>
            <w:tcW w:w="1137" w:type="dxa"/>
            <w:gridSpan w:val="2"/>
          </w:tcPr>
          <w:p>
            <w:pPr>
              <w:pStyle w:val="nTable"/>
              <w:spacing w:after="40"/>
              <w:rPr>
                <w:sz w:val="19"/>
              </w:rPr>
            </w:pPr>
            <w:r>
              <w:rPr>
                <w:sz w:val="19"/>
              </w:rPr>
              <w:t>29 Jun 2007</w:t>
            </w:r>
          </w:p>
        </w:tc>
        <w:tc>
          <w:tcPr>
            <w:tcW w:w="2552" w:type="dxa"/>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Before w:val="1"/>
          <w:wBefore w:w="8" w:type="dxa"/>
          <w:cantSplit/>
        </w:trPr>
        <w:tc>
          <w:tcPr>
            <w:tcW w:w="2268" w:type="dxa"/>
            <w:gridSpan w:val="2"/>
            <w:tcBorders>
              <w:bottom w:val="single" w:sz="8" w:space="0" w:color="auto"/>
            </w:tcBorders>
          </w:tcPr>
          <w:p>
            <w:pPr>
              <w:pStyle w:val="nTable"/>
              <w:spacing w:after="40"/>
              <w:ind w:left="-28"/>
              <w:rPr>
                <w:i/>
                <w:snapToGrid w:val="0"/>
                <w:sz w:val="19"/>
              </w:rPr>
            </w:pPr>
            <w:r>
              <w:rPr>
                <w:i/>
                <w:snapToGrid w:val="0"/>
                <w:sz w:val="19"/>
              </w:rPr>
              <w:t>Nurses and Midwives Act 2006</w:t>
            </w:r>
            <w:r>
              <w:rPr>
                <w:snapToGrid w:val="0"/>
                <w:sz w:val="19"/>
              </w:rPr>
              <w:t xml:space="preserve"> s. 114</w:t>
            </w:r>
          </w:p>
        </w:tc>
        <w:tc>
          <w:tcPr>
            <w:tcW w:w="1134" w:type="dxa"/>
            <w:gridSpan w:val="2"/>
            <w:tcBorders>
              <w:bottom w:val="single" w:sz="8" w:space="0" w:color="auto"/>
            </w:tcBorders>
          </w:tcPr>
          <w:p>
            <w:pPr>
              <w:pStyle w:val="nTable"/>
              <w:spacing w:after="40"/>
              <w:rPr>
                <w:snapToGrid w:val="0"/>
                <w:sz w:val="19"/>
              </w:rPr>
            </w:pPr>
            <w:r>
              <w:rPr>
                <w:snapToGrid w:val="0"/>
                <w:sz w:val="19"/>
              </w:rPr>
              <w:t>50 of 2006</w:t>
            </w:r>
          </w:p>
        </w:tc>
        <w:tc>
          <w:tcPr>
            <w:tcW w:w="1137" w:type="dxa"/>
            <w:gridSpan w:val="2"/>
            <w:tcBorders>
              <w:bottom w:val="single" w:sz="8" w:space="0" w:color="auto"/>
            </w:tcBorders>
          </w:tcPr>
          <w:p>
            <w:pPr>
              <w:pStyle w:val="nTable"/>
              <w:spacing w:after="40"/>
              <w:rPr>
                <w:sz w:val="19"/>
              </w:rPr>
            </w:pPr>
            <w:r>
              <w:rPr>
                <w:sz w:val="19"/>
              </w:rPr>
              <w:t>6 Oct 2006</w:t>
            </w:r>
          </w:p>
        </w:tc>
        <w:tc>
          <w:tcPr>
            <w:tcW w:w="2552" w:type="dxa"/>
            <w:tcBorders>
              <w:bottom w:val="single" w:sz="8" w:space="0" w:color="auto"/>
            </w:tcBorders>
          </w:tcPr>
          <w:p>
            <w:pPr>
              <w:pStyle w:val="nTable"/>
              <w:spacing w:after="40"/>
              <w:rPr>
                <w:snapToGrid w:val="0"/>
                <w:sz w:val="19"/>
              </w:rPr>
            </w:pPr>
            <w:r>
              <w:rPr>
                <w:snapToGrid w:val="0"/>
                <w:sz w:val="19"/>
              </w:rPr>
              <w:t xml:space="preserve">19 Sep 2007 (see s. 2 and </w:t>
            </w:r>
            <w:r>
              <w:rPr>
                <w:i/>
                <w:iCs/>
                <w:snapToGrid w:val="0"/>
                <w:sz w:val="19"/>
              </w:rPr>
              <w:t>Gazette</w:t>
            </w:r>
            <w:r>
              <w:rPr>
                <w:snapToGrid w:val="0"/>
                <w:sz w:val="19"/>
              </w:rPr>
              <w:t xml:space="preserve"> 18 Sep 2007 p. 4711)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0" w:name="_Toc389745376"/>
      <w:r>
        <w:rPr>
          <w:snapToGrid w:val="0"/>
        </w:rPr>
        <w:t>Provisions that have not come into operation</w:t>
      </w:r>
      <w:bookmarkEnd w:id="100"/>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23"/>
        <w:gridCol w:w="1112"/>
        <w:gridCol w:w="1225"/>
        <w:gridCol w:w="2520"/>
      </w:tblGrid>
      <w:tr>
        <w:tc>
          <w:tcPr>
            <w:tcW w:w="2223" w:type="dxa"/>
            <w:tcBorders>
              <w:top w:val="single" w:sz="8" w:space="0" w:color="auto"/>
              <w:bottom w:val="single" w:sz="4" w:space="0" w:color="auto"/>
            </w:tcBorders>
          </w:tcPr>
          <w:p>
            <w:pPr>
              <w:pStyle w:val="nTable"/>
              <w:spacing w:after="40"/>
              <w:rPr>
                <w:b/>
                <w:snapToGrid w:val="0"/>
                <w:sz w:val="19"/>
              </w:rPr>
            </w:pPr>
            <w:r>
              <w:rPr>
                <w:b/>
                <w:snapToGrid w:val="0"/>
                <w:sz w:val="19"/>
              </w:rPr>
              <w:t>Short title</w:t>
            </w:r>
          </w:p>
        </w:tc>
        <w:tc>
          <w:tcPr>
            <w:tcW w:w="1112" w:type="dxa"/>
            <w:tcBorders>
              <w:top w:val="single" w:sz="8" w:space="0" w:color="auto"/>
              <w:bottom w:val="single" w:sz="4" w:space="0" w:color="auto"/>
            </w:tcBorders>
          </w:tcPr>
          <w:p>
            <w:pPr>
              <w:pStyle w:val="nTable"/>
              <w:spacing w:after="40"/>
              <w:rPr>
                <w:b/>
                <w:snapToGrid w:val="0"/>
                <w:sz w:val="19"/>
              </w:rPr>
            </w:pPr>
            <w:r>
              <w:rPr>
                <w:b/>
                <w:snapToGrid w:val="0"/>
                <w:sz w:val="19"/>
              </w:rPr>
              <w:t>Number and year</w:t>
            </w:r>
          </w:p>
        </w:tc>
        <w:tc>
          <w:tcPr>
            <w:tcW w:w="1225" w:type="dxa"/>
            <w:tcBorders>
              <w:top w:val="single" w:sz="8" w:space="0" w:color="auto"/>
              <w:bottom w:val="single" w:sz="4" w:space="0" w:color="auto"/>
            </w:tcBorders>
          </w:tcPr>
          <w:p>
            <w:pPr>
              <w:pStyle w:val="nTable"/>
              <w:spacing w:after="40"/>
              <w:rPr>
                <w:b/>
                <w:snapToGrid w:val="0"/>
                <w:sz w:val="19"/>
              </w:rPr>
            </w:pPr>
            <w:r>
              <w:rPr>
                <w:b/>
                <w:snapToGrid w:val="0"/>
                <w:sz w:val="19"/>
              </w:rPr>
              <w:t>Assent</w:t>
            </w:r>
          </w:p>
        </w:tc>
        <w:tc>
          <w:tcPr>
            <w:tcW w:w="2520" w:type="dxa"/>
            <w:tcBorders>
              <w:top w:val="single" w:sz="8" w:space="0" w:color="auto"/>
              <w:bottom w:val="single" w:sz="4" w:space="0" w:color="auto"/>
            </w:tcBorders>
          </w:tcPr>
          <w:p>
            <w:pPr>
              <w:pStyle w:val="nTable"/>
              <w:spacing w:after="40"/>
              <w:rPr>
                <w:b/>
                <w:snapToGrid w:val="0"/>
                <w:sz w:val="19"/>
              </w:rPr>
            </w:pPr>
            <w:r>
              <w:rPr>
                <w:b/>
                <w:snapToGrid w:val="0"/>
                <w:sz w:val="19"/>
              </w:rPr>
              <w:t>Commencement</w:t>
            </w:r>
          </w:p>
        </w:tc>
      </w:tr>
      <w:tr>
        <w:tblPrEx>
          <w:tblBorders>
            <w:top w:val="none" w:sz="0" w:space="0" w:color="auto"/>
            <w:bottom w:val="none" w:sz="0" w:space="0" w:color="auto"/>
            <w:insideH w:val="none" w:sz="0" w:space="0" w:color="auto"/>
          </w:tblBorders>
        </w:tblPrEx>
        <w:tc>
          <w:tcPr>
            <w:tcW w:w="2223" w:type="dxa"/>
            <w:tcBorders>
              <w:top w:val="single" w:sz="4" w:space="0" w:color="auto"/>
              <w:bottom w:val="single" w:sz="4" w:space="0" w:color="auto"/>
            </w:tcBorders>
          </w:tcPr>
          <w:p>
            <w:pPr>
              <w:pStyle w:val="nTable"/>
              <w:spacing w:before="100"/>
              <w:rPr>
                <w:i/>
                <w:iCs/>
                <w:snapToGrid w:val="0"/>
                <w:sz w:val="19"/>
                <w:vertAlign w:val="superscript"/>
              </w:rPr>
            </w:pPr>
            <w:r>
              <w:rPr>
                <w:i/>
                <w:snapToGrid w:val="0"/>
                <w:sz w:val="19"/>
              </w:rPr>
              <w:t>Biosecurity and Agriculture Management (Repeal and Consequential Provisions) Act 2007</w:t>
            </w:r>
            <w:r>
              <w:rPr>
                <w:iCs/>
                <w:snapToGrid w:val="0"/>
                <w:sz w:val="19"/>
              </w:rPr>
              <w:t xml:space="preserve"> s. 93 </w:t>
            </w:r>
            <w:r>
              <w:rPr>
                <w:iCs/>
                <w:snapToGrid w:val="0"/>
                <w:sz w:val="19"/>
                <w:vertAlign w:val="superscript"/>
              </w:rPr>
              <w:t>8</w:t>
            </w:r>
          </w:p>
        </w:tc>
        <w:tc>
          <w:tcPr>
            <w:tcW w:w="1112" w:type="dxa"/>
            <w:tcBorders>
              <w:top w:val="single" w:sz="4" w:space="0" w:color="auto"/>
              <w:bottom w:val="single" w:sz="4" w:space="0" w:color="auto"/>
            </w:tcBorders>
          </w:tcPr>
          <w:p>
            <w:pPr>
              <w:pStyle w:val="nTable"/>
              <w:spacing w:before="100"/>
              <w:rPr>
                <w:snapToGrid w:val="0"/>
                <w:sz w:val="19"/>
              </w:rPr>
            </w:pPr>
            <w:r>
              <w:rPr>
                <w:snapToGrid w:val="0"/>
                <w:sz w:val="19"/>
              </w:rPr>
              <w:t>24 of 2007</w:t>
            </w:r>
          </w:p>
        </w:tc>
        <w:tc>
          <w:tcPr>
            <w:tcW w:w="1225" w:type="dxa"/>
            <w:tcBorders>
              <w:top w:val="single" w:sz="4" w:space="0" w:color="auto"/>
              <w:bottom w:val="single" w:sz="4" w:space="0" w:color="auto"/>
            </w:tcBorders>
          </w:tcPr>
          <w:p>
            <w:pPr>
              <w:pStyle w:val="nTable"/>
              <w:spacing w:before="100"/>
              <w:rPr>
                <w:sz w:val="19"/>
              </w:rPr>
            </w:pPr>
            <w:r>
              <w:rPr>
                <w:snapToGrid w:val="0"/>
                <w:sz w:val="19"/>
              </w:rPr>
              <w:t>12 Oct 2007</w:t>
            </w:r>
          </w:p>
        </w:tc>
        <w:tc>
          <w:tcPr>
            <w:tcW w:w="2520" w:type="dxa"/>
            <w:tcBorders>
              <w:top w:val="single" w:sz="4" w:space="0" w:color="auto"/>
              <w:bottom w:val="single" w:sz="4" w:space="0" w:color="auto"/>
            </w:tcBorders>
          </w:tcPr>
          <w:p>
            <w:pPr>
              <w:pStyle w:val="nTable"/>
              <w:spacing w:before="100"/>
              <w:rPr>
                <w:snapToGrid w:val="0"/>
                <w:sz w:val="19"/>
              </w:rPr>
            </w:pPr>
            <w:r>
              <w:rPr>
                <w:snapToGrid w:val="0"/>
                <w:sz w:val="19"/>
              </w:rPr>
              <w:t>To be proclaimed (s. 2(2))</w:t>
            </w:r>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rPr>
          <w:snapToGrid w:val="0"/>
        </w:rPr>
      </w:pPr>
      <w:r>
        <w:rPr>
          <w:snapToGrid w:val="0"/>
          <w:vertAlign w:val="superscript"/>
        </w:rPr>
        <w:t>7</w:t>
      </w:r>
      <w:r>
        <w:rPr>
          <w:snapToGrid w:val="0"/>
        </w:rPr>
        <w:tab/>
        <w:t>Footnote no longer applicable.</w:t>
      </w:r>
    </w:p>
    <w:p>
      <w:pPr>
        <w:pStyle w:val="nSubsection"/>
        <w:keepLines/>
        <w:rPr>
          <w:snapToGrid w:val="0"/>
        </w:rPr>
      </w:pPr>
      <w:bookmarkStart w:id="101" w:name="AutoSch"/>
      <w:bookmarkEnd w:id="101"/>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Biosecurity and Agriculture Management (Repeal and Consequential Provisions) Act 2007</w:t>
      </w:r>
      <w:r>
        <w:rPr>
          <w:iCs/>
          <w:snapToGrid w:val="0"/>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r>
        <w:rPr>
          <w:rStyle w:val="CharSectno"/>
        </w:rPr>
        <w:t>93</w:t>
      </w:r>
      <w:r>
        <w:t>.</w:t>
      </w:r>
      <w:r>
        <w:tab/>
      </w:r>
      <w:r>
        <w:rPr>
          <w:i/>
          <w:iCs/>
        </w:rPr>
        <w:t>Poisons Act 1964</w:t>
      </w:r>
      <w:r>
        <w:t xml:space="preserve"> amended</w:t>
      </w:r>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xml:space="preserve">” and inserting instead — </w:t>
      </w:r>
    </w:p>
    <w:p>
      <w:pPr>
        <w:pStyle w:val="MiscOpen"/>
        <w:keepNext w:val="0"/>
        <w:keepLines w:val="0"/>
        <w:ind w:left="1622"/>
      </w:pPr>
      <w:r>
        <w:t xml:space="preserve">“    </w:t>
      </w:r>
    </w:p>
    <w:p>
      <w:pPr>
        <w:pStyle w:val="nzIndenta"/>
      </w:pPr>
      <w:r>
        <w:tab/>
      </w:r>
      <w:r>
        <w:tab/>
        <w:t xml:space="preserve">under the </w:t>
      </w:r>
      <w:r>
        <w:rPr>
          <w:i/>
          <w:iCs/>
        </w:rPr>
        <w:t>Biosecurity and Agriculture Management Act 2007</w:t>
      </w:r>
    </w:p>
    <w:p>
      <w:pPr>
        <w:pStyle w:val="MiscClose"/>
        <w:keepLines w:val="0"/>
      </w:pPr>
      <w:r>
        <w:t xml:space="preserve">    ”.</w:t>
      </w:r>
    </w:p>
    <w:p>
      <w:pPr>
        <w:pStyle w:val="MiscClose"/>
      </w:pPr>
      <w:r>
        <w:t>”.</w:t>
      </w:r>
    </w:p>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sectPr>
      <w:headerReference w:type="even" r:id="rId34"/>
      <w:headerReference w:type="default" r:id="rId35"/>
      <w:headerReference w:type="firs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07-i0-02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Apr 2008</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Apr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07-i0-02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Apr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07-i0-02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07-i0-02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Apr 2008</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Apr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07-i0-02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Apr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07-i0-02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07-i0-02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Apr 2008</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Apr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07-i0-02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Apr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07-i0-02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050"/>
    <w:docVar w:name="WAFER_20140605151050" w:val="RemoveTocBookmarks,RemoveUnusedBookmarks,RemoveLanguageTags,UsedStyles,ResetPageSize"/>
    <w:docVar w:name="WAFER_20140605151050_GUID" w:val="138614d8-4007-4b3f-8065-be32a87abe5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76</Pages>
  <Words>16706</Words>
  <Characters>78189</Characters>
  <Application>Microsoft Office Word</Application>
  <DocSecurity>0</DocSecurity>
  <Lines>2171</Lines>
  <Paragraphs>1232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1964 - 07-i0-02</dc:title>
  <dc:subject/>
  <dc:creator/>
  <cp:keywords/>
  <dc:description/>
  <cp:lastModifiedBy>svcMRProcess</cp:lastModifiedBy>
  <cp:revision>4</cp:revision>
  <cp:lastPrinted>2006-09-06T01:41:00Z</cp:lastPrinted>
  <dcterms:created xsi:type="dcterms:W3CDTF">2018-09-06T20:20:00Z</dcterms:created>
  <dcterms:modified xsi:type="dcterms:W3CDTF">2018-09-06T20:21:00Z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20080427</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AsAtDate">
    <vt:lpwstr>27 Apr 2008</vt:lpwstr>
  </property>
  <property fmtid="{D5CDD505-2E9C-101B-9397-08002B2CF9AE}" pid="8" name="Suffix">
    <vt:lpwstr>07-i0-02</vt:lpwstr>
  </property>
</Properties>
</file>