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_Toc390078088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_Toc390078089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_Toc390078090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_Toc390078091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_Toc390078092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_Toc390078093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_Toc390078095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_Toc390078096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_Toc390078097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_Toc390078098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_Toc390078099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_Toc390078100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_Toc390078101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_Toc390078102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_Toc390078103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_Toc390078104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_Toc390078105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_Toc390078106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_Toc390078107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_Toc390078110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_Toc390078111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_Toc390078112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_Toc390078113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_Toc390078114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_Toc390078115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_Toc390078117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_Toc390078118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_Toc390078119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_Toc390078120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_Toc390078121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_Toc390078123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_Toc390078124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_Toc390078125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_Toc390078126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_Toc390078127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_Toc390078128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_Toc390078129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_Toc390078130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_Toc390078131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_Toc390078132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_Toc390078134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_Toc390078135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_Toc390078136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_Toc390078137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_Toc390078138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_Toc390078139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_Toc390078140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_Toc390078141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_Toc390078142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_Toc390078143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_Toc390078144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_Toc390078146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_Toc390078147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_Toc390078148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_Toc390078149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_Toc390078150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_Toc390078151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_Toc390078152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_Toc390078153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_Toc390078154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_Toc390078155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_Toc390078156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_Toc390078157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_Toc390078158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_Toc390078159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_Toc390078160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_Toc390078161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_Toc390078162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_Toc390078164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_Toc390078165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_Toc390078166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_Toc390078167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_Toc390078168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_Toc390078169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_Toc390078171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_Toc390078172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_Toc390078173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_Toc390078174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_Toc390078175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_Toc390078176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_Toc390078177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_Toc390078178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_Toc390078179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_Toc390078180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_Toc390078181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_Toc390078182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_Toc390078183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_Toc390078184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_Toc390078185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_Toc390078186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_Toc390078187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_Toc390078188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_Toc390078189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_Toc390078190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_Toc390078191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_Toc390078192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_Toc390078193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_Toc390078194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_Toc390078195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_Toc390078197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_Toc390078198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_Toc390078199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_Toc390078200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_Toc390078202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_Toc390078203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_Toc390078204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_Toc390078206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_Toc390078207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_Toc390078208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_Toc390078209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_Toc390078210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_Toc390078211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_Toc390078212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_Toc390078213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_Toc390078216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_Toc390078217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_Toc390078218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_Toc390078219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_Toc390078220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_Toc390078221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_Toc390078223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_Toc390078224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_Toc390078225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_Toc390078226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_Toc390078227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_Toc390078228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_Toc390078231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_Toc390078232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_Toc390078233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_Toc390078235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_Toc390078236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_Toc390078237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_Toc390078238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_Toc390078239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_Toc390078240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_Toc390078241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_Toc390078242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_Toc390078243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_Toc390078244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_Toc390078246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_Toc390078247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_Toc390078248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_Toc390078249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_Toc390078250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_Toc390078251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_Toc390078252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_Toc390078253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_Toc390078254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_Toc390078255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_Toc390078256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_Toc390078257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_Toc390078260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_Toc390078261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_Toc390078262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_Toc390078263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_Toc390078264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_Toc390078265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_Toc390078266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_Toc390078267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_Toc390078268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_Toc390078269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_Toc390078270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_Toc390078271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_Toc390078272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_Toc390078273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_Toc390078274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_Toc390078275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_Toc390078277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_Toc390078278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_Toc390078279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_Toc390078280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_Toc390078281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_Toc390078283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_Toc390078285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_Toc390078286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_Toc390078287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_Toc390078288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_Toc390078290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_Toc390078292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_Toc390078293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_Toc390078296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_Toc390078297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_Toc390078298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_Toc390078299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_Toc390078300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_Toc390078301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_Toc390078302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_Toc390078303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_Toc390078305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_Toc390078306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_Toc390078307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_Toc390078308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_Toc390078309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_Toc390078310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_Toc390078311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_Toc390078312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_Toc390078313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_Toc390078314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_Toc390078315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_Toc390078317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_Toc390078318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_Toc390078319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_Toc390078320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_Toc390078321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_Toc390078322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_Toc390078323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_Toc390078325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_Toc390078327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_Toc390078328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_Toc390078329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_Toc390078330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_Toc390078331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_Toc390078333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_Toc390078334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_Toc390078335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_Toc390078336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_Toc390078337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_Toc390078338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_Toc390078339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_Toc390078340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_Toc390078341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_Toc390078343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_Toc390078344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_Toc390078345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_Toc390078346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_Toc390078347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_Toc390078348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_Toc390078349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_Toc390078350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_Toc390078351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_Toc390078352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_Toc390078353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_Toc390078355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_Toc390078356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_Toc390078357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_Toc390078358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_Toc390078359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_Toc390078360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_Toc390078361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_Toc390078362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_Toc390078363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_Toc390078364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_Toc390078365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_Toc390078366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_Toc390078367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_Toc390078370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_Toc390078371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_Toc390078372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_Toc390078373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_Toc390078374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_Toc390078375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_Toc390078376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_Toc390078377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_Toc390078378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_Toc390078379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_Toc390078380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_Toc390078381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_Toc390078382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_Toc390078383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_Toc390078384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_Toc390078385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_Toc390078386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_Toc390078387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_Toc390078388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_Toc390078389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_Toc390078390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_Toc390078392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_Toc390078393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_Toc390078395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_Toc390078396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_Toc390078397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_Toc390078398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_Toc390078400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_Toc390078401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_Toc390078402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_Toc390078403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_Toc390078404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_Toc390078405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_Toc390078406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_Toc390078407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_Toc390078408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_Toc390078411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_Toc390078412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_Toc390078414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_Toc390078415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_Toc390078416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_Toc390078418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_Toc390078419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_Toc390078420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_Toc390078421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_Toc390078422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_Toc390078423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_Toc390078424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_Toc390078426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_Toc390078427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_Toc390078428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_Toc390078429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_Toc390078430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_Toc390078431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_Toc390078432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_Toc390078433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_Toc390078434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_Toc390078435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_Toc390078436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_Toc390078437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_Toc390078438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_Toc390078439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_Toc390078440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_Toc390078441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_Toc390078442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_Toc390078443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_Toc390078444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_Toc390078445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_Toc390078446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_Toc390078447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_Toc390078448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_Toc390078451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_Toc390078452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_Toc390078453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_Toc390078454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_Toc390078455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_Toc390078456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_Toc390078458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_Toc390078459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_Toc390078461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_Toc390078463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_Toc390078464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_Toc390078465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_Toc390078466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_Toc390078467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_Toc390078468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_Toc390078471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_Toc390078472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_Toc390078473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_Toc390078474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_Toc390078475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_Toc390078477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_Toc390078478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_Toc390078479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_Toc390078480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_Toc390078481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_Toc390078482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_Toc390078483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_Toc390078485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_Toc390078486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_Toc390078487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_Toc390078489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_Toc390078490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_Toc390078491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_Toc390078492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_Toc390078494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_Toc390078495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_Toc390078496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_Toc390078497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_Toc390078498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_Toc390078499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_Toc390078500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_Toc390078501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_Toc390078502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_Toc390078503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_Toc390078505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_Toc390078506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_Toc390078507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_Toc390078508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_Toc390078509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_Toc390078510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_Toc390078513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_Toc390078514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_Toc390078515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_Toc390078517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_Toc390078518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_Toc390078519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_Toc390078520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_Toc390078521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_Toc390078523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_Toc390078524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_Toc390078525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_Toc390078526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_Toc390078527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_Toc390078528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_Toc390078529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_Toc390078530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_Toc390078532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_Toc390078535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_Toc390078536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_Toc390078537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_Toc390078539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_Toc390078540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_Toc390078541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_Toc390078542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_Toc390078543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_Toc390078545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_Toc390078546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_Toc390078548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_Toc390078549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_Toc390078550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_Toc390078551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_Toc390078553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_Toc390078554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_Toc390078555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_Toc390078557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_Toc390078558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_Toc390078559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_Toc390078560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_Toc390078561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_Toc390078562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_Toc390078563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_Toc390078564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_Toc390078565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_Toc390078566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_Toc390078567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_Toc390078568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_Toc390078569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_Toc390078570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_Toc390078571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_Toc390078572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_Toc390078573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_Toc390078574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_Toc390078575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_Toc390078576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_Toc390078577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_Toc390078578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_Toc390078580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_Toc390078581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_Toc390078582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_Toc390078583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_Toc390078584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_Toc390078585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_Toc390078586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_Toc390078587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_Toc390078588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_Toc390078590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_Toc390078591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_Toc390078592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_Toc390078593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_Toc390078594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_Toc390078595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_Toc390078596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_Toc390078597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_Toc390078598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_Toc390078599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_Toc390078600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_Toc390078601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_Toc390078602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_Toc390078603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_Toc390078604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_Toc390078605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_Toc390078606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_Toc390078607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_Toc390078608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_Toc390078609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_Toc390078610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_Toc390078611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_Toc390078612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_Toc390078613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_Toc390078614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_Toc390078621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_Toc390078622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_Toc390078623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_Toc390078624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_Toc390078625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_Toc390078626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_Toc390078627 \h </w:instrText>
      </w:r>
      <w:r>
        <w:fldChar w:fldCharType="separate"/>
      </w:r>
      <w:r>
        <w:t>378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_Toc390078628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_Toc390078629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_Toc390078630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_Toc390078632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_Toc390078633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_Toc390078635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_Toc390078636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_Toc390078637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_Toc390078638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_Toc390078639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_Toc390078640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_Toc390078641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_Toc390078642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_Toc390078643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_Toc390078644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_Toc390078646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_Toc390078647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_Toc390078648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_Toc390078649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_Toc390078651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_Toc390078652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08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808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808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8090"/>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8091"/>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8092"/>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8093"/>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809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8095"/>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8096"/>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8097"/>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8098"/>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8099"/>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8100"/>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8101"/>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8102"/>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8103"/>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8104"/>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8105"/>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8106"/>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8107"/>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8108"/>
      <w:r>
        <w:rPr>
          <w:rStyle w:val="CharPartNo"/>
        </w:rPr>
        <w:t>Part III</w:t>
      </w:r>
      <w:r>
        <w:t> — </w:t>
      </w:r>
      <w:r>
        <w:rPr>
          <w:rStyle w:val="CharPartText"/>
        </w:rPr>
        <w:t>Compensation</w:t>
      </w:r>
      <w:bookmarkEnd w:id="22"/>
      <w:r>
        <w:rPr>
          <w:rStyle w:val="CharPartText"/>
        </w:rPr>
        <w:t xml:space="preserve"> </w:t>
      </w:r>
    </w:p>
    <w:p>
      <w:pPr>
        <w:pStyle w:val="Heading3"/>
      </w:pPr>
      <w:bookmarkStart w:id="23" w:name="_Toc390078109"/>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8110"/>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8111"/>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8112"/>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8113"/>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8114"/>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8115"/>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8116"/>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8117"/>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8118"/>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8119"/>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8120"/>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8121"/>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8122"/>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8123"/>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8124"/>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8125"/>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8126"/>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8127"/>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8128"/>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8129"/>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8130"/>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8131"/>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8132"/>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8133"/>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8134"/>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8135"/>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8136"/>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8137"/>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8138"/>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8139"/>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8140"/>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8141"/>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8142"/>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8143"/>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8144"/>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8145"/>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8146"/>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8147"/>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8148"/>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8149"/>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8150"/>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8151"/>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8152"/>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8153"/>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8154"/>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8155"/>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8156"/>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8157"/>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8158"/>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8159"/>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8160"/>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8161"/>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8162"/>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8163"/>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8164"/>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8165"/>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8166"/>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8167"/>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8168"/>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8169"/>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8170"/>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8171"/>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8172"/>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8173"/>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8174"/>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8175"/>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8176"/>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8177"/>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8178"/>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8179"/>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8180"/>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8181"/>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8182"/>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8183"/>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8184"/>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8185"/>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8186"/>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8187"/>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8188"/>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8189"/>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8190"/>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8191"/>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8192"/>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8193"/>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8194"/>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8195"/>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8196"/>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8197"/>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8198"/>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8199"/>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8200"/>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8201"/>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8202"/>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8203"/>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8204"/>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8205"/>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8206"/>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8207"/>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8208"/>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8209"/>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8210"/>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8211"/>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8212"/>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8213"/>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8214"/>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8215"/>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8216"/>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8217"/>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8218"/>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8219"/>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8220"/>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8221"/>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8222"/>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8223"/>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8224"/>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8225"/>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8226"/>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8227"/>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8228"/>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8229"/>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8230"/>
      <w:r>
        <w:t>Subdivision 1 — Preliminary provisions</w:t>
      </w:r>
      <w:bookmarkEnd w:id="144"/>
    </w:p>
    <w:p>
      <w:pPr>
        <w:pStyle w:val="Footnoteheading"/>
      </w:pPr>
      <w:r>
        <w:tab/>
        <w:t>[Heading inserted by No. 42 of 2004 s. 71.]</w:t>
      </w:r>
    </w:p>
    <w:p>
      <w:pPr>
        <w:pStyle w:val="Heading5"/>
        <w:rPr>
          <w:snapToGrid w:val="0"/>
        </w:rPr>
      </w:pPr>
      <w:bookmarkStart w:id="145" w:name="_Toc390078231"/>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8232"/>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8233"/>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8234"/>
      <w:r>
        <w:t>Subdivision 2 — 1993 scheme</w:t>
      </w:r>
      <w:bookmarkEnd w:id="148"/>
    </w:p>
    <w:p>
      <w:pPr>
        <w:pStyle w:val="Footnoteheading"/>
      </w:pPr>
      <w:r>
        <w:tab/>
        <w:t>[Heading inserted by No. 42 of 2004 s. 74.]</w:t>
      </w:r>
    </w:p>
    <w:p>
      <w:pPr>
        <w:pStyle w:val="Heading5"/>
        <w:spacing w:before="180"/>
      </w:pPr>
      <w:bookmarkStart w:id="149" w:name="_Toc390078235"/>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8236"/>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8237"/>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8238"/>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19" o:title=""/>
          </v:shape>
          <o:OLEObject Type="Embed" ProgID="Equation.3" ShapeID="_x0000_i1025" DrawAspect="Content" ObjectID="_1643830739"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1.5pt" o:ole="" fillcolor="window">
            <v:imagedata r:id="rId21" o:title=""/>
          </v:shape>
          <o:OLEObject Type="Embed" ProgID="Equation.3" ShapeID="_x0000_i1026" DrawAspect="Content" ObjectID="_1643830740"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30741"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9.5pt;height:33.75pt" o:ole="" fillcolor="window">
            <v:imagedata r:id="rId25" o:title=""/>
          </v:shape>
          <o:OLEObject Type="Embed" ProgID="Equation.3" ShapeID="_x0000_i1028" DrawAspect="Content" ObjectID="_1643830742"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8239"/>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8240"/>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8241"/>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8242"/>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8243"/>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8244"/>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8245"/>
      <w:r>
        <w:t>Subdivision 3 — 2004 scheme</w:t>
      </w:r>
      <w:bookmarkEnd w:id="159"/>
    </w:p>
    <w:p>
      <w:pPr>
        <w:pStyle w:val="Footnoteheading"/>
        <w:keepNext/>
        <w:keepLines/>
      </w:pPr>
      <w:r>
        <w:tab/>
        <w:t>[Heading inserted by No. 42 of 2004 s. 79.]</w:t>
      </w:r>
    </w:p>
    <w:p>
      <w:pPr>
        <w:pStyle w:val="Heading5"/>
      </w:pPr>
      <w:bookmarkStart w:id="160" w:name="_Toc390078246"/>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8247"/>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8248"/>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8249"/>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8250"/>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8251"/>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8252"/>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8253"/>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8254"/>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8255"/>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8256"/>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8257"/>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8258"/>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8259"/>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8260"/>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8261"/>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8262"/>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8263"/>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8264"/>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8265"/>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8266"/>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8267"/>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8268"/>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8269"/>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8270"/>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8271"/>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8272"/>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8273"/>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88" w:name="_Toc390078274"/>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8275"/>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8276"/>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8277"/>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8278"/>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8279"/>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8280"/>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8281"/>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196" w:name="_Toc390078282"/>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8283"/>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8284"/>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8285"/>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8286"/>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8287"/>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8288"/>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8289"/>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8290"/>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8291"/>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8292"/>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8293"/>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8" w:name="_Toc390078294"/>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8295"/>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8296"/>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8297"/>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8298"/>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8299"/>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8300"/>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8301"/>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8302"/>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8303"/>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8304"/>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8305"/>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8306"/>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8307"/>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8308"/>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8309"/>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8310"/>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8311"/>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8312"/>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8313"/>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8314"/>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8315"/>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8316"/>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8317"/>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8318"/>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8319"/>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8320"/>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8321"/>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8322"/>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8323"/>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8324"/>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8325"/>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8326"/>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8327"/>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8328"/>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8329"/>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8330"/>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8331"/>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8332"/>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8333"/>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8334"/>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8335"/>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8336"/>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8337"/>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8338"/>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8339"/>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8340"/>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8341"/>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8342"/>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8343"/>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8344"/>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8345"/>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8346"/>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8347"/>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8348"/>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8349"/>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8350"/>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8351"/>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8352"/>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8353"/>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8354"/>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8355"/>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8356"/>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8357"/>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8358"/>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8359"/>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8360"/>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8361"/>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8362"/>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8363"/>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8364"/>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8365"/>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8366"/>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8367"/>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2" w:name="_Toc390078368"/>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8369"/>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8370"/>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8371"/>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8372"/>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8373"/>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8374"/>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8375"/>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8376"/>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8377"/>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8378"/>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8379"/>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8380"/>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8381"/>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8382"/>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8383"/>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8384"/>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9" w:name="_Toc390078385"/>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8386"/>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8387"/>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8388"/>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8389"/>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8390"/>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8391"/>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8392"/>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8393"/>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8394"/>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8395"/>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8396"/>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8397"/>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8398"/>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8399"/>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8400"/>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8401"/>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8402"/>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8403"/>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18" w:name="_Toc390078404"/>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8405"/>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8406"/>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8407"/>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8408"/>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8409"/>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8410"/>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8411"/>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8412"/>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8413"/>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8414"/>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8415"/>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8416"/>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8417"/>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8418"/>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8419"/>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8420"/>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8421"/>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8422"/>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8423"/>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8424"/>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8425"/>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8426"/>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341" w:name="_Toc390078427"/>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8428"/>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8429"/>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8430"/>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8431"/>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8432"/>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8433"/>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8434"/>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8435"/>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8436"/>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8437"/>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8438"/>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8439"/>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8440"/>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8441"/>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8442"/>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8443"/>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8444"/>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8445"/>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8446"/>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8447"/>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8448"/>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8449"/>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8450"/>
      <w:r>
        <w:t>Subdivision 1 — General provisions</w:t>
      </w:r>
      <w:bookmarkEnd w:id="364"/>
    </w:p>
    <w:p>
      <w:pPr>
        <w:pStyle w:val="Footnoteheading"/>
      </w:pPr>
      <w:r>
        <w:tab/>
        <w:t>[Heading inserted by No. 42 of 2004 s. 130.]</w:t>
      </w:r>
    </w:p>
    <w:p>
      <w:pPr>
        <w:pStyle w:val="Heading5"/>
      </w:pPr>
      <w:bookmarkStart w:id="365" w:name="_Toc390078451"/>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8452"/>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8453"/>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8454"/>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8455"/>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8456"/>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8457"/>
      <w:r>
        <w:t>Subdivision 2 — Particular orders</w:t>
      </w:r>
      <w:bookmarkEnd w:id="371"/>
    </w:p>
    <w:p>
      <w:pPr>
        <w:pStyle w:val="Footnoteheading"/>
      </w:pPr>
      <w:r>
        <w:tab/>
        <w:t>[Heading inserted by No. 42 of 2004 s. 130.]</w:t>
      </w:r>
    </w:p>
    <w:p>
      <w:pPr>
        <w:pStyle w:val="Heading5"/>
      </w:pPr>
      <w:bookmarkStart w:id="372" w:name="_Toc390078458"/>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8459"/>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8460"/>
      <w:r>
        <w:t>Subdivision 3 — Enforcement of decisions</w:t>
      </w:r>
      <w:bookmarkEnd w:id="374"/>
    </w:p>
    <w:p>
      <w:pPr>
        <w:pStyle w:val="Footnoteheading"/>
      </w:pPr>
      <w:r>
        <w:tab/>
        <w:t>[Heading inserted by No. 42 of 2004 s. 130.]</w:t>
      </w:r>
    </w:p>
    <w:p>
      <w:pPr>
        <w:pStyle w:val="Heading5"/>
        <w:keepLines w:val="0"/>
      </w:pPr>
      <w:bookmarkStart w:id="375" w:name="_Toc390078461"/>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8462"/>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8463"/>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8464"/>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8465"/>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8466"/>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8467"/>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8468"/>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8469"/>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8470"/>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8471"/>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8472"/>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8473"/>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8474"/>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8475"/>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8476"/>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8477"/>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8478"/>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8479"/>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8480"/>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8481"/>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8482"/>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8483"/>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8484"/>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8485"/>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8486"/>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8487"/>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8488"/>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8489"/>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8490"/>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8491"/>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8492"/>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8493"/>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8494"/>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8495"/>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8496"/>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8497"/>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8498"/>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8499"/>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8500"/>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8501"/>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8502"/>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8503"/>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8504"/>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8505"/>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8506"/>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8507"/>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8508"/>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8509"/>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8510"/>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8511"/>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8512"/>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8513"/>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8514"/>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8515"/>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8516"/>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8517"/>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8518"/>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8519"/>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8520"/>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8521"/>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8522"/>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8523"/>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8524"/>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8525"/>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8526"/>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8527"/>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8528"/>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8529"/>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8530"/>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8531"/>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8532"/>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8533"/>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8534"/>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8535"/>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8536"/>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8537"/>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8538"/>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8539"/>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8540"/>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8541"/>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8542"/>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8543"/>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8544"/>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8545"/>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8546"/>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8547"/>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8548"/>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8549"/>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8550"/>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8551"/>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8552"/>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8553"/>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8554"/>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8555"/>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8556"/>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8557"/>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8558"/>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8559"/>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8560"/>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8561"/>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8562"/>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8563"/>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8564"/>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8565"/>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8566"/>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8567"/>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8568"/>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8569"/>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8570"/>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8571"/>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8572"/>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8573"/>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8574"/>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8575"/>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8576"/>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8577"/>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8578"/>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8579"/>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8580"/>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8581"/>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8582"/>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8583"/>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8584"/>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8585"/>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8586"/>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8587"/>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8588"/>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8589"/>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8590"/>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5" w:name="_Toc390078591"/>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6" w:name="_Toc390078592"/>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8593"/>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8594"/>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8595"/>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8596"/>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8597"/>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12" w:name="_Toc390078598"/>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8599"/>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8600"/>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8601"/>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8602"/>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17" w:name="_Toc390078603"/>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8604"/>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8605"/>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8606"/>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8607"/>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8608"/>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8609"/>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8610"/>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8611"/>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8612"/>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8613"/>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8614"/>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outlineLvl w:val="0"/>
      </w:pPr>
      <w:bookmarkStart w:id="529" w:name="_Toc390078615"/>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8616"/>
      <w:r>
        <w:rPr>
          <w:rStyle w:val="CharSDivNo"/>
          <w:sz w:val="28"/>
        </w:rP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8617"/>
      <w:r>
        <w:rPr>
          <w:rStyle w:val="CharSDivNo"/>
          <w:sz w:val="28"/>
        </w:rP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532" w:name="_Toc390078618"/>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8619"/>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534" w:name="_Toc390078620"/>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8621"/>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36" w:name="_Toc390078622"/>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8623"/>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8624"/>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8625"/>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8626"/>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8627"/>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8628"/>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8629"/>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8630"/>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8631"/>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8632"/>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8633"/>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8634"/>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8635"/>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8636"/>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8637"/>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8638"/>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8639"/>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8640"/>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8641"/>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56" w:name="_Toc390078642"/>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8643"/>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8644"/>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8645"/>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outlineLvl w:val="9"/>
      </w:pPr>
      <w:bookmarkStart w:id="560" w:name="_Toc390078646"/>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1" w:name="_Toc390078647"/>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2" w:name="_Toc390078648"/>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3" w:name="_Toc390078649"/>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564" w:name="_Toc390078650"/>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65" w:name="_Toc390078651"/>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 xml:space="preserve">84 of 2004 </w:t>
            </w:r>
            <w:r>
              <w:rPr>
                <w:snapToGrid w:val="0"/>
                <w:sz w:val="19"/>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snapToGrid w:val="0"/>
                <w:sz w:val="19"/>
              </w:rPr>
            </w:pPr>
            <w:r>
              <w:rPr>
                <w:i/>
                <w:snapToGrid w:val="0"/>
              </w:rPr>
              <w:t>Criminal Law and Evidence Amendment Act 2008</w:t>
            </w:r>
            <w:r>
              <w:rPr>
                <w:iCs/>
                <w:snapToGrid w:val="0"/>
              </w:rPr>
              <w:t xml:space="preserve"> s. 73</w:t>
            </w:r>
          </w:p>
        </w:tc>
        <w:tc>
          <w:tcPr>
            <w:tcW w:w="1134" w:type="dxa"/>
            <w:tcBorders>
              <w:bottom w:val="single" w:sz="4" w:space="0" w:color="auto"/>
            </w:tcBorders>
          </w:tcPr>
          <w:p>
            <w:pPr>
              <w:pStyle w:val="nTable"/>
              <w:spacing w:after="40"/>
              <w:rPr>
                <w:snapToGrid w:val="0"/>
                <w:sz w:val="19"/>
              </w:rPr>
            </w:pPr>
            <w:r>
              <w:rPr>
                <w:sz w:val="19"/>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66" w:name="_Toc390078652"/>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rPr>
            </w:pPr>
            <w:r>
              <w:rPr>
                <w:i/>
                <w:sz w:val="19"/>
              </w:rPr>
              <w:t>Duties Legislation Amendment Act 2008</w:t>
            </w:r>
            <w:r>
              <w:rPr>
                <w:iCs/>
                <w:sz w:val="19"/>
              </w:rPr>
              <w:t xml:space="preserve"> s. 52 </w:t>
            </w:r>
            <w:r>
              <w:rPr>
                <w:iCs/>
                <w:sz w:val="19"/>
                <w:vertAlign w:val="superscript"/>
              </w:rPr>
              <w:t>46</w:t>
            </w:r>
          </w:p>
        </w:tc>
        <w:tc>
          <w:tcPr>
            <w:tcW w:w="1134" w:type="dxa"/>
            <w:tcBorders>
              <w:bottom w:val="single" w:sz="4" w:space="0" w:color="auto"/>
            </w:tcBorders>
          </w:tcPr>
          <w:p>
            <w:pPr>
              <w:pStyle w:val="nTable"/>
              <w:keepNext/>
              <w:spacing w:after="40"/>
              <w:rPr>
                <w:sz w:val="19"/>
              </w:rPr>
            </w:pPr>
            <w:r>
              <w:rPr>
                <w:sz w:val="19"/>
              </w:rPr>
              <w:t>12 of 2008</w:t>
            </w:r>
          </w:p>
        </w:tc>
        <w:tc>
          <w:tcPr>
            <w:tcW w:w="1134" w:type="dxa"/>
            <w:tcBorders>
              <w:bottom w:val="single" w:sz="4" w:space="0" w:color="auto"/>
            </w:tcBorders>
          </w:tcPr>
          <w:p>
            <w:pPr>
              <w:pStyle w:val="nTable"/>
              <w:keepNext/>
              <w:spacing w:after="40"/>
              <w:rPr>
                <w:sz w:val="19"/>
              </w:rPr>
            </w:pPr>
            <w:r>
              <w:rPr>
                <w:sz w:val="19"/>
              </w:rPr>
              <w:t>14 Apr 2008</w:t>
            </w:r>
          </w:p>
        </w:tc>
        <w:tc>
          <w:tcPr>
            <w:tcW w:w="2551" w:type="dxa"/>
            <w:tcBorders>
              <w:bottom w:val="single" w:sz="4" w:space="0" w:color="auto"/>
            </w:tcBorders>
          </w:tcPr>
          <w:p>
            <w:pPr>
              <w:pStyle w:val="nTable"/>
              <w:keepNext/>
              <w:spacing w:after="40"/>
              <w:rPr>
                <w:snapToGrid w:val="0"/>
                <w:sz w:val="19"/>
              </w:rPr>
            </w:pPr>
            <w:r>
              <w:rPr>
                <w:sz w:val="19"/>
              </w:rPr>
              <w:t>1 Jul 2008 (see s. 2(d))</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42,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42 reads as follows:</w:t>
      </w:r>
    </w:p>
    <w:p>
      <w:pPr>
        <w:pStyle w:val="MiscOpen"/>
      </w:pPr>
      <w:r>
        <w:t>“</w:t>
      </w:r>
    </w:p>
    <w:p>
      <w:pPr>
        <w:pStyle w:val="nzHeading2"/>
      </w:pPr>
      <w:r>
        <w:rPr>
          <w:rStyle w:val="CharSchNo"/>
        </w:rPr>
        <w:t>Schedule 1</w:t>
      </w:r>
      <w:r>
        <w:rPr>
          <w:rStyle w:val="CharSDivNo"/>
        </w:rPr>
        <w:t> </w:t>
      </w:r>
      <w:r>
        <w:t>—</w:t>
      </w:r>
      <w:bookmarkStart w:id="567" w:name="AutoSch"/>
      <w:bookmarkEnd w:id="567"/>
      <w:r>
        <w:rPr>
          <w:rStyle w:val="CharSDivText"/>
        </w:rPr>
        <w:t> </w:t>
      </w:r>
      <w:r>
        <w:rPr>
          <w:rStyle w:val="CharSchText"/>
        </w:rPr>
        <w:t>Amendments to various Acts</w:t>
      </w:r>
    </w:p>
    <w:p>
      <w:pPr>
        <w:pStyle w:val="nzMiscellaneousBody"/>
        <w:jc w:val="right"/>
      </w:pPr>
      <w:r>
        <w:t>[s. 52]</w:t>
      </w:r>
    </w:p>
    <w:p>
      <w:pPr>
        <w:pStyle w:val="nzHeading5"/>
      </w:pPr>
      <w:r>
        <w:rPr>
          <w:rStyle w:val="CharSClsNo"/>
        </w:rPr>
        <w:t>42</w:t>
      </w:r>
      <w:r>
        <w:t>.</w:t>
      </w:r>
      <w:r>
        <w:tab/>
      </w:r>
      <w:r>
        <w:rPr>
          <w:i/>
        </w:rPr>
        <w:t>Workers’ Compensation and Injury Management Act 1981</w:t>
      </w:r>
    </w:p>
    <w:p>
      <w:pPr>
        <w:pStyle w:val="nzSubsection"/>
      </w:pPr>
      <w:r>
        <w:tab/>
      </w:r>
      <w:r>
        <w:tab/>
        <w:t xml:space="preserve">Section 297 is amended by deleting “stamp duties chargeable under the </w:t>
      </w:r>
      <w:r>
        <w:rPr>
          <w:i/>
          <w:iCs/>
        </w:rPr>
        <w:t>Stamp Act 1921</w:t>
      </w:r>
      <w:r>
        <w:t xml:space="preserve">.” and inserting instead — </w:t>
      </w:r>
    </w:p>
    <w:p>
      <w:pPr>
        <w:pStyle w:val="nzSubsection"/>
      </w:pPr>
      <w:r>
        <w:tab/>
      </w:r>
      <w:r>
        <w:tab/>
        <w:t xml:space="preserve">“    </w:t>
      </w:r>
      <w:r>
        <w:rPr>
          <w:sz w:val="24"/>
        </w:rPr>
        <w:t xml:space="preserve">duty chargeable under the </w:t>
      </w:r>
      <w:r>
        <w:rPr>
          <w:i/>
          <w:iCs/>
          <w:sz w:val="24"/>
        </w:rPr>
        <w:t>Duties Act 2008</w:t>
      </w:r>
      <w:r>
        <w:rPr>
          <w:sz w:val="24"/>
        </w:rPr>
        <w:t>.</w:t>
      </w:r>
      <w:r>
        <w:t xml:space="preserve">    ”.</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213"/>
    <w:docVar w:name="WAFER_20140609110213" w:val="RemoveTocBookmarks,RemoveUnusedBookmarks,RemoveLanguageTags,UsedStyles,ResetPageSize"/>
    <w:docVar w:name="WAFER_20140609110213_GUID" w:val="45596287-30a7-456a-b0c3-9a3605ff8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445</Pages>
  <Words>119920</Words>
  <Characters>574419</Characters>
  <Application>Microsoft Office Word</Application>
  <DocSecurity>0</DocSecurity>
  <Lines>15116</Lines>
  <Paragraphs>7308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1981 - 07-f0-03</dc:title>
  <dc:subject/>
  <dc:creator/>
  <cp:keywords/>
  <dc:description/>
  <cp:lastModifiedBy>svcMRProcess</cp:lastModifiedBy>
  <cp:revision>4</cp:revision>
  <cp:lastPrinted>2007-07-31T04:29:00Z</cp:lastPrinted>
  <dcterms:created xsi:type="dcterms:W3CDTF">2020-02-21T14:52:00Z</dcterms:created>
  <dcterms:modified xsi:type="dcterms:W3CDTF">2020-02-21T14:52:00Z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27 Apr 2008</vt:lpwstr>
  </property>
  <property fmtid="{D5CDD505-2E9C-101B-9397-08002B2CF9AE}" pid="8" name="Suffix">
    <vt:lpwstr>07-f0-03</vt:lpwstr>
  </property>
</Properties>
</file>