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Stock (Identification and Movement) Regulations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_Toc199049045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Persons who may use registered brands or earmarks</w:t>
      </w:r>
      <w:r>
        <w:tab/>
      </w:r>
      <w:r>
        <w:fldChar w:fldCharType="begin"/>
      </w:r>
      <w:r>
        <w:instrText xml:space="preserve"> PAGEREF _Toc199049046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Requirements relating to various means of branding</w:t>
      </w:r>
      <w:r>
        <w:tab/>
      </w:r>
      <w:r>
        <w:fldChar w:fldCharType="begin"/>
      </w:r>
      <w:r>
        <w:instrText xml:space="preserve"> PAGEREF _Toc199049047 \h </w:instrText>
      </w:r>
      <w:r>
        <w:fldChar w:fldCharType="separate"/>
      </w:r>
      <w:r>
        <w:t>2</w:t>
      </w:r>
      <w:r>
        <w:fldChar w:fldCharType="end"/>
      </w:r>
    </w:p>
    <w:p>
      <w:pPr>
        <w:pStyle w:val="TOC8"/>
        <w:rPr>
          <w:sz w:val="24"/>
          <w:szCs w:val="24"/>
        </w:rPr>
      </w:pPr>
      <w:r>
        <w:rPr>
          <w:szCs w:val="24"/>
        </w:rPr>
        <w:t>4A.</w:t>
      </w:r>
      <w:r>
        <w:rPr>
          <w:szCs w:val="24"/>
        </w:rPr>
        <w:tab/>
        <w:t>Manufacture and sale of eartags for identifying sheep, goats and camelids</w:t>
      </w:r>
      <w:r>
        <w:tab/>
      </w:r>
      <w:r>
        <w:fldChar w:fldCharType="begin"/>
      </w:r>
      <w:r>
        <w:instrText xml:space="preserve"> PAGEREF _Toc199049048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 marks for sheep</w:t>
      </w:r>
      <w:r>
        <w:tab/>
      </w:r>
      <w:r>
        <w:fldChar w:fldCharType="begin"/>
      </w:r>
      <w:r>
        <w:instrText xml:space="preserve"> PAGEREF _Toc199049049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Use of firebrands or freezebrands, and marking stud cattle</w:t>
      </w:r>
      <w:r>
        <w:tab/>
      </w:r>
      <w:r>
        <w:fldChar w:fldCharType="begin"/>
      </w:r>
      <w:r>
        <w:instrText xml:space="preserve"> PAGEREF _Toc199049050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Manner of applying registered brands to horses</w:t>
      </w:r>
      <w:r>
        <w:tab/>
      </w:r>
      <w:r>
        <w:fldChar w:fldCharType="begin"/>
      </w:r>
      <w:r>
        <w:instrText xml:space="preserve"> PAGEREF _Toc199049051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Brands and marks for ostriches</w:t>
      </w:r>
      <w:r>
        <w:tab/>
      </w:r>
      <w:r>
        <w:fldChar w:fldCharType="begin"/>
      </w:r>
      <w:r>
        <w:instrText xml:space="preserve"> PAGEREF _Toc199049052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Cullmarks and Breed Society marks, etc.</w:t>
      </w:r>
      <w:r>
        <w:tab/>
      </w:r>
      <w:r>
        <w:fldChar w:fldCharType="begin"/>
      </w:r>
      <w:r>
        <w:instrText xml:space="preserve"> PAGEREF _Toc199049053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Age marks for cattle, buffalo or deer</w:t>
      </w:r>
      <w:r>
        <w:tab/>
      </w:r>
      <w:r>
        <w:fldChar w:fldCharType="begin"/>
      </w:r>
      <w:r>
        <w:instrText xml:space="preserve"> PAGEREF _Toc199049054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Minimum sizes for certain brands and earmark symbols</w:t>
      </w:r>
      <w:r>
        <w:tab/>
      </w:r>
      <w:r>
        <w:fldChar w:fldCharType="begin"/>
      </w:r>
      <w:r>
        <w:instrText xml:space="preserve"> PAGEREF _Toc199049055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Manner of applying brands to pigs</w:t>
      </w:r>
      <w:r>
        <w:tab/>
      </w:r>
      <w:r>
        <w:fldChar w:fldCharType="begin"/>
      </w:r>
      <w:r>
        <w:instrText xml:space="preserve"> PAGEREF _Toc199049056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Branding of pigs registered with Australian Pig Society</w:t>
      </w:r>
      <w:r>
        <w:tab/>
      </w:r>
      <w:r>
        <w:fldChar w:fldCharType="begin"/>
      </w:r>
      <w:r>
        <w:instrText xml:space="preserve"> PAGEREF _Toc199049057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Prescribed details of identification to appear on waybills</w:t>
      </w:r>
      <w:r>
        <w:tab/>
      </w:r>
      <w:r>
        <w:fldChar w:fldCharType="begin"/>
      </w:r>
      <w:r>
        <w:instrText xml:space="preserve"> PAGEREF _Toc199049058 \h </w:instrText>
      </w:r>
      <w:r>
        <w:fldChar w:fldCharType="separate"/>
      </w:r>
      <w:r>
        <w:t>11</w:t>
      </w:r>
      <w:r>
        <w:fldChar w:fldCharType="end"/>
      </w:r>
    </w:p>
    <w:p>
      <w:pPr>
        <w:pStyle w:val="TOC8"/>
        <w:rPr>
          <w:sz w:val="24"/>
          <w:szCs w:val="24"/>
        </w:rPr>
      </w:pPr>
      <w:r>
        <w:rPr>
          <w:szCs w:val="24"/>
        </w:rPr>
        <w:t>11B</w:t>
      </w:r>
      <w:r>
        <w:rPr>
          <w:snapToGrid w:val="0"/>
          <w:szCs w:val="24"/>
        </w:rPr>
        <w:t>.</w:t>
      </w:r>
      <w:r>
        <w:rPr>
          <w:snapToGrid w:val="0"/>
          <w:szCs w:val="24"/>
        </w:rPr>
        <w:tab/>
        <w:t>Prescribed stock — section 50</w:t>
      </w:r>
      <w:r>
        <w:tab/>
      </w:r>
      <w:r>
        <w:fldChar w:fldCharType="begin"/>
      </w:r>
      <w:r>
        <w:instrText xml:space="preserve"> PAGEREF _Toc199049059 \h </w:instrText>
      </w:r>
      <w:r>
        <w:fldChar w:fldCharType="separate"/>
      </w:r>
      <w:r>
        <w:t>12</w:t>
      </w:r>
      <w:r>
        <w:fldChar w:fldCharType="end"/>
      </w:r>
    </w:p>
    <w:p>
      <w:pPr>
        <w:pStyle w:val="TOC8"/>
        <w:rPr>
          <w:sz w:val="24"/>
          <w:szCs w:val="24"/>
        </w:rPr>
      </w:pPr>
      <w:r>
        <w:rPr>
          <w:szCs w:val="24"/>
        </w:rPr>
        <w:t>11C</w:t>
      </w:r>
      <w:r>
        <w:rPr>
          <w:snapToGrid w:val="0"/>
          <w:szCs w:val="24"/>
        </w:rPr>
        <w:t>.</w:t>
      </w:r>
      <w:r>
        <w:rPr>
          <w:snapToGrid w:val="0"/>
          <w:szCs w:val="24"/>
        </w:rPr>
        <w:tab/>
        <w:t>Stock required to be marked — section 53B</w:t>
      </w:r>
      <w:r>
        <w:tab/>
      </w:r>
      <w:r>
        <w:fldChar w:fldCharType="begin"/>
      </w:r>
      <w:r>
        <w:instrText xml:space="preserve"> PAGEREF _Toc199049060 \h </w:instrText>
      </w:r>
      <w:r>
        <w:fldChar w:fldCharType="separate"/>
      </w:r>
      <w:r>
        <w:t>12</w:t>
      </w:r>
      <w:r>
        <w:fldChar w:fldCharType="end"/>
      </w:r>
    </w:p>
    <w:p>
      <w:pPr>
        <w:pStyle w:val="TOC8"/>
        <w:rPr>
          <w:sz w:val="24"/>
          <w:szCs w:val="24"/>
        </w:rPr>
      </w:pPr>
      <w:r>
        <w:rPr>
          <w:szCs w:val="24"/>
        </w:rPr>
        <w:t>11D</w:t>
      </w:r>
      <w:r>
        <w:rPr>
          <w:snapToGrid w:val="0"/>
          <w:szCs w:val="24"/>
        </w:rPr>
        <w:t>.</w:t>
      </w:r>
      <w:r>
        <w:rPr>
          <w:snapToGrid w:val="0"/>
          <w:szCs w:val="24"/>
        </w:rPr>
        <w:tab/>
        <w:t>Prescribed stock — section 62(1a)(a)</w:t>
      </w:r>
      <w:r>
        <w:tab/>
      </w:r>
      <w:r>
        <w:fldChar w:fldCharType="begin"/>
      </w:r>
      <w:r>
        <w:instrText xml:space="preserve"> PAGEREF _Toc199049061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The register</w:t>
      </w:r>
      <w:r>
        <w:tab/>
      </w:r>
      <w:r>
        <w:fldChar w:fldCharType="begin"/>
      </w:r>
      <w:r>
        <w:instrText xml:space="preserve"> PAGEREF _Toc199049062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Fee for information in the register</w:t>
      </w:r>
      <w:r>
        <w:tab/>
      </w:r>
      <w:r>
        <w:fldChar w:fldCharType="begin"/>
      </w:r>
      <w:r>
        <w:instrText xml:space="preserve"> PAGEREF _Toc199049063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Applications for brands</w:t>
      </w:r>
      <w:r>
        <w:tab/>
      </w:r>
      <w:r>
        <w:fldChar w:fldCharType="begin"/>
      </w:r>
      <w:r>
        <w:instrText xml:space="preserve"> PAGEREF _Toc199049064 \h </w:instrText>
      </w:r>
      <w:r>
        <w:fldChar w:fldCharType="separate"/>
      </w:r>
      <w:r>
        <w:t>13</w:t>
      </w:r>
      <w:r>
        <w:fldChar w:fldCharType="end"/>
      </w:r>
    </w:p>
    <w:p>
      <w:pPr>
        <w:pStyle w:val="TOC8"/>
        <w:rPr>
          <w:sz w:val="24"/>
          <w:szCs w:val="24"/>
        </w:rPr>
      </w:pPr>
      <w:r>
        <w:rPr>
          <w:szCs w:val="24"/>
        </w:rPr>
        <w:lastRenderedPageBreak/>
        <w:t>15</w:t>
      </w:r>
      <w:r>
        <w:rPr>
          <w:snapToGrid w:val="0"/>
          <w:szCs w:val="24"/>
        </w:rPr>
        <w:t>.</w:t>
      </w:r>
      <w:r>
        <w:rPr>
          <w:snapToGrid w:val="0"/>
          <w:szCs w:val="24"/>
        </w:rPr>
        <w:tab/>
        <w:t>Form of certificate of registration</w:t>
      </w:r>
      <w:r>
        <w:tab/>
      </w:r>
      <w:r>
        <w:fldChar w:fldCharType="begin"/>
      </w:r>
      <w:r>
        <w:instrText xml:space="preserve"> PAGEREF _Toc199049065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Fee for duplicate certificate</w:t>
      </w:r>
      <w:r>
        <w:tab/>
      </w:r>
      <w:r>
        <w:fldChar w:fldCharType="begin"/>
      </w:r>
      <w:r>
        <w:instrText xml:space="preserve"> PAGEREF _Toc199049066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Form of memorandum of transfer of right to registration of brand</w:t>
      </w:r>
      <w:r>
        <w:tab/>
      </w:r>
      <w:r>
        <w:fldChar w:fldCharType="begin"/>
      </w:r>
      <w:r>
        <w:instrText xml:space="preserve"> PAGEREF _Toc199049067 \h </w:instrText>
      </w:r>
      <w:r>
        <w:fldChar w:fldCharType="separate"/>
      </w:r>
      <w:r>
        <w:t>14</w:t>
      </w:r>
      <w:r>
        <w:fldChar w:fldCharType="end"/>
      </w:r>
    </w:p>
    <w:p>
      <w:pPr>
        <w:pStyle w:val="TOC8"/>
        <w:rPr>
          <w:sz w:val="24"/>
          <w:szCs w:val="24"/>
        </w:rPr>
      </w:pPr>
      <w:r>
        <w:rPr>
          <w:szCs w:val="24"/>
        </w:rPr>
        <w:t>17A</w:t>
      </w:r>
      <w:r>
        <w:rPr>
          <w:snapToGrid w:val="0"/>
          <w:szCs w:val="24"/>
        </w:rPr>
        <w:t>.</w:t>
      </w:r>
      <w:r>
        <w:rPr>
          <w:snapToGrid w:val="0"/>
          <w:szCs w:val="24"/>
        </w:rPr>
        <w:tab/>
        <w:t>Cancellation and joint owners</w:t>
      </w:r>
      <w:r>
        <w:tab/>
      </w:r>
      <w:r>
        <w:fldChar w:fldCharType="begin"/>
      </w:r>
      <w:r>
        <w:instrText xml:space="preserve"> PAGEREF _Toc199049068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Application for re</w:t>
      </w:r>
      <w:r>
        <w:rPr>
          <w:snapToGrid w:val="0"/>
          <w:szCs w:val="24"/>
        </w:rPr>
        <w:noBreakHyphen/>
        <w:t>registration</w:t>
      </w:r>
      <w:r>
        <w:tab/>
      </w:r>
      <w:r>
        <w:fldChar w:fldCharType="begin"/>
      </w:r>
      <w:r>
        <w:instrText xml:space="preserve"> PAGEREF _Toc199049069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Inspector may grant permit for use of branding or earmarking equipment</w:t>
      </w:r>
      <w:r>
        <w:tab/>
      </w:r>
      <w:r>
        <w:fldChar w:fldCharType="begin"/>
      </w:r>
      <w:r>
        <w:instrText xml:space="preserve"> PAGEREF _Toc199049070 \h </w:instrText>
      </w:r>
      <w:r>
        <w:fldChar w:fldCharType="separate"/>
      </w:r>
      <w:r>
        <w:t>15</w:t>
      </w:r>
      <w:r>
        <w:fldChar w:fldCharType="end"/>
      </w:r>
    </w:p>
    <w:p>
      <w:pPr>
        <w:pStyle w:val="TOC8"/>
        <w:rPr>
          <w:sz w:val="24"/>
          <w:szCs w:val="24"/>
        </w:rPr>
      </w:pPr>
      <w:r>
        <w:rPr>
          <w:szCs w:val="24"/>
        </w:rPr>
        <w:t>19A</w:t>
      </w:r>
      <w:r>
        <w:rPr>
          <w:snapToGrid w:val="0"/>
          <w:szCs w:val="24"/>
        </w:rPr>
        <w:t>.</w:t>
      </w:r>
      <w:r>
        <w:rPr>
          <w:snapToGrid w:val="0"/>
          <w:szCs w:val="24"/>
        </w:rPr>
        <w:tab/>
        <w:t>Inspector or Police officer to give written notice of requirement</w:t>
      </w:r>
      <w:r>
        <w:tab/>
      </w:r>
      <w:r>
        <w:fldChar w:fldCharType="begin"/>
      </w:r>
      <w:r>
        <w:instrText xml:space="preserve"> PAGEREF _Toc199049071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Form of waybill, and prescribed stock</w:t>
      </w:r>
      <w:r>
        <w:tab/>
      </w:r>
      <w:r>
        <w:fldChar w:fldCharType="begin"/>
      </w:r>
      <w:r>
        <w:instrText xml:space="preserve"> PAGEREF _Toc199049072 \h </w:instrText>
      </w:r>
      <w:r>
        <w:fldChar w:fldCharType="separate"/>
      </w:r>
      <w:r>
        <w:t>16</w:t>
      </w:r>
      <w:r>
        <w:fldChar w:fldCharType="end"/>
      </w:r>
    </w:p>
    <w:p>
      <w:pPr>
        <w:pStyle w:val="TOC8"/>
        <w:rPr>
          <w:sz w:val="24"/>
          <w:szCs w:val="24"/>
        </w:rPr>
      </w:pPr>
      <w:r>
        <w:rPr>
          <w:szCs w:val="24"/>
        </w:rPr>
        <w:t>20A</w:t>
      </w:r>
      <w:r>
        <w:rPr>
          <w:snapToGrid w:val="0"/>
          <w:szCs w:val="24"/>
        </w:rPr>
        <w:t>.</w:t>
      </w:r>
      <w:r>
        <w:rPr>
          <w:snapToGrid w:val="0"/>
          <w:szCs w:val="24"/>
        </w:rPr>
        <w:tab/>
        <w:t>Identification of imported stock</w:t>
      </w:r>
      <w:r>
        <w:tab/>
      </w:r>
      <w:r>
        <w:fldChar w:fldCharType="begin"/>
      </w:r>
      <w:r>
        <w:instrText xml:space="preserve"> PAGEREF _Toc199049073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Removal of stock from run without waybill or other document</w:t>
      </w:r>
      <w:r>
        <w:tab/>
      </w:r>
      <w:r>
        <w:fldChar w:fldCharType="begin"/>
      </w:r>
      <w:r>
        <w:instrText xml:space="preserve"> PAGEREF _Toc199049074 \h </w:instrText>
      </w:r>
      <w:r>
        <w:fldChar w:fldCharType="separate"/>
      </w:r>
      <w:r>
        <w:t>18</w:t>
      </w:r>
      <w:r>
        <w:fldChar w:fldCharType="end"/>
      </w:r>
    </w:p>
    <w:p>
      <w:pPr>
        <w:pStyle w:val="TOC8"/>
        <w:rPr>
          <w:sz w:val="24"/>
          <w:szCs w:val="24"/>
        </w:rPr>
      </w:pPr>
      <w:r>
        <w:rPr>
          <w:szCs w:val="24"/>
        </w:rPr>
        <w:t>20C.</w:t>
      </w:r>
      <w:r>
        <w:rPr>
          <w:szCs w:val="24"/>
        </w:rPr>
        <w:tab/>
        <w:t>Describing multiple brands and earmarks on waybill</w:t>
      </w:r>
      <w:r>
        <w:tab/>
      </w:r>
      <w:r>
        <w:fldChar w:fldCharType="begin"/>
      </w:r>
      <w:r>
        <w:instrText xml:space="preserve"> PAGEREF _Toc199049075 \h </w:instrText>
      </w:r>
      <w:r>
        <w:fldChar w:fldCharType="separate"/>
      </w:r>
      <w:r>
        <w:t>19</w:t>
      </w:r>
      <w:r>
        <w:fldChar w:fldCharType="end"/>
      </w:r>
    </w:p>
    <w:p>
      <w:pPr>
        <w:pStyle w:val="TOC8"/>
        <w:rPr>
          <w:sz w:val="24"/>
          <w:szCs w:val="24"/>
        </w:rPr>
      </w:pPr>
      <w:r>
        <w:rPr>
          <w:szCs w:val="24"/>
        </w:rPr>
        <w:t>20D</w:t>
      </w:r>
      <w:r>
        <w:rPr>
          <w:snapToGrid w:val="0"/>
          <w:szCs w:val="24"/>
        </w:rPr>
        <w:t>.</w:t>
      </w:r>
      <w:r>
        <w:rPr>
          <w:snapToGrid w:val="0"/>
          <w:szCs w:val="24"/>
        </w:rPr>
        <w:tab/>
        <w:t>Persons who are to sign certain documents</w:t>
      </w:r>
      <w:r>
        <w:tab/>
      </w:r>
      <w:r>
        <w:fldChar w:fldCharType="begin"/>
      </w:r>
      <w:r>
        <w:instrText xml:space="preserve"> PAGEREF _Toc199049076 \h </w:instrText>
      </w:r>
      <w:r>
        <w:fldChar w:fldCharType="separate"/>
      </w:r>
      <w:r>
        <w:t>20</w:t>
      </w:r>
      <w:r>
        <w:fldChar w:fldCharType="end"/>
      </w:r>
    </w:p>
    <w:p>
      <w:pPr>
        <w:pStyle w:val="TOC8"/>
        <w:rPr>
          <w:sz w:val="24"/>
          <w:szCs w:val="24"/>
        </w:rPr>
      </w:pPr>
      <w:r>
        <w:rPr>
          <w:szCs w:val="24"/>
        </w:rPr>
        <w:t>20E</w:t>
      </w:r>
      <w:r>
        <w:rPr>
          <w:snapToGrid w:val="0"/>
          <w:szCs w:val="24"/>
        </w:rPr>
        <w:t>.</w:t>
      </w:r>
      <w:r>
        <w:rPr>
          <w:snapToGrid w:val="0"/>
          <w:szCs w:val="24"/>
        </w:rPr>
        <w:tab/>
        <w:t>Certain documents to accompany stock when moved</w:t>
      </w:r>
      <w:r>
        <w:tab/>
      </w:r>
      <w:r>
        <w:fldChar w:fldCharType="begin"/>
      </w:r>
      <w:r>
        <w:instrText xml:space="preserve"> PAGEREF _Toc199049077 \h </w:instrText>
      </w:r>
      <w:r>
        <w:fldChar w:fldCharType="separate"/>
      </w:r>
      <w:r>
        <w:t>21</w:t>
      </w:r>
      <w:r>
        <w:fldChar w:fldCharType="end"/>
      </w:r>
    </w:p>
    <w:p>
      <w:pPr>
        <w:pStyle w:val="TOC8"/>
        <w:rPr>
          <w:sz w:val="24"/>
          <w:szCs w:val="24"/>
        </w:rPr>
      </w:pPr>
      <w:r>
        <w:rPr>
          <w:szCs w:val="24"/>
        </w:rPr>
        <w:t>20F</w:t>
      </w:r>
      <w:r>
        <w:rPr>
          <w:snapToGrid w:val="0"/>
          <w:szCs w:val="24"/>
        </w:rPr>
        <w:t>.</w:t>
      </w:r>
      <w:r>
        <w:rPr>
          <w:snapToGrid w:val="0"/>
          <w:szCs w:val="24"/>
        </w:rPr>
        <w:tab/>
        <w:t>Certain documents to accompany stock when moved by rail</w:t>
      </w:r>
      <w:r>
        <w:tab/>
      </w:r>
      <w:r>
        <w:fldChar w:fldCharType="begin"/>
      </w:r>
      <w:r>
        <w:instrText xml:space="preserve"> PAGEREF _Toc199049078 \h </w:instrText>
      </w:r>
      <w:r>
        <w:fldChar w:fldCharType="separate"/>
      </w:r>
      <w:r>
        <w:t>21</w:t>
      </w:r>
      <w:r>
        <w:fldChar w:fldCharType="end"/>
      </w:r>
    </w:p>
    <w:p>
      <w:pPr>
        <w:pStyle w:val="TOC8"/>
        <w:rPr>
          <w:sz w:val="24"/>
          <w:szCs w:val="24"/>
        </w:rPr>
      </w:pPr>
      <w:r>
        <w:rPr>
          <w:szCs w:val="24"/>
        </w:rPr>
        <w:t>20G</w:t>
      </w:r>
      <w:r>
        <w:rPr>
          <w:snapToGrid w:val="0"/>
          <w:szCs w:val="24"/>
        </w:rPr>
        <w:t>.</w:t>
      </w:r>
      <w:r>
        <w:rPr>
          <w:snapToGrid w:val="0"/>
          <w:szCs w:val="24"/>
        </w:rPr>
        <w:tab/>
        <w:t>Certain documents to be produced if required by Inspector or Police officer</w:t>
      </w:r>
      <w:r>
        <w:tab/>
      </w:r>
      <w:r>
        <w:fldChar w:fldCharType="begin"/>
      </w:r>
      <w:r>
        <w:instrText xml:space="preserve"> PAGEREF _Toc199049079 \h </w:instrText>
      </w:r>
      <w:r>
        <w:fldChar w:fldCharType="separate"/>
      </w:r>
      <w:r>
        <w:t>21</w:t>
      </w:r>
      <w:r>
        <w:fldChar w:fldCharType="end"/>
      </w:r>
    </w:p>
    <w:p>
      <w:pPr>
        <w:pStyle w:val="TOC8"/>
        <w:rPr>
          <w:sz w:val="24"/>
          <w:szCs w:val="24"/>
        </w:rPr>
      </w:pPr>
      <w:r>
        <w:rPr>
          <w:szCs w:val="24"/>
        </w:rPr>
        <w:t>20H</w:t>
      </w:r>
      <w:r>
        <w:rPr>
          <w:snapToGrid w:val="0"/>
          <w:szCs w:val="24"/>
        </w:rPr>
        <w:t>.</w:t>
      </w:r>
      <w:r>
        <w:rPr>
          <w:snapToGrid w:val="0"/>
          <w:szCs w:val="24"/>
        </w:rPr>
        <w:tab/>
        <w:t>Application for and issue of identification exemption certificates</w:t>
      </w:r>
      <w:r>
        <w:tab/>
      </w:r>
      <w:r>
        <w:fldChar w:fldCharType="begin"/>
      </w:r>
      <w:r>
        <w:instrText xml:space="preserve"> PAGEREF _Toc199049080 \h </w:instrText>
      </w:r>
      <w:r>
        <w:fldChar w:fldCharType="separate"/>
      </w:r>
      <w:r>
        <w:t>22</w:t>
      </w:r>
      <w:r>
        <w:fldChar w:fldCharType="end"/>
      </w:r>
    </w:p>
    <w:p>
      <w:pPr>
        <w:pStyle w:val="TOC8"/>
        <w:rPr>
          <w:sz w:val="24"/>
          <w:szCs w:val="24"/>
        </w:rPr>
      </w:pPr>
      <w:r>
        <w:rPr>
          <w:szCs w:val="24"/>
        </w:rPr>
        <w:t>20I</w:t>
      </w:r>
      <w:r>
        <w:rPr>
          <w:snapToGrid w:val="0"/>
          <w:szCs w:val="24"/>
        </w:rPr>
        <w:t>.</w:t>
      </w:r>
      <w:r>
        <w:rPr>
          <w:snapToGrid w:val="0"/>
          <w:szCs w:val="24"/>
        </w:rPr>
        <w:tab/>
        <w:t>Movement permits</w:t>
      </w:r>
      <w:r>
        <w:tab/>
      </w:r>
      <w:r>
        <w:fldChar w:fldCharType="begin"/>
      </w:r>
      <w:r>
        <w:instrText xml:space="preserve"> PAGEREF _Toc199049081 \h </w:instrText>
      </w:r>
      <w:r>
        <w:fldChar w:fldCharType="separate"/>
      </w:r>
      <w:r>
        <w:t>22</w:t>
      </w:r>
      <w:r>
        <w:fldChar w:fldCharType="end"/>
      </w:r>
    </w:p>
    <w:p>
      <w:pPr>
        <w:pStyle w:val="TOC8"/>
        <w:rPr>
          <w:sz w:val="24"/>
          <w:szCs w:val="24"/>
        </w:rPr>
      </w:pPr>
      <w:r>
        <w:rPr>
          <w:szCs w:val="24"/>
        </w:rPr>
        <w:t>20J</w:t>
      </w:r>
      <w:r>
        <w:rPr>
          <w:snapToGrid w:val="0"/>
          <w:szCs w:val="24"/>
        </w:rPr>
        <w:t>.</w:t>
      </w:r>
      <w:r>
        <w:rPr>
          <w:snapToGrid w:val="0"/>
          <w:szCs w:val="24"/>
        </w:rPr>
        <w:tab/>
        <w:t>Prescribed countries — section 49A</w:t>
      </w:r>
      <w:r>
        <w:tab/>
      </w:r>
      <w:r>
        <w:fldChar w:fldCharType="begin"/>
      </w:r>
      <w:r>
        <w:instrText xml:space="preserve"> PAGEREF _Toc199049082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Offences and penalty</w:t>
      </w:r>
      <w:r>
        <w:tab/>
      </w:r>
      <w:r>
        <w:fldChar w:fldCharType="begin"/>
      </w:r>
      <w:r>
        <w:instrText xml:space="preserve"> PAGEREF _Toc199049083 \h </w:instrText>
      </w:r>
      <w:r>
        <w:fldChar w:fldCharType="separate"/>
      </w:r>
      <w:r>
        <w:t>23</w:t>
      </w:r>
      <w:r>
        <w:fldChar w:fldCharType="end"/>
      </w:r>
    </w:p>
    <w:p>
      <w:pPr>
        <w:pStyle w:val="TOC2"/>
        <w:tabs>
          <w:tab w:val="right" w:leader="dot" w:pos="7086"/>
        </w:tabs>
        <w:rPr>
          <w:b w:val="0"/>
          <w:sz w:val="24"/>
          <w:szCs w:val="24"/>
        </w:rPr>
      </w:pPr>
      <w:r>
        <w:rPr>
          <w:szCs w:val="28"/>
        </w:rPr>
        <w:t>Schedule 1 — Form of the register</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_Toc199049087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_Toc199049088 \h </w:instrText>
      </w:r>
      <w:r>
        <w:fldChar w:fldCharType="separate"/>
      </w:r>
      <w:r>
        <w:t>30</w:t>
      </w:r>
      <w:r>
        <w:fldChar w:fldCharType="end"/>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 w:name="_Toc457016667"/>
      <w:bookmarkStart w:id="2" w:name="_Toc518791828"/>
      <w:bookmarkStart w:id="3" w:name="_Toc199049045"/>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4" w:name="_Toc457016668"/>
      <w:bookmarkStart w:id="5" w:name="_Toc518791829"/>
      <w:bookmarkStart w:id="6" w:name="_Toc199049046"/>
      <w:r>
        <w:rPr>
          <w:rStyle w:val="CharSectno"/>
        </w:rPr>
        <w:t>3</w:t>
      </w:r>
      <w:r>
        <w:rPr>
          <w:snapToGrid w:val="0"/>
        </w:rPr>
        <w:t>.</w:t>
      </w:r>
      <w:r>
        <w:rPr>
          <w:snapToGrid w:val="0"/>
        </w:rPr>
        <w:tab/>
        <w:t>Persons who may use registered brands or earmarks</w:t>
      </w:r>
      <w:bookmarkEnd w:id="4"/>
      <w:bookmarkEnd w:id="5"/>
      <w:bookmarkEnd w:id="6"/>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7" w:name="_Toc457016669"/>
      <w:bookmarkStart w:id="8" w:name="_Toc518791830"/>
      <w:bookmarkStart w:id="9" w:name="_Toc199049047"/>
      <w:r>
        <w:rPr>
          <w:rStyle w:val="CharSectno"/>
        </w:rPr>
        <w:t>4</w:t>
      </w:r>
      <w:r>
        <w:rPr>
          <w:snapToGrid w:val="0"/>
        </w:rPr>
        <w:t>.</w:t>
      </w:r>
      <w:r>
        <w:rPr>
          <w:snapToGrid w:val="0"/>
        </w:rPr>
        <w:tab/>
        <w:t>Requirements relating to various means of branding</w:t>
      </w:r>
      <w:bookmarkEnd w:id="7"/>
      <w:bookmarkEnd w:id="8"/>
      <w:bookmarkEnd w:id="9"/>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t>“</w:t>
      </w:r>
      <w:r>
        <w:rPr>
          <w:rStyle w:val="CharDefText"/>
        </w:rPr>
        <w:t>property of origin</w:t>
      </w:r>
      <w:r>
        <w:rPr>
          <w:b/>
        </w:rPr>
        <w:t>”</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0" w:name="_Toc199049048"/>
      <w:bookmarkStart w:id="11" w:name="_Toc457016670"/>
      <w:bookmarkStart w:id="12" w:name="_Toc518791831"/>
      <w:r>
        <w:rPr>
          <w:rStyle w:val="CharSectno"/>
        </w:rPr>
        <w:t>4A</w:t>
      </w:r>
      <w:r>
        <w:t>.</w:t>
      </w:r>
      <w:r>
        <w:tab/>
        <w:t>Manufacture and sale of eartags for identifying sheep, goats and camelids</w:t>
      </w:r>
      <w:bookmarkEnd w:id="10"/>
    </w:p>
    <w:p>
      <w:pPr>
        <w:pStyle w:val="Subsection"/>
      </w:pPr>
      <w:r>
        <w:tab/>
        <w:t>(1)</w:t>
      </w:r>
      <w:r>
        <w:tab/>
        <w:t>In this regulation —</w:t>
      </w:r>
    </w:p>
    <w:p>
      <w:pPr>
        <w:pStyle w:val="Defstart"/>
      </w:pPr>
      <w:r>
        <w:rPr>
          <w:b/>
        </w:rPr>
        <w:tab/>
        <w:t>“</w:t>
      </w:r>
      <w:r>
        <w:rPr>
          <w:rStyle w:val="CharDefText"/>
        </w:rPr>
        <w:t>approved manufacturer</w:t>
      </w:r>
      <w:r>
        <w:rPr>
          <w:b/>
        </w:rPr>
        <w:t>”</w:t>
      </w:r>
      <w:r>
        <w:t>, in relation to an eartag, means a manufacturer of an eartag approved under subregulation (2);</w:t>
      </w:r>
    </w:p>
    <w:p>
      <w:pPr>
        <w:pStyle w:val="Defstart"/>
      </w:pPr>
      <w:r>
        <w:rPr>
          <w:b/>
        </w:rPr>
        <w:tab/>
        <w:t>“</w:t>
      </w:r>
      <w:r>
        <w:rPr>
          <w:rStyle w:val="CharDefText"/>
        </w:rPr>
        <w:t>eartag</w:t>
      </w:r>
      <w:r>
        <w:rPr>
          <w:b/>
        </w:rPr>
        <w:t>”</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3" w:name="_Toc199049049"/>
      <w:r>
        <w:rPr>
          <w:rStyle w:val="CharSectno"/>
        </w:rPr>
        <w:t>5</w:t>
      </w:r>
      <w:r>
        <w:rPr>
          <w:snapToGrid w:val="0"/>
        </w:rPr>
        <w:t>.</w:t>
      </w:r>
      <w:r>
        <w:rPr>
          <w:snapToGrid w:val="0"/>
        </w:rPr>
        <w:tab/>
        <w:t>Age marks for sheep</w:t>
      </w:r>
      <w:bookmarkEnd w:id="11"/>
      <w:bookmarkEnd w:id="12"/>
      <w:bookmarkEnd w:id="13"/>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4" w:name="_Toc457016671"/>
      <w:bookmarkStart w:id="15" w:name="_Toc518791832"/>
      <w:bookmarkStart w:id="16" w:name="_Toc199049050"/>
      <w:r>
        <w:rPr>
          <w:rStyle w:val="CharSectno"/>
        </w:rPr>
        <w:t>6</w:t>
      </w:r>
      <w:r>
        <w:rPr>
          <w:snapToGrid w:val="0"/>
        </w:rPr>
        <w:t>.</w:t>
      </w:r>
      <w:r>
        <w:rPr>
          <w:snapToGrid w:val="0"/>
        </w:rPr>
        <w:tab/>
        <w:t>Use of firebrands or freezebrands, and marking stud cattle</w:t>
      </w:r>
      <w:bookmarkEnd w:id="14"/>
      <w:bookmarkEnd w:id="15"/>
      <w:bookmarkEnd w:id="16"/>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7" w:name="_Toc457016672"/>
      <w:bookmarkStart w:id="18" w:name="_Toc518791833"/>
      <w:bookmarkStart w:id="19" w:name="_Toc199049051"/>
      <w:r>
        <w:rPr>
          <w:rStyle w:val="CharSectno"/>
        </w:rPr>
        <w:t>7</w:t>
      </w:r>
      <w:r>
        <w:rPr>
          <w:snapToGrid w:val="0"/>
        </w:rPr>
        <w:t>.</w:t>
      </w:r>
      <w:r>
        <w:rPr>
          <w:snapToGrid w:val="0"/>
        </w:rPr>
        <w:tab/>
        <w:t>Manner of applying registered brands to horses</w:t>
      </w:r>
      <w:bookmarkEnd w:id="17"/>
      <w:bookmarkEnd w:id="18"/>
      <w:bookmarkEnd w:id="19"/>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0" w:name="_Toc457016673"/>
      <w:bookmarkStart w:id="21" w:name="_Toc518791834"/>
      <w:bookmarkStart w:id="22" w:name="_Toc199049052"/>
      <w:r>
        <w:rPr>
          <w:rStyle w:val="CharSectno"/>
        </w:rPr>
        <w:t>7A</w:t>
      </w:r>
      <w:r>
        <w:rPr>
          <w:snapToGrid w:val="0"/>
        </w:rPr>
        <w:t>.</w:t>
      </w:r>
      <w:r>
        <w:rPr>
          <w:snapToGrid w:val="0"/>
        </w:rPr>
        <w:tab/>
        <w:t>Brands and marks for ostriches</w:t>
      </w:r>
      <w:bookmarkEnd w:id="20"/>
      <w:bookmarkEnd w:id="21"/>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Breed Society mark</w:t>
      </w:r>
      <w:r>
        <w:rPr>
          <w:b/>
        </w:rPr>
        <w:t>”</w:t>
      </w:r>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3" w:name="_Toc457016674"/>
      <w:bookmarkStart w:id="24" w:name="_Toc518791835"/>
      <w:bookmarkStart w:id="25" w:name="_Toc199049053"/>
      <w:r>
        <w:rPr>
          <w:rStyle w:val="CharSectno"/>
        </w:rPr>
        <w:t>8</w:t>
      </w:r>
      <w:r>
        <w:rPr>
          <w:snapToGrid w:val="0"/>
        </w:rPr>
        <w:t>.</w:t>
      </w:r>
      <w:r>
        <w:rPr>
          <w:snapToGrid w:val="0"/>
        </w:rPr>
        <w:tab/>
        <w:t>Cullmarks and Breed Society marks, etc.</w:t>
      </w:r>
      <w:bookmarkEnd w:id="23"/>
      <w:bookmarkEnd w:id="24"/>
      <w:bookmarkEnd w:id="25"/>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6" w:name="_Toc457016675"/>
      <w:bookmarkStart w:id="27" w:name="_Toc518791836"/>
      <w:bookmarkStart w:id="28" w:name="_Toc199049054"/>
      <w:r>
        <w:rPr>
          <w:rStyle w:val="CharSectno"/>
        </w:rPr>
        <w:t>9</w:t>
      </w:r>
      <w:r>
        <w:rPr>
          <w:snapToGrid w:val="0"/>
        </w:rPr>
        <w:t>.</w:t>
      </w:r>
      <w:r>
        <w:rPr>
          <w:snapToGrid w:val="0"/>
        </w:rPr>
        <w:tab/>
        <w:t>Age marks for cattle, buffalo or deer</w:t>
      </w:r>
      <w:bookmarkEnd w:id="26"/>
      <w:bookmarkEnd w:id="27"/>
      <w:bookmarkEnd w:id="28"/>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29" w:name="_Toc457016676"/>
      <w:bookmarkStart w:id="30" w:name="_Toc518791837"/>
      <w:bookmarkStart w:id="31" w:name="_Toc199049055"/>
      <w:r>
        <w:rPr>
          <w:rStyle w:val="CharSectno"/>
        </w:rPr>
        <w:t>9A</w:t>
      </w:r>
      <w:r>
        <w:rPr>
          <w:snapToGrid w:val="0"/>
        </w:rPr>
        <w:t>.</w:t>
      </w:r>
      <w:r>
        <w:rPr>
          <w:snapToGrid w:val="0"/>
        </w:rPr>
        <w:tab/>
        <w:t>Minimum sizes for certain brands and earmark symbols</w:t>
      </w:r>
      <w:bookmarkEnd w:id="29"/>
      <w:bookmarkEnd w:id="30"/>
      <w:bookmarkEnd w:id="31"/>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2" w:name="_Toc457016677"/>
      <w:bookmarkStart w:id="33" w:name="_Toc518791838"/>
      <w:bookmarkStart w:id="34" w:name="_Toc199049056"/>
      <w:r>
        <w:rPr>
          <w:rStyle w:val="CharSectno"/>
        </w:rPr>
        <w:t>10</w:t>
      </w:r>
      <w:r>
        <w:rPr>
          <w:snapToGrid w:val="0"/>
        </w:rPr>
        <w:t>.</w:t>
      </w:r>
      <w:r>
        <w:rPr>
          <w:snapToGrid w:val="0"/>
        </w:rPr>
        <w:tab/>
        <w:t>Manner of applying brands to pigs</w:t>
      </w:r>
      <w:bookmarkEnd w:id="32"/>
      <w:bookmarkEnd w:id="33"/>
      <w:bookmarkEnd w:id="34"/>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5" w:name="_Toc457016678"/>
      <w:bookmarkStart w:id="36" w:name="_Toc518791839"/>
      <w:bookmarkStart w:id="37" w:name="_Toc199049057"/>
      <w:r>
        <w:rPr>
          <w:rStyle w:val="CharSectno"/>
        </w:rPr>
        <w:t>11</w:t>
      </w:r>
      <w:r>
        <w:rPr>
          <w:snapToGrid w:val="0"/>
        </w:rPr>
        <w:t>.</w:t>
      </w:r>
      <w:r>
        <w:rPr>
          <w:snapToGrid w:val="0"/>
        </w:rPr>
        <w:tab/>
        <w:t>Branding of pigs registered with Australian Pig Society</w:t>
      </w:r>
      <w:bookmarkEnd w:id="35"/>
      <w:bookmarkEnd w:id="36"/>
      <w:bookmarkEnd w:id="37"/>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8" w:name="_Toc457016679"/>
      <w:bookmarkStart w:id="39" w:name="_Toc518791840"/>
      <w:bookmarkStart w:id="40" w:name="_Toc199049058"/>
      <w:r>
        <w:rPr>
          <w:rStyle w:val="CharSectno"/>
        </w:rPr>
        <w:t>11A</w:t>
      </w:r>
      <w:r>
        <w:rPr>
          <w:snapToGrid w:val="0"/>
        </w:rPr>
        <w:t>.</w:t>
      </w:r>
      <w:r>
        <w:rPr>
          <w:snapToGrid w:val="0"/>
        </w:rPr>
        <w:tab/>
        <w:t>Prescribed details of identification to appear on waybills</w:t>
      </w:r>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41" w:name="_Toc457016680"/>
      <w:bookmarkStart w:id="42" w:name="_Toc518791841"/>
      <w:bookmarkStart w:id="43" w:name="_Toc199049059"/>
      <w:r>
        <w:rPr>
          <w:rStyle w:val="CharSectno"/>
        </w:rPr>
        <w:t>11B</w:t>
      </w:r>
      <w:r>
        <w:rPr>
          <w:snapToGrid w:val="0"/>
        </w:rPr>
        <w:t>.</w:t>
      </w:r>
      <w:r>
        <w:rPr>
          <w:snapToGrid w:val="0"/>
        </w:rPr>
        <w:tab/>
        <w:t>Prescribed stock — section 50</w:t>
      </w:r>
      <w:bookmarkEnd w:id="41"/>
      <w:bookmarkEnd w:id="42"/>
      <w:bookmarkEnd w:id="43"/>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4" w:name="_Toc457016681"/>
      <w:bookmarkStart w:id="45" w:name="_Toc518791842"/>
      <w:bookmarkStart w:id="46" w:name="_Toc199049060"/>
      <w:r>
        <w:rPr>
          <w:rStyle w:val="CharSectno"/>
        </w:rPr>
        <w:t>11C</w:t>
      </w:r>
      <w:r>
        <w:rPr>
          <w:snapToGrid w:val="0"/>
        </w:rPr>
        <w:t>.</w:t>
      </w:r>
      <w:r>
        <w:rPr>
          <w:snapToGrid w:val="0"/>
        </w:rPr>
        <w:tab/>
        <w:t>Stock required to be marked — section 53B</w:t>
      </w:r>
      <w:bookmarkEnd w:id="44"/>
      <w:bookmarkEnd w:id="45"/>
      <w:bookmarkEnd w:id="46"/>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7" w:name="_Toc457016682"/>
      <w:bookmarkStart w:id="48" w:name="_Toc518791843"/>
      <w:bookmarkStart w:id="49" w:name="_Toc199049061"/>
      <w:r>
        <w:rPr>
          <w:rStyle w:val="CharSectno"/>
        </w:rPr>
        <w:t>11D</w:t>
      </w:r>
      <w:r>
        <w:rPr>
          <w:snapToGrid w:val="0"/>
        </w:rPr>
        <w:t>.</w:t>
      </w:r>
      <w:r>
        <w:rPr>
          <w:snapToGrid w:val="0"/>
        </w:rPr>
        <w:tab/>
        <w:t>Prescribed stock — section 62(1a)(a)</w:t>
      </w:r>
      <w:bookmarkEnd w:id="47"/>
      <w:bookmarkEnd w:id="48"/>
      <w:bookmarkEnd w:id="49"/>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50" w:name="_Toc457016683"/>
      <w:bookmarkStart w:id="51" w:name="_Toc518791844"/>
      <w:bookmarkStart w:id="52" w:name="_Toc199049062"/>
      <w:r>
        <w:rPr>
          <w:rStyle w:val="CharSectno"/>
        </w:rPr>
        <w:t>12</w:t>
      </w:r>
      <w:r>
        <w:rPr>
          <w:snapToGrid w:val="0"/>
        </w:rPr>
        <w:t>.</w:t>
      </w:r>
      <w:r>
        <w:rPr>
          <w:snapToGrid w:val="0"/>
        </w:rPr>
        <w:tab/>
        <w:t>The register</w:t>
      </w:r>
      <w:bookmarkEnd w:id="50"/>
      <w:bookmarkEnd w:id="51"/>
      <w:bookmarkEnd w:id="52"/>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3" w:name="_Toc457016684"/>
      <w:bookmarkStart w:id="54" w:name="_Toc518791845"/>
      <w:bookmarkStart w:id="55" w:name="_Toc199049063"/>
      <w:r>
        <w:rPr>
          <w:rStyle w:val="CharSectno"/>
        </w:rPr>
        <w:t>13</w:t>
      </w:r>
      <w:r>
        <w:rPr>
          <w:snapToGrid w:val="0"/>
        </w:rPr>
        <w:t>.</w:t>
      </w:r>
      <w:r>
        <w:rPr>
          <w:snapToGrid w:val="0"/>
        </w:rPr>
        <w:tab/>
        <w:t>Fee for information in the register</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6" w:name="_Toc457016685"/>
      <w:bookmarkStart w:id="57" w:name="_Toc518791846"/>
      <w:bookmarkStart w:id="58" w:name="_Toc199049064"/>
      <w:r>
        <w:rPr>
          <w:rStyle w:val="CharSectno"/>
        </w:rPr>
        <w:t>14</w:t>
      </w:r>
      <w:r>
        <w:rPr>
          <w:snapToGrid w:val="0"/>
        </w:rPr>
        <w:t>.</w:t>
      </w:r>
      <w:r>
        <w:rPr>
          <w:snapToGrid w:val="0"/>
        </w:rPr>
        <w:tab/>
        <w:t>Applications for brands</w:t>
      </w:r>
      <w:bookmarkEnd w:id="56"/>
      <w:bookmarkEnd w:id="57"/>
      <w:bookmarkEnd w:id="58"/>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59" w:name="_Toc457016686"/>
      <w:bookmarkStart w:id="60" w:name="_Toc518791847"/>
      <w:bookmarkStart w:id="61" w:name="_Toc199049065"/>
      <w:r>
        <w:rPr>
          <w:rStyle w:val="CharSectno"/>
        </w:rPr>
        <w:t>15</w:t>
      </w:r>
      <w:r>
        <w:rPr>
          <w:snapToGrid w:val="0"/>
        </w:rPr>
        <w:t>.</w:t>
      </w:r>
      <w:r>
        <w:rPr>
          <w:snapToGrid w:val="0"/>
        </w:rPr>
        <w:tab/>
        <w:t>Form of certificate of registration</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2" w:name="_Toc457016687"/>
      <w:bookmarkStart w:id="63" w:name="_Toc518791848"/>
      <w:bookmarkStart w:id="64" w:name="_Toc199049066"/>
      <w:r>
        <w:rPr>
          <w:rStyle w:val="CharSectno"/>
        </w:rPr>
        <w:t>16</w:t>
      </w:r>
      <w:r>
        <w:rPr>
          <w:snapToGrid w:val="0"/>
        </w:rPr>
        <w:t>.</w:t>
      </w:r>
      <w:r>
        <w:rPr>
          <w:snapToGrid w:val="0"/>
        </w:rPr>
        <w:tab/>
        <w:t>Fee for duplicate certificate</w:t>
      </w:r>
      <w:bookmarkEnd w:id="62"/>
      <w:bookmarkEnd w:id="63"/>
      <w:bookmarkEnd w:id="64"/>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5" w:name="_Toc457016688"/>
      <w:bookmarkStart w:id="66" w:name="_Toc518791849"/>
      <w:bookmarkStart w:id="67" w:name="_Toc199049067"/>
      <w:r>
        <w:rPr>
          <w:rStyle w:val="CharSectno"/>
        </w:rPr>
        <w:t>17</w:t>
      </w:r>
      <w:r>
        <w:rPr>
          <w:snapToGrid w:val="0"/>
        </w:rPr>
        <w:t>.</w:t>
      </w:r>
      <w:r>
        <w:rPr>
          <w:snapToGrid w:val="0"/>
        </w:rPr>
        <w:tab/>
        <w:t>Form of memorandum of transfer of right to registration of brand</w:t>
      </w:r>
      <w:bookmarkEnd w:id="65"/>
      <w:bookmarkEnd w:id="66"/>
      <w:bookmarkEnd w:id="67"/>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8" w:name="_Toc457016689"/>
      <w:bookmarkStart w:id="69" w:name="_Toc518791850"/>
      <w:bookmarkStart w:id="70" w:name="_Toc199049068"/>
      <w:r>
        <w:rPr>
          <w:rStyle w:val="CharSectno"/>
        </w:rPr>
        <w:t>17A</w:t>
      </w:r>
      <w:r>
        <w:rPr>
          <w:snapToGrid w:val="0"/>
        </w:rPr>
        <w:t>.</w:t>
      </w:r>
      <w:r>
        <w:rPr>
          <w:snapToGrid w:val="0"/>
        </w:rPr>
        <w:tab/>
        <w:t>Cancellation and joint owners</w:t>
      </w:r>
      <w:bookmarkEnd w:id="68"/>
      <w:bookmarkEnd w:id="69"/>
      <w:bookmarkEnd w:id="70"/>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1" w:name="_Toc457016690"/>
      <w:bookmarkStart w:id="72" w:name="_Toc518791851"/>
      <w:bookmarkStart w:id="73" w:name="_Toc199049069"/>
      <w:r>
        <w:rPr>
          <w:rStyle w:val="CharSectno"/>
        </w:rPr>
        <w:t>18</w:t>
      </w:r>
      <w:r>
        <w:rPr>
          <w:snapToGrid w:val="0"/>
        </w:rPr>
        <w:t>.</w:t>
      </w:r>
      <w:r>
        <w:rPr>
          <w:snapToGrid w:val="0"/>
        </w:rPr>
        <w:tab/>
        <w:t>Application for re</w:t>
      </w:r>
      <w:r>
        <w:rPr>
          <w:snapToGrid w:val="0"/>
        </w:rPr>
        <w:noBreakHyphen/>
        <w:t>registration</w:t>
      </w:r>
      <w:bookmarkEnd w:id="71"/>
      <w:bookmarkEnd w:id="72"/>
      <w:bookmarkEnd w:id="73"/>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4" w:name="_Toc457016691"/>
      <w:bookmarkStart w:id="75" w:name="_Toc518791852"/>
      <w:bookmarkStart w:id="76" w:name="_Toc199049070"/>
      <w:r>
        <w:rPr>
          <w:rStyle w:val="CharSectno"/>
        </w:rPr>
        <w:t>19</w:t>
      </w:r>
      <w:r>
        <w:rPr>
          <w:snapToGrid w:val="0"/>
        </w:rPr>
        <w:t>.</w:t>
      </w:r>
      <w:r>
        <w:rPr>
          <w:snapToGrid w:val="0"/>
        </w:rPr>
        <w:tab/>
        <w:t>Inspector may grant permit for use of branding or earmarking equipment</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7" w:name="_Toc457016692"/>
      <w:bookmarkStart w:id="78" w:name="_Toc518791853"/>
      <w:bookmarkStart w:id="79" w:name="_Toc199049071"/>
      <w:r>
        <w:rPr>
          <w:rStyle w:val="CharSectno"/>
        </w:rPr>
        <w:t>19A</w:t>
      </w:r>
      <w:r>
        <w:rPr>
          <w:snapToGrid w:val="0"/>
        </w:rPr>
        <w:t>.</w:t>
      </w:r>
      <w:r>
        <w:rPr>
          <w:snapToGrid w:val="0"/>
        </w:rPr>
        <w:tab/>
        <w:t>Inspector or Police officer to give written notice of requirement</w:t>
      </w:r>
      <w:bookmarkEnd w:id="77"/>
      <w:bookmarkEnd w:id="78"/>
      <w:bookmarkEnd w:id="79"/>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80" w:name="_Toc457016693"/>
      <w:bookmarkStart w:id="81" w:name="_Toc518791854"/>
      <w:bookmarkStart w:id="82" w:name="_Toc199049072"/>
      <w:r>
        <w:rPr>
          <w:rStyle w:val="CharSectno"/>
        </w:rPr>
        <w:t>20</w:t>
      </w:r>
      <w:r>
        <w:rPr>
          <w:snapToGrid w:val="0"/>
        </w:rPr>
        <w:t>.</w:t>
      </w:r>
      <w:r>
        <w:rPr>
          <w:snapToGrid w:val="0"/>
        </w:rPr>
        <w:tab/>
        <w:t>Form of waybill, and prescribed stock</w:t>
      </w:r>
      <w:bookmarkEnd w:id="80"/>
      <w:bookmarkEnd w:id="81"/>
      <w:bookmarkEnd w:id="82"/>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t>“</w:t>
      </w:r>
      <w:r>
        <w:rPr>
          <w:rStyle w:val="CharDefText"/>
        </w:rPr>
        <w:t>number plate</w:t>
      </w:r>
      <w:r>
        <w:rPr>
          <w:b/>
        </w:rPr>
        <w:t>”</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83" w:name="_Toc457016694"/>
      <w:bookmarkStart w:id="84" w:name="_Toc518791855"/>
      <w:bookmarkStart w:id="85" w:name="_Toc199049073"/>
      <w:r>
        <w:rPr>
          <w:rStyle w:val="CharSectno"/>
        </w:rPr>
        <w:t>20A</w:t>
      </w:r>
      <w:r>
        <w:rPr>
          <w:snapToGrid w:val="0"/>
        </w:rPr>
        <w:t>.</w:t>
      </w:r>
      <w:r>
        <w:rPr>
          <w:snapToGrid w:val="0"/>
        </w:rPr>
        <w:tab/>
        <w:t>Identification of imported stock</w:t>
      </w:r>
      <w:bookmarkEnd w:id="83"/>
      <w:bookmarkEnd w:id="84"/>
      <w:bookmarkEnd w:id="85"/>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6" w:name="_Toc457016695"/>
      <w:bookmarkStart w:id="87" w:name="_Toc518791856"/>
      <w:bookmarkStart w:id="88" w:name="_Toc199049074"/>
      <w:r>
        <w:rPr>
          <w:rStyle w:val="CharSectno"/>
        </w:rPr>
        <w:t>20B</w:t>
      </w:r>
      <w:r>
        <w:rPr>
          <w:snapToGrid w:val="0"/>
        </w:rPr>
        <w:t>.</w:t>
      </w:r>
      <w:r>
        <w:rPr>
          <w:snapToGrid w:val="0"/>
        </w:rPr>
        <w:tab/>
        <w:t>Removal of stock from run without waybill</w:t>
      </w:r>
      <w:bookmarkEnd w:id="86"/>
      <w:bookmarkEnd w:id="87"/>
      <w:r>
        <w:rPr>
          <w:snapToGrid w:val="0"/>
        </w:rPr>
        <w:t xml:space="preserve"> or other document</w:t>
      </w:r>
      <w:bookmarkEnd w:id="88"/>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89" w:name="_Toc457016696"/>
      <w:bookmarkStart w:id="90" w:name="_Toc518791857"/>
      <w:bookmarkStart w:id="91" w:name="_Toc199049075"/>
      <w:r>
        <w:rPr>
          <w:rStyle w:val="CharSectno"/>
        </w:rPr>
        <w:t>20C</w:t>
      </w:r>
      <w:r>
        <w:t>.</w:t>
      </w:r>
      <w:r>
        <w:tab/>
        <w:t>Describing multiple brands and earmarks on waybill</w:t>
      </w:r>
      <w:bookmarkEnd w:id="89"/>
      <w:bookmarkEnd w:id="90"/>
      <w:bookmarkEnd w:id="91"/>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b/>
          <w:snapToGrid w:val="0"/>
        </w:rPr>
        <w:t>“</w:t>
      </w:r>
      <w:r>
        <w:rPr>
          <w:rStyle w:val="CharDefText"/>
        </w:rPr>
        <w:t>other document</w:t>
      </w:r>
      <w:r>
        <w:rPr>
          <w:b/>
          <w:snapToGrid w:val="0"/>
        </w:rPr>
        <w: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2" w:name="_Toc457016697"/>
      <w:bookmarkStart w:id="93" w:name="_Toc518791858"/>
      <w:bookmarkStart w:id="94" w:name="_Toc199049076"/>
      <w:r>
        <w:rPr>
          <w:rStyle w:val="CharSectno"/>
        </w:rPr>
        <w:t>20D</w:t>
      </w:r>
      <w:r>
        <w:rPr>
          <w:snapToGrid w:val="0"/>
        </w:rPr>
        <w:t>.</w:t>
      </w:r>
      <w:r>
        <w:rPr>
          <w:snapToGrid w:val="0"/>
        </w:rPr>
        <w:tab/>
        <w:t>Persons who are to sign certain documents</w:t>
      </w:r>
      <w:bookmarkEnd w:id="92"/>
      <w:bookmarkEnd w:id="93"/>
      <w:bookmarkEnd w:id="94"/>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95" w:name="_Toc457016698"/>
      <w:bookmarkStart w:id="96" w:name="_Toc518791859"/>
      <w:bookmarkStart w:id="97" w:name="_Toc199049077"/>
      <w:r>
        <w:rPr>
          <w:rStyle w:val="CharSectno"/>
        </w:rPr>
        <w:t>20E</w:t>
      </w:r>
      <w:r>
        <w:rPr>
          <w:snapToGrid w:val="0"/>
        </w:rPr>
        <w:t>.</w:t>
      </w:r>
      <w:r>
        <w:rPr>
          <w:snapToGrid w:val="0"/>
        </w:rPr>
        <w:tab/>
        <w:t>Certain documents to accompany stock when moved</w:t>
      </w:r>
      <w:bookmarkEnd w:id="95"/>
      <w:bookmarkEnd w:id="96"/>
      <w:bookmarkEnd w:id="97"/>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98" w:name="_Toc457016699"/>
      <w:bookmarkStart w:id="99" w:name="_Toc518791860"/>
      <w:bookmarkStart w:id="100" w:name="_Toc199049078"/>
      <w:r>
        <w:rPr>
          <w:rStyle w:val="CharSectno"/>
        </w:rPr>
        <w:t>20F</w:t>
      </w:r>
      <w:r>
        <w:rPr>
          <w:snapToGrid w:val="0"/>
        </w:rPr>
        <w:t>.</w:t>
      </w:r>
      <w:r>
        <w:rPr>
          <w:snapToGrid w:val="0"/>
        </w:rPr>
        <w:tab/>
        <w:t>Certain documents to accompany stock when moved by rail</w:t>
      </w:r>
      <w:bookmarkEnd w:id="98"/>
      <w:bookmarkEnd w:id="99"/>
      <w:bookmarkEnd w:id="100"/>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1" w:name="_Toc457016700"/>
      <w:bookmarkStart w:id="102" w:name="_Toc518791861"/>
      <w:bookmarkStart w:id="103" w:name="_Toc199049079"/>
      <w:r>
        <w:rPr>
          <w:rStyle w:val="CharSectno"/>
        </w:rPr>
        <w:t>20G</w:t>
      </w:r>
      <w:r>
        <w:rPr>
          <w:snapToGrid w:val="0"/>
        </w:rPr>
        <w:t>.</w:t>
      </w:r>
      <w:r>
        <w:rPr>
          <w:snapToGrid w:val="0"/>
        </w:rPr>
        <w:tab/>
        <w:t>Certain documents to be produced if required by Inspector or Police officer</w:t>
      </w:r>
      <w:bookmarkEnd w:id="101"/>
      <w:bookmarkEnd w:id="102"/>
      <w:bookmarkEnd w:id="103"/>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4" w:name="_Toc457016701"/>
      <w:bookmarkStart w:id="105" w:name="_Toc518791862"/>
      <w:bookmarkStart w:id="106" w:name="_Toc199049080"/>
      <w:r>
        <w:rPr>
          <w:rStyle w:val="CharSectno"/>
        </w:rPr>
        <w:t>20H</w:t>
      </w:r>
      <w:r>
        <w:rPr>
          <w:snapToGrid w:val="0"/>
        </w:rPr>
        <w:t>.</w:t>
      </w:r>
      <w:r>
        <w:rPr>
          <w:snapToGrid w:val="0"/>
        </w:rPr>
        <w:tab/>
        <w:t>Application for and issue of identification exemption certificates</w:t>
      </w:r>
      <w:bookmarkEnd w:id="104"/>
      <w:bookmarkEnd w:id="105"/>
      <w:bookmarkEnd w:id="106"/>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b/>
          <w:snapToGrid w:val="0"/>
        </w:rPr>
        <w:t>“</w:t>
      </w:r>
      <w:r>
        <w:rPr>
          <w:rStyle w:val="CharDefText"/>
        </w:rPr>
        <w:t>evidence</w:t>
      </w:r>
      <w:r>
        <w:rPr>
          <w:b/>
          <w:snapToGrid w:val="0"/>
        </w:rPr>
        <w:t>”</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07" w:name="_Toc457016702"/>
      <w:bookmarkStart w:id="108" w:name="_Toc518791863"/>
      <w:bookmarkStart w:id="109" w:name="_Toc199049081"/>
      <w:r>
        <w:rPr>
          <w:rStyle w:val="CharSectno"/>
        </w:rPr>
        <w:t>20I</w:t>
      </w:r>
      <w:r>
        <w:rPr>
          <w:snapToGrid w:val="0"/>
        </w:rPr>
        <w:t>.</w:t>
      </w:r>
      <w:r>
        <w:rPr>
          <w:snapToGrid w:val="0"/>
        </w:rPr>
        <w:tab/>
        <w:t>Movement permits</w:t>
      </w:r>
      <w:bookmarkEnd w:id="107"/>
      <w:bookmarkEnd w:id="108"/>
      <w:bookmarkEnd w:id="109"/>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0" w:name="_Toc457016703"/>
      <w:bookmarkStart w:id="111" w:name="_Toc518791864"/>
      <w:bookmarkStart w:id="112" w:name="_Toc199049082"/>
      <w:r>
        <w:rPr>
          <w:rStyle w:val="CharSectno"/>
        </w:rPr>
        <w:t>20J</w:t>
      </w:r>
      <w:r>
        <w:rPr>
          <w:snapToGrid w:val="0"/>
        </w:rPr>
        <w:t>.</w:t>
      </w:r>
      <w:r>
        <w:rPr>
          <w:snapToGrid w:val="0"/>
        </w:rPr>
        <w:tab/>
        <w:t>Prescribed countries — section 49A</w:t>
      </w:r>
      <w:bookmarkEnd w:id="110"/>
      <w:bookmarkEnd w:id="111"/>
      <w:bookmarkEnd w:id="112"/>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13" w:name="_Toc457016704"/>
      <w:bookmarkStart w:id="114" w:name="_Toc518791865"/>
      <w:bookmarkStart w:id="115" w:name="_Toc199049083"/>
      <w:r>
        <w:rPr>
          <w:rStyle w:val="CharSectno"/>
        </w:rPr>
        <w:t>21</w:t>
      </w:r>
      <w:r>
        <w:rPr>
          <w:snapToGrid w:val="0"/>
        </w:rPr>
        <w:t>.</w:t>
      </w:r>
      <w:r>
        <w:rPr>
          <w:snapToGrid w:val="0"/>
        </w:rPr>
        <w:tab/>
        <w:t>Offences and penalty</w:t>
      </w:r>
      <w:bookmarkEnd w:id="113"/>
      <w:bookmarkEnd w:id="114"/>
      <w:bookmarkEnd w:id="115"/>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6" w:name="_Toc112819385"/>
      <w:bookmarkStart w:id="117" w:name="_Toc112819428"/>
      <w:bookmarkStart w:id="118" w:name="_Toc114978266"/>
      <w:bookmarkStart w:id="119" w:name="_Toc115849065"/>
      <w:bookmarkStart w:id="120" w:name="_Toc115851266"/>
      <w:bookmarkStart w:id="121" w:name="_Toc117992962"/>
      <w:bookmarkStart w:id="122" w:name="_Toc119292186"/>
      <w:bookmarkStart w:id="123" w:name="_Toc138658213"/>
      <w:bookmarkStart w:id="124" w:name="_Toc139267723"/>
      <w:bookmarkStart w:id="125" w:name="_Toc139268618"/>
      <w:bookmarkStart w:id="126" w:name="_Toc146352756"/>
      <w:bookmarkStart w:id="127" w:name="_Toc146427559"/>
      <w:bookmarkStart w:id="128" w:name="_Toc170552952"/>
      <w:bookmarkStart w:id="129" w:name="_Toc170724994"/>
      <w:bookmarkStart w:id="130" w:name="_Toc198969528"/>
      <w:bookmarkStart w:id="131" w:name="_Toc198969644"/>
      <w:bookmarkStart w:id="132" w:name="_Toc199049084"/>
      <w:r>
        <w:rPr>
          <w:rStyle w:val="CharSchNo"/>
        </w:rPr>
        <w:t>Schedule 1</w:t>
      </w:r>
      <w:r>
        <w:t> — </w:t>
      </w:r>
      <w:r>
        <w:rPr>
          <w:rStyle w:val="CharSchText"/>
        </w:rPr>
        <w:t>Form of the register</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33" w:name="_Toc170552954"/>
      <w:bookmarkStart w:id="134" w:name="_Toc170724995"/>
      <w:bookmarkStart w:id="135" w:name="_Toc198969529"/>
      <w:bookmarkStart w:id="136" w:name="_Toc198969645"/>
      <w:bookmarkStart w:id="137" w:name="_Toc199049085"/>
      <w:r>
        <w:rPr>
          <w:rStyle w:val="CharSchNo"/>
        </w:rPr>
        <w:t>Schedule 2</w:t>
      </w:r>
      <w:r>
        <w:t> — </w:t>
      </w:r>
      <w:r>
        <w:rPr>
          <w:rStyle w:val="CharSchText"/>
        </w:rPr>
        <w:t>Fees</w:t>
      </w:r>
      <w:bookmarkEnd w:id="133"/>
      <w:bookmarkEnd w:id="134"/>
      <w:bookmarkEnd w:id="135"/>
      <w:bookmarkEnd w:id="136"/>
      <w:bookmarkEnd w:id="137"/>
    </w:p>
    <w:p>
      <w:pPr>
        <w:pStyle w:val="yShoulderClause"/>
      </w:pPr>
      <w:r>
        <w:t>[r. 13, 14, 16, 17 and 18]</w:t>
      </w:r>
    </w:p>
    <w:p>
      <w:pPr>
        <w:pStyle w:val="yFootnoteheading"/>
      </w:pPr>
      <w:r>
        <w:tab/>
        <w:t>[Heading inserted in Gazette 15 Jun 2007 p. 2762.]</w:t>
      </w:r>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vAlign w:val="center"/>
          </w:tcPr>
          <w:p>
            <w:pPr>
              <w:pStyle w:val="yTable"/>
              <w:keepNext/>
              <w:keepLines/>
              <w:spacing w:before="0"/>
              <w:rPr>
                <w:b/>
              </w:rPr>
            </w:pPr>
            <w:r>
              <w:rPr>
                <w:b/>
              </w:rPr>
              <w:t>Item</w:t>
            </w:r>
          </w:p>
        </w:tc>
        <w:tc>
          <w:tcPr>
            <w:tcW w:w="851" w:type="dxa"/>
            <w:tcBorders>
              <w:top w:val="single" w:sz="4" w:space="0" w:color="auto"/>
              <w:bottom w:val="single" w:sz="4" w:space="0" w:color="auto"/>
            </w:tcBorders>
            <w:vAlign w:val="center"/>
          </w:tcPr>
          <w:p>
            <w:pPr>
              <w:pStyle w:val="yTable"/>
              <w:keepNext/>
              <w:keepLines/>
              <w:tabs>
                <w:tab w:val="left" w:pos="2411"/>
              </w:tabs>
              <w:spacing w:before="0"/>
              <w:rPr>
                <w:b/>
              </w:rPr>
            </w:pPr>
            <w:r>
              <w:rPr>
                <w:b/>
              </w:rPr>
              <w:t>Reg.</w:t>
            </w:r>
          </w:p>
        </w:tc>
        <w:tc>
          <w:tcPr>
            <w:tcW w:w="3685" w:type="dxa"/>
            <w:tcBorders>
              <w:top w:val="single" w:sz="4" w:space="0" w:color="auto"/>
              <w:left w:val="nil"/>
              <w:bottom w:val="single" w:sz="4" w:space="0" w:color="auto"/>
            </w:tcBorders>
            <w:vAlign w:val="center"/>
          </w:tcPr>
          <w:p>
            <w:pPr>
              <w:pStyle w:val="yTable"/>
              <w:keepNext/>
              <w:keepLines/>
              <w:tabs>
                <w:tab w:val="left" w:pos="2411"/>
              </w:tabs>
              <w:spacing w:before="0"/>
              <w:jc w:val="center"/>
              <w:rPr>
                <w:b/>
              </w:rPr>
            </w:pPr>
            <w:r>
              <w:rPr>
                <w:b/>
              </w:rPr>
              <w:t>Service</w:t>
            </w:r>
          </w:p>
        </w:tc>
        <w:tc>
          <w:tcPr>
            <w:tcW w:w="1134" w:type="dxa"/>
            <w:tcBorders>
              <w:top w:val="single" w:sz="4" w:space="0" w:color="auto"/>
              <w:bottom w:val="single" w:sz="4" w:space="0" w:color="auto"/>
            </w:tcBorders>
            <w:vAlign w:val="center"/>
          </w:tcPr>
          <w:p>
            <w:pPr>
              <w:pStyle w:val="yTable"/>
              <w:keepNext/>
              <w:keepLines/>
              <w:spacing w:before="0"/>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 . . . . . . . . . . . .</w:t>
            </w:r>
          </w:p>
        </w:tc>
        <w:tc>
          <w:tcPr>
            <w:tcW w:w="1134" w:type="dxa"/>
          </w:tcPr>
          <w:p>
            <w:pPr>
              <w:pStyle w:val="yTable"/>
              <w:tabs>
                <w:tab w:val="decimal" w:pos="426"/>
              </w:tabs>
              <w:spacing w:before="0"/>
              <w:ind w:firstLine="1"/>
            </w:pPr>
            <w:r>
              <w:br/>
              <w:t>16</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 . . . . . . . . . .</w:t>
            </w:r>
          </w:p>
        </w:tc>
        <w:tc>
          <w:tcPr>
            <w:tcW w:w="1134" w:type="dxa"/>
          </w:tcPr>
          <w:p>
            <w:pPr>
              <w:pStyle w:val="yTable"/>
              <w:tabs>
                <w:tab w:val="decimal" w:pos="426"/>
              </w:tabs>
              <w:spacing w:before="0"/>
              <w:ind w:firstLine="1"/>
            </w:pPr>
            <w:r>
              <w:br/>
              <w:t>33</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 . . . . . . . . . . . . . . .</w:t>
            </w:r>
          </w:p>
        </w:tc>
        <w:tc>
          <w:tcPr>
            <w:tcW w:w="1134" w:type="dxa"/>
          </w:tcPr>
          <w:p>
            <w:pPr>
              <w:pStyle w:val="yTable"/>
              <w:tabs>
                <w:tab w:val="decimal" w:pos="426"/>
              </w:tabs>
              <w:spacing w:before="0"/>
              <w:ind w:firstLine="1"/>
            </w:pPr>
            <w:r>
              <w:br/>
            </w:r>
            <w:r>
              <w:br/>
              <w:t>165</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 . . . . . . . . .</w:t>
            </w:r>
          </w:p>
        </w:tc>
        <w:tc>
          <w:tcPr>
            <w:tcW w:w="1134" w:type="dxa"/>
          </w:tcPr>
          <w:p>
            <w:pPr>
              <w:pStyle w:val="yTable"/>
              <w:tabs>
                <w:tab w:val="decimal" w:pos="426"/>
              </w:tabs>
              <w:spacing w:before="0"/>
              <w:ind w:firstLine="1"/>
            </w:pPr>
            <w:r>
              <w:br/>
            </w:r>
            <w:r>
              <w:br/>
            </w:r>
            <w:r>
              <w:br/>
              <w:t>164</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r>
              <w:t>55</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r>
              <w:t>18</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t>55</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r>
              <w:t>55</w:t>
            </w:r>
          </w:p>
        </w:tc>
      </w:tr>
    </w:tbl>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tab/>
        <w:t>[Schedule 2 inserted in Gazette 15 Jun 2007 p. 2762.]</w:t>
      </w:r>
    </w:p>
    <w:p>
      <w:pPr>
        <w:pStyle w:val="nHeading2"/>
      </w:pPr>
      <w:bookmarkStart w:id="138" w:name="_Toc76546388"/>
      <w:bookmarkStart w:id="139" w:name="_Toc105235344"/>
      <w:bookmarkStart w:id="140" w:name="_Toc105468701"/>
      <w:bookmarkStart w:id="141" w:name="_Toc106442431"/>
      <w:bookmarkStart w:id="142" w:name="_Toc106442867"/>
      <w:bookmarkStart w:id="143" w:name="_Toc106525591"/>
      <w:bookmarkStart w:id="144" w:name="_Toc107800896"/>
      <w:bookmarkStart w:id="145" w:name="_Toc112819387"/>
      <w:bookmarkStart w:id="146" w:name="_Toc112819430"/>
      <w:bookmarkStart w:id="147" w:name="_Toc114978268"/>
      <w:bookmarkStart w:id="148" w:name="_Toc115849067"/>
      <w:bookmarkStart w:id="149" w:name="_Toc115851268"/>
      <w:bookmarkStart w:id="150" w:name="_Toc117992964"/>
      <w:bookmarkStart w:id="151" w:name="_Toc119292188"/>
      <w:bookmarkStart w:id="152" w:name="_Toc138658216"/>
      <w:bookmarkStart w:id="153" w:name="_Toc139267725"/>
      <w:bookmarkStart w:id="154" w:name="_Toc139268620"/>
      <w:bookmarkStart w:id="155" w:name="_Toc146352758"/>
      <w:bookmarkStart w:id="156" w:name="_Toc146427561"/>
      <w:bookmarkStart w:id="157" w:name="_Toc170552955"/>
      <w:bookmarkStart w:id="158" w:name="_Toc170724996"/>
      <w:bookmarkStart w:id="159" w:name="_Toc198969530"/>
      <w:bookmarkStart w:id="160" w:name="_Toc198969646"/>
      <w:bookmarkStart w:id="161" w:name="_Toc199049086"/>
      <w:r>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2" w:name="_Toc199049087"/>
      <w:r>
        <w:rPr>
          <w:snapToGrid w:val="0"/>
        </w:rPr>
        <w:t>Compilation table</w:t>
      </w:r>
      <w:bookmarkEnd w:id="1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sz w:val="19"/>
              </w:rPr>
              <w:t>Gazette</w:t>
            </w:r>
            <w:r>
              <w:rPr>
                <w:sz w:val="19"/>
              </w:rPr>
              <w:t xml:space="preserve"> 22 Dec 1978 p. 4772)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sz w:val="19"/>
              </w:rPr>
            </w:pPr>
            <w:r>
              <w:rPr>
                <w:i/>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sz w:val="19"/>
              </w:rPr>
            </w:pPr>
            <w:r>
              <w:rPr>
                <w:i/>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sz w:val="19"/>
              </w:rPr>
            </w:pPr>
            <w:r>
              <w:rPr>
                <w:i/>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sz w:val="19"/>
              </w:rPr>
            </w:pPr>
            <w:r>
              <w:rPr>
                <w:i/>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sz w:val="19"/>
                <w:vertAlign w:val="superscript"/>
              </w:rPr>
              <w:t> 3</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sz w:val="19"/>
                <w:vertAlign w:val="superscript"/>
              </w:rPr>
              <w:t> 4</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sz w:val="19"/>
              </w:rPr>
            </w:pPr>
            <w:r>
              <w:rPr>
                <w:i/>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sz w:val="19"/>
              </w:rPr>
            </w:pPr>
            <w:r>
              <w:rPr>
                <w:i/>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sz w:val="19"/>
              </w:rPr>
            </w:pPr>
            <w:r>
              <w:rPr>
                <w:i/>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sz w:val="19"/>
              </w:rPr>
            </w:pPr>
            <w:r>
              <w:rPr>
                <w:i/>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sz w:val="19"/>
              </w:rPr>
            </w:pPr>
            <w:r>
              <w:rPr>
                <w:i/>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sz w:val="19"/>
              </w:rPr>
            </w:pPr>
            <w:r>
              <w:rPr>
                <w:i/>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sz w:val="19"/>
              </w:rPr>
            </w:pPr>
            <w:r>
              <w:rPr>
                <w:i/>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sz w:val="19"/>
              </w:rPr>
            </w:pPr>
            <w:r>
              <w:rPr>
                <w:i/>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sz w:val="19"/>
              </w:rPr>
            </w:pPr>
            <w:r>
              <w:rPr>
                <w:i/>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sz w:val="19"/>
              </w:rPr>
            </w:pPr>
            <w:r>
              <w:rPr>
                <w:i/>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sz w:val="19"/>
              </w:rPr>
            </w:pPr>
            <w:r>
              <w:rPr>
                <w:i/>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sz w:val="19"/>
              </w:rPr>
            </w:pPr>
            <w:r>
              <w:rPr>
                <w:i/>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sz w:val="19"/>
              </w:rPr>
            </w:pPr>
            <w:r>
              <w:rPr>
                <w:i/>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3118" w:type="dxa"/>
          </w:tcPr>
          <w:p>
            <w:pPr>
              <w:pStyle w:val="nTable"/>
              <w:spacing w:before="30" w:after="40"/>
              <w:rPr>
                <w:i/>
                <w:sz w:val="19"/>
              </w:rPr>
            </w:pPr>
            <w:r>
              <w:rPr>
                <w:i/>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Pr>
          <w:p>
            <w:pPr>
              <w:pStyle w:val="nTable"/>
              <w:spacing w:before="30"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2006</w:t>
            </w:r>
          </w:p>
        </w:tc>
        <w:tc>
          <w:tcPr>
            <w:tcW w:w="1276" w:type="dxa"/>
          </w:tcPr>
          <w:p>
            <w:pPr>
              <w:pStyle w:val="nTable"/>
              <w:spacing w:before="30" w:after="40"/>
              <w:rPr>
                <w:sz w:val="19"/>
              </w:rPr>
            </w:pPr>
            <w:r>
              <w:rPr>
                <w:sz w:val="19"/>
              </w:rPr>
              <w:t>16 Jun 2006 p. 2120</w:t>
            </w:r>
            <w:r>
              <w:rPr>
                <w:sz w:val="19"/>
              </w:rPr>
              <w:noBreakHyphen/>
              <w:t>1</w:t>
            </w:r>
          </w:p>
        </w:tc>
        <w:tc>
          <w:tcPr>
            <w:tcW w:w="2693" w:type="dxa"/>
          </w:tcPr>
          <w:p>
            <w:pPr>
              <w:pStyle w:val="nTable"/>
              <w:spacing w:before="30" w:after="40"/>
              <w:rPr>
                <w:sz w:val="19"/>
              </w:rPr>
            </w:pPr>
            <w:r>
              <w:rPr>
                <w:sz w:val="19"/>
              </w:rPr>
              <w:t>1 Jul 2006 (see. r. 2)</w:t>
            </w:r>
          </w:p>
        </w:tc>
      </w:tr>
      <w:tr>
        <w:trPr>
          <w:cantSplit/>
        </w:trPr>
        <w:tc>
          <w:tcPr>
            <w:tcW w:w="3118" w:type="dxa"/>
          </w:tcPr>
          <w:p>
            <w:pPr>
              <w:pStyle w:val="nTable"/>
              <w:spacing w:before="30" w:after="40"/>
              <w:ind w:right="170"/>
              <w:rPr>
                <w:i/>
                <w:sz w:val="19"/>
              </w:rPr>
            </w:pPr>
            <w:r>
              <w:rPr>
                <w:i/>
                <w:sz w:val="19"/>
              </w:rPr>
              <w:t>Stock (Identification and Movement) Amendment Regulations 2006</w:t>
            </w:r>
          </w:p>
        </w:tc>
        <w:tc>
          <w:tcPr>
            <w:tcW w:w="1276" w:type="dxa"/>
          </w:tcPr>
          <w:p>
            <w:pPr>
              <w:pStyle w:val="nTable"/>
              <w:spacing w:before="30" w:after="40"/>
              <w:rPr>
                <w:sz w:val="19"/>
              </w:rPr>
            </w:pPr>
            <w:r>
              <w:rPr>
                <w:sz w:val="19"/>
              </w:rPr>
              <w:t>19 Sep 2006 p. 3707-8</w:t>
            </w:r>
          </w:p>
        </w:tc>
        <w:tc>
          <w:tcPr>
            <w:tcW w:w="2693" w:type="dxa"/>
          </w:tcPr>
          <w:p>
            <w:pPr>
              <w:pStyle w:val="nTable"/>
              <w:spacing w:before="30" w:after="40"/>
              <w:rPr>
                <w:sz w:val="19"/>
              </w:rPr>
            </w:pPr>
            <w:r>
              <w:rPr>
                <w:sz w:val="19"/>
              </w:rPr>
              <w:t>19 Sep 2006</w:t>
            </w:r>
          </w:p>
        </w:tc>
      </w:tr>
      <w:tr>
        <w:trPr>
          <w:cantSplit/>
        </w:trPr>
        <w:tc>
          <w:tcPr>
            <w:tcW w:w="3118" w:type="dxa"/>
            <w:tcBorders>
              <w:bottom w:val="single" w:sz="4" w:space="0" w:color="auto"/>
            </w:tcBorders>
          </w:tcPr>
          <w:p>
            <w:pPr>
              <w:pStyle w:val="nTable"/>
              <w:spacing w:before="30" w:after="40"/>
              <w:ind w:right="170"/>
              <w:rPr>
                <w:i/>
                <w:sz w:val="19"/>
              </w:rPr>
            </w:pPr>
            <w:r>
              <w:rPr>
                <w:i/>
                <w:sz w:val="19"/>
              </w:rPr>
              <w:t>Stock (Identification and Movement) Amendment Regulations 2007</w:t>
            </w:r>
          </w:p>
        </w:tc>
        <w:tc>
          <w:tcPr>
            <w:tcW w:w="1276" w:type="dxa"/>
            <w:tcBorders>
              <w:bottom w:val="single" w:sz="4" w:space="0" w:color="auto"/>
            </w:tcBorders>
          </w:tcPr>
          <w:p>
            <w:pPr>
              <w:pStyle w:val="nTable"/>
              <w:spacing w:before="30" w:after="40"/>
              <w:rPr>
                <w:sz w:val="19"/>
              </w:rPr>
            </w:pPr>
            <w:r>
              <w:rPr>
                <w:sz w:val="19"/>
              </w:rPr>
              <w:t>15 Jun 2007 p. 2761</w:t>
            </w:r>
            <w:r>
              <w:rPr>
                <w:sz w:val="19"/>
              </w:rPr>
              <w:noBreakHyphen/>
              <w:t>2</w:t>
            </w:r>
          </w:p>
        </w:tc>
        <w:tc>
          <w:tcPr>
            <w:tcW w:w="2693" w:type="dxa"/>
            <w:tcBorders>
              <w:bottom w:val="single" w:sz="4" w:space="0" w:color="auto"/>
            </w:tcBorders>
          </w:tcPr>
          <w:p>
            <w:pPr>
              <w:pStyle w:val="nTable"/>
              <w:spacing w:before="30" w:after="40"/>
              <w:rPr>
                <w:sz w:val="19"/>
              </w:rPr>
            </w:pPr>
            <w:r>
              <w:rPr>
                <w:snapToGrid w:val="0"/>
                <w:sz w:val="19"/>
                <w:lang w:val="en-US"/>
              </w:rPr>
              <w:t>r. 1 and 2: 15 Jun 2007 (see r. 2(a));</w:t>
            </w:r>
            <w:r>
              <w:rPr>
                <w:snapToGrid w:val="0"/>
                <w:sz w:val="19"/>
                <w:lang w:val="en-US"/>
              </w:rPr>
              <w:br/>
              <w:t>Regulations other than r. 1 and 2: 1 Jul 2007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 w:name="_Toc7405065"/>
      <w:bookmarkStart w:id="164" w:name="_Toc181500909"/>
      <w:bookmarkStart w:id="165" w:name="_Toc193100050"/>
      <w:bookmarkStart w:id="166" w:name="_Toc195003289"/>
      <w:bookmarkStart w:id="167" w:name="_Toc199049088"/>
      <w:r>
        <w:t>Provisions that have not come into operation</w:t>
      </w:r>
      <w:bookmarkEnd w:id="163"/>
      <w:bookmarkEnd w:id="164"/>
      <w:bookmarkEnd w:id="165"/>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Stock (Identification and Movement) Amendment Regulations 2008</w:t>
            </w:r>
            <w:r>
              <w:rPr>
                <w:iCs/>
                <w:sz w:val="19"/>
              </w:rPr>
              <w:t xml:space="preserve"> r. 3 and 4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20 May 2008 p. 1941</w:t>
            </w:r>
          </w:p>
        </w:tc>
        <w:tc>
          <w:tcPr>
            <w:tcW w:w="2693" w:type="dxa"/>
            <w:tcBorders>
              <w:top w:val="single" w:sz="8" w:space="0" w:color="auto"/>
              <w:bottom w:val="single" w:sz="4" w:space="0" w:color="auto"/>
            </w:tcBorders>
          </w:tcPr>
          <w:p>
            <w:pPr>
              <w:pStyle w:val="nTable"/>
              <w:spacing w:after="40"/>
              <w:rPr>
                <w:sz w:val="19"/>
              </w:rPr>
            </w:pPr>
            <w:r>
              <w:rPr>
                <w:sz w:val="19"/>
              </w:rPr>
              <w:t>1 Jul 2008 (see r. 2(b))</w:t>
            </w:r>
          </w:p>
        </w:tc>
      </w:tr>
    </w:tbl>
    <w:p>
      <w:pPr>
        <w:pStyle w:val="nSubsection"/>
        <w:rPr>
          <w:vertAlign w:val="superscript"/>
        </w:rPr>
      </w:pPr>
    </w:p>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Stock (Identification and Movement) Amendment Regulations 2008 </w:t>
      </w:r>
      <w:r>
        <w:rPr>
          <w:iCs/>
          <w:snapToGrid w:val="0"/>
        </w:rPr>
        <w:t xml:space="preserve">r. 3 and 4 </w:t>
      </w:r>
      <w:r>
        <w:rPr>
          <w:snapToGrid w:val="0"/>
        </w:rPr>
        <w:t>had not come into operation.  They read as follows:</w:t>
      </w:r>
    </w:p>
    <w:p>
      <w:pPr>
        <w:pStyle w:val="MiscOpen"/>
      </w:pPr>
      <w: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Stock (Identification and Movement) Regulations 1972</w:t>
      </w:r>
      <w:r>
        <w:t>.</w:t>
      </w:r>
    </w:p>
    <w:p>
      <w:pPr>
        <w:pStyle w:val="nzHeading5"/>
      </w:pPr>
      <w:r>
        <w:rPr>
          <w:rStyle w:val="CharSectno"/>
        </w:rPr>
        <w:t>4</w:t>
      </w:r>
      <w:r>
        <w:t>.</w:t>
      </w:r>
      <w:r>
        <w:tab/>
        <w:t>Schedule 2 amended</w:t>
      </w:r>
    </w:p>
    <w:p>
      <w:pPr>
        <w:pStyle w:val="nzSubsection"/>
      </w:pPr>
      <w:r>
        <w:tab/>
      </w:r>
      <w:r>
        <w:tab/>
        <w:t xml:space="preserve">Schedule 2 items 2, 4 and 5 are amended by deleting “55” and inserting instead — </w:t>
      </w:r>
    </w:p>
    <w:p>
      <w:pPr>
        <w:pStyle w:val="nzSubsection"/>
      </w:pPr>
      <w:r>
        <w:tab/>
      </w:r>
      <w:r>
        <w:tab/>
        <w:t xml:space="preserve">“    </w:t>
      </w:r>
      <w:r>
        <w:rPr>
          <w:sz w:val="22"/>
        </w:rPr>
        <w:t>57</w:t>
      </w:r>
      <w:r>
        <w:t xml:space="preserve">    ”.</w:t>
      </w:r>
      <w:bookmarkStart w:id="168" w:name="UpToHere"/>
      <w:bookmarkEnd w:id="168"/>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339"/>
    <w:docVar w:name="WAFER_20151210160339" w:val="RemoveTrackChanges"/>
    <w:docVar w:name="WAFER_20151210160339_GUID" w:val="64770ab1-faa9-4294-a8a5-9c409fd87b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8396</Words>
  <Characters>38289</Characters>
  <Application>Microsoft Office Word</Application>
  <DocSecurity>0</DocSecurity>
  <Lines>1320</Lines>
  <Paragraphs>791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1972 - 03-e0-02</dc:title>
  <dc:subject/>
  <dc:creator/>
  <cp:keywords/>
  <dc:description/>
  <cp:lastModifiedBy>svcMRProcess</cp:lastModifiedBy>
  <cp:revision>4</cp:revision>
  <cp:lastPrinted>2005-10-25T00:41:00Z</cp:lastPrinted>
  <dcterms:created xsi:type="dcterms:W3CDTF">2015-12-14T20:10:00Z</dcterms:created>
  <dcterms:modified xsi:type="dcterms:W3CDTF">2015-12-14T20:10:00Z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20080520</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AsAtDate">
    <vt:lpwstr>20 May 2008</vt:lpwstr>
  </property>
  <property fmtid="{D5CDD505-2E9C-101B-9397-08002B2CF9AE}" pid="8" name="Suffix">
    <vt:lpwstr>03-e0-02</vt:lpwstr>
  </property>
</Properties>
</file>