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_Toc199749229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_Toc199749230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_Toc199749231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_Toc199749232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_Toc199749233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_Toc199749234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_Toc199749235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_Toc199749236 \h </w:instrText>
      </w:r>
      <w:r>
        <w:fldChar w:fldCharType="separate"/>
      </w:r>
      <w:r>
        <w:t>10</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_Toc199749237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_Toc199749238 \h </w:instrText>
      </w:r>
      <w:r>
        <w:fldChar w:fldCharType="separate"/>
      </w:r>
      <w:r>
        <w:t>12</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_Toc199749239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_Toc199749240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_Toc199749241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_Toc199749242 \h </w:instrText>
      </w:r>
      <w:r>
        <w:fldChar w:fldCharType="separate"/>
      </w:r>
      <w:r>
        <w:t>15</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_Toc199749243 \h </w:instrText>
      </w:r>
      <w:r>
        <w:fldChar w:fldCharType="separate"/>
      </w:r>
      <w:r>
        <w:t>16</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_Toc199749244 \h </w:instrText>
      </w:r>
      <w:r>
        <w:fldChar w:fldCharType="separate"/>
      </w:r>
      <w:r>
        <w:t>16</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_Toc199749245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_Toc199749246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_Toc199749247 \h </w:instrText>
      </w:r>
      <w:r>
        <w:fldChar w:fldCharType="separate"/>
      </w:r>
      <w:r>
        <w:t>18</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_Toc199749248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_Toc199749249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_Toc199749250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_Toc199749251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_Toc199749252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_Toc199749253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_Toc199749254 \h </w:instrText>
      </w:r>
      <w:r>
        <w:fldChar w:fldCharType="separate"/>
      </w:r>
      <w:r>
        <w:t>27</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_Toc199749255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_Toc199749256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_Toc199749257 \h </w:instrText>
      </w:r>
      <w:r>
        <w:fldChar w:fldCharType="separate"/>
      </w:r>
      <w:r>
        <w:t>28</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_Toc199749258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_Toc199749259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_Toc199749260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_Toc199749261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_Toc199749262 \h </w:instrText>
      </w:r>
      <w:r>
        <w:fldChar w:fldCharType="separate"/>
      </w:r>
      <w:r>
        <w:t>36</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_Toc199749263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_Toc199749264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_Toc199749265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_Toc199749266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_Toc199749267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_Toc199749268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_Toc199749269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_Toc199749270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_Toc199749271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_Toc199749272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_Toc199749273 \h </w:instrText>
      </w:r>
      <w:r>
        <w:fldChar w:fldCharType="separate"/>
      </w:r>
      <w:r>
        <w:t>41</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_Toc199749274 \h </w:instrText>
      </w:r>
      <w:r>
        <w:fldChar w:fldCharType="separate"/>
      </w:r>
      <w:r>
        <w:t>43</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_Toc199749275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_Toc199749276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_Toc199749277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_Toc199749278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_Toc199749279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_Toc199749280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_Toc199749281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_Toc199749282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_Toc199749283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_Toc199749284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_Toc199749285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_Toc199749286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_Toc199749287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_Toc199749288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_Toc199749289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_Toc199749290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_Toc199749291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_Toc199749292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_Toc199749293 \h </w:instrText>
      </w:r>
      <w:r>
        <w:fldChar w:fldCharType="separate"/>
      </w:r>
      <w:r>
        <w:t>53</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_Toc199749294 \h </w:instrText>
      </w:r>
      <w:r>
        <w:fldChar w:fldCharType="separate"/>
      </w:r>
      <w:r>
        <w:t>54</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_Toc199749295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_Toc199749296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_Toc199749297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_Toc199749298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_Toc199749299 \h </w:instrText>
      </w:r>
      <w:r>
        <w:fldChar w:fldCharType="separate"/>
      </w:r>
      <w:r>
        <w:t>56</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_Toc199749300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_Toc199749301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_Toc199749302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_Toc199749303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_Toc199749304 \h </w:instrText>
      </w:r>
      <w:r>
        <w:fldChar w:fldCharType="separate"/>
      </w:r>
      <w:r>
        <w:t>61</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_Toc199749305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_Toc199749306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_Toc199749307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_Toc199749308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_Toc199749309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_Toc199749310 \h </w:instrText>
      </w:r>
      <w:r>
        <w:fldChar w:fldCharType="separate"/>
      </w:r>
      <w:r>
        <w:t>64</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_Toc199749311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_Toc199749312 \h </w:instrText>
      </w:r>
      <w:r>
        <w:fldChar w:fldCharType="separate"/>
      </w:r>
      <w:r>
        <w:t>66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_Toc199749315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_Toc199749316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199749229"/>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199749230"/>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199749231"/>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199749232"/>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199749233"/>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6" w:name="_Toc521486387"/>
      <w:bookmarkStart w:id="37" w:name="_Toc532633010"/>
      <w:bookmarkStart w:id="38" w:name="_Toc535287216"/>
      <w:bookmarkStart w:id="39" w:name="_Toc113421167"/>
      <w:bookmarkStart w:id="40" w:name="_Toc139441092"/>
      <w:bookmarkStart w:id="41" w:name="_Toc199749234"/>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199749235"/>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199749236"/>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199749237"/>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199749238"/>
      <w:r>
        <w:rPr>
          <w:rStyle w:val="CharSectno"/>
        </w:rPr>
        <w:t>5B</w:t>
      </w:r>
      <w:r>
        <w:rPr>
          <w:snapToGrid w:val="0"/>
        </w:rPr>
        <w:t>.</w:t>
      </w:r>
      <w:r>
        <w:rPr>
          <w:snapToGrid w:val="0"/>
        </w:rPr>
        <w:tab/>
        <w:t>Vacancies</w:t>
      </w:r>
      <w:bookmarkEnd w:id="63"/>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199749239"/>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199749240"/>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199749241"/>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199749242"/>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199749243"/>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5" w:name="_Toc521486397"/>
      <w:bookmarkStart w:id="106" w:name="_Toc532633020"/>
      <w:bookmarkStart w:id="107" w:name="_Toc535287226"/>
      <w:bookmarkStart w:id="108" w:name="_Toc113421177"/>
      <w:bookmarkStart w:id="109" w:name="_Toc139441102"/>
      <w:bookmarkStart w:id="110" w:name="_Toc199749244"/>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199749245"/>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199749246"/>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4" w:name="_Toc521486400"/>
      <w:bookmarkStart w:id="125" w:name="_Toc532633023"/>
      <w:bookmarkStart w:id="126" w:name="_Toc535287229"/>
      <w:bookmarkStart w:id="127" w:name="_Toc113421180"/>
      <w:bookmarkStart w:id="128" w:name="_Toc139441105"/>
      <w:bookmarkStart w:id="129" w:name="_Toc199749247"/>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199749248"/>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199749249"/>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199749250"/>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1" w:name="_Toc521486404"/>
      <w:bookmarkStart w:id="152" w:name="_Toc532633027"/>
      <w:bookmarkStart w:id="153" w:name="_Toc535287233"/>
      <w:bookmarkStart w:id="154" w:name="_Toc113421184"/>
      <w:bookmarkStart w:id="155" w:name="_Toc139441109"/>
      <w:bookmarkStart w:id="156" w:name="_Toc199749251"/>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8" w:name="_Toc521486405"/>
      <w:bookmarkStart w:id="159" w:name="_Toc532633028"/>
      <w:bookmarkStart w:id="160" w:name="_Toc535287234"/>
      <w:bookmarkStart w:id="161" w:name="_Toc113421185"/>
      <w:bookmarkStart w:id="162" w:name="_Toc139441110"/>
      <w:bookmarkStart w:id="163" w:name="_Toc199749252"/>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199749253"/>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199749254"/>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199749255"/>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199749256"/>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199749257"/>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199749258"/>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6" w:name="_Toc521486412"/>
      <w:bookmarkStart w:id="207" w:name="_Toc532633035"/>
      <w:bookmarkStart w:id="208" w:name="_Toc535287241"/>
      <w:bookmarkStart w:id="209" w:name="_Toc113421192"/>
      <w:bookmarkStart w:id="210" w:name="_Toc139441117"/>
      <w:bookmarkStart w:id="211" w:name="_Toc199749259"/>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199749260"/>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199749261"/>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199749262"/>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199749263"/>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199749264"/>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199749265"/>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6" w:name="_Toc199749266"/>
      <w:bookmarkStart w:id="247" w:name="_Toc521486418"/>
      <w:bookmarkStart w:id="248" w:name="_Toc532633041"/>
      <w:bookmarkStart w:id="249" w:name="_Toc535287247"/>
      <w:bookmarkStart w:id="250" w:name="_Toc113421199"/>
      <w:bookmarkStart w:id="251" w:name="_Toc139441124"/>
      <w:bookmarkStart w:id="252" w:name="_Toc517593885"/>
      <w:r>
        <w:rPr>
          <w:rStyle w:val="CharSectno"/>
        </w:rPr>
        <w:t>17</w:t>
      </w:r>
      <w:r>
        <w:t>.</w:t>
      </w:r>
      <w:r>
        <w:tab/>
        <w:t>Powers on investigation</w:t>
      </w:r>
      <w:bookmarkEnd w:id="246"/>
      <w:r>
        <w:t xml:space="preserve"> </w:t>
      </w:r>
      <w:bookmarkEnd w:id="247"/>
      <w:bookmarkEnd w:id="248"/>
      <w:bookmarkEnd w:id="249"/>
      <w:bookmarkEnd w:id="250"/>
      <w:bookmarkEnd w:id="251"/>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199749267"/>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199749268"/>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199749269"/>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69" w:name="_Toc113421203"/>
      <w:bookmarkStart w:id="270" w:name="_Toc139441128"/>
      <w:bookmarkStart w:id="271" w:name="_Toc199749270"/>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199749271"/>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199749272"/>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6" w:name="_Toc521486423"/>
      <w:bookmarkStart w:id="287" w:name="_Toc532633046"/>
      <w:bookmarkStart w:id="288" w:name="_Toc535287252"/>
      <w:bookmarkStart w:id="289" w:name="_Toc113421206"/>
      <w:bookmarkStart w:id="290" w:name="_Toc139441131"/>
      <w:bookmarkStart w:id="291" w:name="_Toc199749273"/>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199749274"/>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99" w:name="_Toc113421208"/>
      <w:bookmarkStart w:id="300" w:name="_Toc139441133"/>
      <w:bookmarkStart w:id="301" w:name="_Toc199749275"/>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199749276"/>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199749277"/>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199749278"/>
      <w:r>
        <w:rPr>
          <w:rStyle w:val="CharSectno"/>
        </w:rPr>
        <w:t>23</w:t>
      </w:r>
      <w:r>
        <w:rPr>
          <w:snapToGrid w:val="0"/>
        </w:rPr>
        <w:t>.</w:t>
      </w:r>
      <w:r>
        <w:rPr>
          <w:snapToGrid w:val="0"/>
        </w:rPr>
        <w:tab/>
        <w:t>Accounts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199749279"/>
      <w:r>
        <w:rPr>
          <w:rStyle w:val="CharSectno"/>
        </w:rPr>
        <w:t>23A</w:t>
      </w:r>
      <w:r>
        <w:rPr>
          <w:snapToGrid w:val="0"/>
        </w:rPr>
        <w:t>.</w:t>
      </w:r>
      <w:r>
        <w:rPr>
          <w:snapToGrid w:val="0"/>
        </w:rPr>
        <w:tab/>
        <w:t>Audit</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199749280"/>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199749281"/>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199749282"/>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199749283"/>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199749284"/>
      <w:r>
        <w:rPr>
          <w:rStyle w:val="CharSectno"/>
        </w:rPr>
        <w:t>25</w:t>
      </w:r>
      <w:r>
        <w:rPr>
          <w:snapToGrid w:val="0"/>
        </w:rPr>
        <w:t>.</w:t>
      </w:r>
      <w:r>
        <w:rPr>
          <w:snapToGrid w:val="0"/>
        </w:rPr>
        <w:tab/>
        <w:t>Interpretation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199749285"/>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199749286"/>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199749287"/>
      <w:r>
        <w:rPr>
          <w:rStyle w:val="CharSectno"/>
        </w:rPr>
        <w:t>28</w:t>
      </w:r>
      <w:r>
        <w:rPr>
          <w:snapToGrid w:val="0"/>
        </w:rPr>
        <w:t>.</w:t>
      </w:r>
      <w:r>
        <w:rPr>
          <w:snapToGrid w:val="0"/>
        </w:rPr>
        <w:tab/>
        <w:t>Panels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199749288"/>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199749289"/>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199749290"/>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199749291"/>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199749292"/>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0" w:name="_Toc521486443"/>
      <w:bookmarkStart w:id="421" w:name="_Toc532633066"/>
      <w:bookmarkStart w:id="422" w:name="_Toc535287272"/>
      <w:bookmarkStart w:id="423" w:name="_Toc113421226"/>
      <w:bookmarkStart w:id="424" w:name="_Toc139441151"/>
      <w:bookmarkStart w:id="425" w:name="_Toc199749293"/>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199749294"/>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199749295"/>
      <w:r>
        <w:rPr>
          <w:rStyle w:val="CharSectno"/>
        </w:rPr>
        <w:t>34A</w:t>
      </w:r>
      <w:r>
        <w:rPr>
          <w:snapToGrid w:val="0"/>
        </w:rPr>
        <w:t>.</w:t>
      </w:r>
      <w:r>
        <w:rPr>
          <w:snapToGrid w:val="0"/>
        </w:rPr>
        <w:tab/>
        <w:t>Disputes Tribunal fees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199749296"/>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199749297"/>
      <w:r>
        <w:rPr>
          <w:rStyle w:val="CharSectno"/>
        </w:rPr>
        <w:t>34C</w:t>
      </w:r>
      <w:r>
        <w:t>.</w:t>
      </w:r>
      <w:r>
        <w:tab/>
        <w:t>Settlement or failure to settle</w:t>
      </w:r>
      <w:bookmarkEnd w:id="446"/>
      <w:bookmarkEnd w:id="447"/>
      <w:bookmarkEnd w:id="448"/>
      <w:bookmarkEnd w:id="449"/>
      <w:bookmarkEnd w:id="450"/>
      <w:bookmarkEnd w:id="451"/>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199749298"/>
      <w:r>
        <w:rPr>
          <w:rStyle w:val="CharSectno"/>
        </w:rPr>
        <w:t>34D</w:t>
      </w:r>
      <w:r>
        <w:t>.</w:t>
      </w:r>
      <w:r>
        <w:tab/>
        <w:t>Qualifications and remuneration of mediators</w:t>
      </w:r>
      <w:bookmarkEnd w:id="452"/>
      <w:bookmarkEnd w:id="453"/>
      <w:bookmarkEnd w:id="454"/>
      <w:bookmarkEnd w:id="455"/>
      <w:bookmarkEnd w:id="456"/>
      <w:bookmarkEnd w:id="45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199749299"/>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199749300"/>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199749301"/>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199749302"/>
      <w:r>
        <w:rPr>
          <w:rStyle w:val="CharSectno"/>
        </w:rPr>
        <w:t>37</w:t>
      </w:r>
      <w:r>
        <w:rPr>
          <w:snapToGrid w:val="0"/>
        </w:rPr>
        <w:t>.</w:t>
      </w:r>
      <w:r>
        <w:rPr>
          <w:snapToGrid w:val="0"/>
        </w:rPr>
        <w:tab/>
        <w:t>Hearings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199749303"/>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199749304"/>
      <w:r>
        <w:rPr>
          <w:rStyle w:val="CharSectno"/>
        </w:rPr>
        <w:t>39</w:t>
      </w:r>
      <w:r>
        <w:rPr>
          <w:snapToGrid w:val="0"/>
        </w:rPr>
        <w:t>.</w:t>
      </w:r>
      <w:r>
        <w:rPr>
          <w:snapToGrid w:val="0"/>
        </w:rPr>
        <w:tab/>
        <w:t>Offences</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199749305"/>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5" w:name="_Toc113421239"/>
      <w:bookmarkStart w:id="506" w:name="_Toc139441164"/>
      <w:bookmarkStart w:id="507" w:name="_Toc199749306"/>
      <w:r>
        <w:rPr>
          <w:rStyle w:val="CharSectno"/>
        </w:rPr>
        <w:t>41</w:t>
      </w:r>
      <w:r>
        <w:rPr>
          <w:snapToGrid w:val="0"/>
        </w:rPr>
        <w:t>.</w:t>
      </w:r>
      <w:r>
        <w:rPr>
          <w:snapToGrid w:val="0"/>
        </w:rPr>
        <w:tab/>
        <w:t>Review</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199749307"/>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199749308"/>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199749309"/>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199749310"/>
      <w:r>
        <w:rPr>
          <w:rStyle w:val="CharSectno"/>
        </w:rPr>
        <w:t>45</w:t>
      </w:r>
      <w:r>
        <w:rPr>
          <w:snapToGrid w:val="0"/>
        </w:rPr>
        <w:t>.</w:t>
      </w:r>
      <w:r>
        <w:rPr>
          <w:snapToGrid w:val="0"/>
        </w:rPr>
        <w:tab/>
        <w:t>Immunity</w:t>
      </w:r>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6" w:name="_Toc521486461"/>
      <w:bookmarkStart w:id="537" w:name="_Toc532633084"/>
      <w:bookmarkStart w:id="538" w:name="_Toc535287290"/>
      <w:bookmarkStart w:id="539" w:name="_Toc113421244"/>
      <w:bookmarkStart w:id="540" w:name="_Toc139441169"/>
      <w:bookmarkStart w:id="541" w:name="_Toc199749311"/>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199749312"/>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2" w:name="_Toc89233612"/>
      <w:bookmarkStart w:id="563" w:name="_Toc90866187"/>
      <w:bookmarkStart w:id="564" w:name="_Toc92443638"/>
      <w:bookmarkStart w:id="565" w:name="_Toc97097069"/>
      <w:bookmarkStart w:id="566" w:name="_Toc101928994"/>
      <w:bookmarkStart w:id="567" w:name="_Toc101929358"/>
      <w:bookmarkStart w:id="568" w:name="_Toc101929446"/>
      <w:bookmarkStart w:id="569" w:name="_Toc102976395"/>
      <w:bookmarkStart w:id="570" w:name="_Toc104699188"/>
      <w:bookmarkStart w:id="571" w:name="_Toc104699276"/>
      <w:bookmarkStart w:id="572" w:name="_Toc109026497"/>
      <w:bookmarkStart w:id="573" w:name="_Toc109027917"/>
      <w:bookmarkStart w:id="574" w:name="_Toc109807228"/>
      <w:bookmarkStart w:id="575" w:name="_Toc112819929"/>
      <w:bookmarkStart w:id="576" w:name="_Toc113421247"/>
      <w:bookmarkStart w:id="577" w:name="_Toc113759801"/>
      <w:bookmarkStart w:id="578" w:name="_Toc113761097"/>
      <w:bookmarkStart w:id="579" w:name="_Toc139342651"/>
      <w:bookmarkStart w:id="580" w:name="_Toc139441172"/>
      <w:bookmarkStart w:id="581" w:name="_Toc156377342"/>
      <w:bookmarkStart w:id="582" w:name="_Toc156377430"/>
      <w:bookmarkStart w:id="583" w:name="_Toc171228956"/>
      <w:bookmarkStart w:id="584" w:name="_Toc171235931"/>
      <w:bookmarkStart w:id="585" w:name="_Toc172090793"/>
      <w:bookmarkStart w:id="586" w:name="_Toc199749314"/>
      <w:r>
        <w:t>Notes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7" w:name="_Toc113421248"/>
      <w:bookmarkStart w:id="588" w:name="_Toc139441173"/>
      <w:bookmarkStart w:id="589" w:name="_Toc199749315"/>
      <w:r>
        <w:rPr>
          <w:snapToGrid w:val="0"/>
        </w:rPr>
        <w:t>Compilation table</w:t>
      </w:r>
      <w:bookmarkEnd w:id="587"/>
      <w:bookmarkEnd w:id="588"/>
      <w:bookmarkEnd w:id="589"/>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2"/>
            <w:tcBorders>
              <w:bottom w:val="single" w:sz="4" w:space="0" w:color="auto"/>
            </w:tcBorders>
          </w:tcPr>
          <w:p>
            <w:pPr>
              <w:pStyle w:val="nTable"/>
              <w:spacing w:after="40"/>
              <w:rPr>
                <w:sz w:val="19"/>
              </w:rPr>
            </w:pPr>
            <w:r>
              <w:rPr>
                <w:sz w:val="19"/>
              </w:rPr>
              <w:t xml:space="preserve">14 Jul 2007 (see s. 2 and </w:t>
            </w:r>
            <w:r>
              <w:rPr>
                <w:i/>
                <w:iCs/>
                <w:sz w:val="19"/>
              </w:rPr>
              <w:t>Gazette</w:t>
            </w:r>
            <w:r>
              <w:rPr>
                <w:sz w:val="19"/>
              </w:rPr>
              <w:t xml:space="preserve"> 13 Jul 2007 p. 3453)</w:t>
            </w:r>
          </w:p>
        </w:tc>
      </w:tr>
    </w:tbl>
    <w:p>
      <w:pPr>
        <w:pStyle w:val="nSubsection"/>
        <w:spacing w:before="360"/>
        <w:ind w:left="482" w:hanging="482"/>
      </w:pPr>
      <w:r>
        <w:rPr>
          <w:vertAlign w:val="superscript"/>
        </w:rPr>
        <w:t>1a</w:t>
      </w:r>
      <w:r>
        <w:tab/>
        <w:t>On the date as at which thi</w:t>
      </w:r>
      <w:bookmarkStart w:id="590" w:name="_Hlt507390729"/>
      <w:bookmarkEnd w:id="59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1" w:name="_Toc511102521"/>
      <w:bookmarkStart w:id="592" w:name="_Toc521486465"/>
      <w:bookmarkStart w:id="593" w:name="_Toc535287294"/>
      <w:bookmarkStart w:id="594" w:name="_Toc113421249"/>
      <w:bookmarkStart w:id="595" w:name="_Toc139441174"/>
      <w:bookmarkStart w:id="596" w:name="_Toc199749316"/>
      <w:r>
        <w:rPr>
          <w:snapToGrid w:val="0"/>
        </w:rPr>
        <w:t>Provisions that have not come into operation</w:t>
      </w:r>
      <w:bookmarkEnd w:id="591"/>
      <w:bookmarkEnd w:id="592"/>
      <w:bookmarkEnd w:id="593"/>
      <w:bookmarkEnd w:id="594"/>
      <w:bookmarkEnd w:id="595"/>
      <w:bookmarkEnd w:id="596"/>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Local Government (Miscellaneous Provisions) Amendment Act 2007 </w:t>
            </w:r>
            <w:r>
              <w:rPr>
                <w:iCs/>
                <w:snapToGrid w:val="0"/>
                <w:sz w:val="19"/>
                <w:lang w:val="en-US"/>
              </w:rPr>
              <w:t>s. 14 </w:t>
            </w:r>
            <w:r>
              <w:rPr>
                <w:iCs/>
                <w:snapToGrid w:val="0"/>
                <w:sz w:val="19"/>
                <w:vertAlign w:val="superscript"/>
                <w:lang w:val="en-US"/>
              </w:rPr>
              <w:t>13</w:t>
            </w:r>
          </w:p>
        </w:tc>
        <w:tc>
          <w:tcPr>
            <w:tcW w:w="1092" w:type="dxa"/>
          </w:tcPr>
          <w:p>
            <w:pPr>
              <w:pStyle w:val="nTable"/>
              <w:spacing w:after="40"/>
              <w:ind w:right="113"/>
              <w:rPr>
                <w:snapToGrid w:val="0"/>
                <w:sz w:val="19"/>
                <w:lang w:val="en-US"/>
              </w:rPr>
            </w:pPr>
            <w:r>
              <w:rPr>
                <w:snapToGrid w:val="0"/>
                <w:sz w:val="19"/>
                <w:lang w:val="en-US"/>
              </w:rPr>
              <w:t>11 of 2007</w:t>
            </w:r>
          </w:p>
        </w:tc>
        <w:tc>
          <w:tcPr>
            <w:tcW w:w="1200" w:type="dxa"/>
          </w:tcPr>
          <w:p>
            <w:pPr>
              <w:pStyle w:val="nTable"/>
              <w:spacing w:after="40"/>
              <w:ind w:right="113"/>
              <w:rPr>
                <w:snapToGrid w:val="0"/>
                <w:sz w:val="19"/>
                <w:lang w:val="en-US"/>
              </w:rPr>
            </w:pPr>
            <w:r>
              <w:rPr>
                <w:snapToGrid w:val="0"/>
                <w:sz w:val="19"/>
                <w:lang w:val="en-US"/>
              </w:rPr>
              <w:t>29 Jun 2007</w:t>
            </w:r>
          </w:p>
        </w:tc>
        <w:tc>
          <w:tcPr>
            <w:tcW w:w="2528" w:type="dxa"/>
          </w:tcPr>
          <w:p>
            <w:pPr>
              <w:pStyle w:val="nTable"/>
              <w:spacing w:after="40"/>
              <w:ind w:right="113"/>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21 of 2008</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27 May 2008</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w:t>
      </w:r>
      <w:bookmarkStart w:id="597" w:name="UpToHere"/>
      <w:bookmarkEnd w:id="597"/>
      <w:r>
        <w:rPr>
          <w:i/>
          <w:iCs/>
          <w:snapToGrid w:val="0"/>
        </w:rPr>
        <w:t>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Footnote no longer applicable.</w:t>
      </w:r>
    </w:p>
    <w:p>
      <w:pPr>
        <w:pStyle w:val="nSubsection"/>
        <w:keepLines/>
        <w:rPr>
          <w:snapToGrid w:val="0"/>
        </w:rPr>
      </w:pPr>
      <w:bookmarkStart w:id="598" w:name="_Toc170880349"/>
      <w:r>
        <w:rPr>
          <w:snapToGrid w:val="0"/>
          <w:vertAlign w:val="superscript"/>
        </w:rPr>
        <w:t>13</w:t>
      </w:r>
      <w:r>
        <w:rPr>
          <w:snapToGrid w:val="0"/>
        </w:rPr>
        <w:tab/>
      </w:r>
      <w:r>
        <w:t xml:space="preserve">On the date as at which this compilation was prepared, </w:t>
      </w:r>
      <w:r>
        <w:rPr>
          <w:snapToGrid w:val="0"/>
        </w:rPr>
        <w:t xml:space="preserve">the </w:t>
      </w:r>
      <w:r>
        <w:rPr>
          <w:i/>
          <w:iCs/>
          <w:snapToGrid w:val="0"/>
        </w:rPr>
        <w:t xml:space="preserve">Local Government (Miscellaneous Provisions) Amendment Act 2007 </w:t>
      </w:r>
      <w:r>
        <w:rPr>
          <w:snapToGrid w:val="0"/>
        </w:rPr>
        <w:t>s. 14 had not come into operation.  It  reads as follows:</w:t>
      </w:r>
    </w:p>
    <w:p>
      <w:pPr>
        <w:pStyle w:val="MiscOpen"/>
        <w:keepNext w:val="0"/>
        <w:spacing w:before="60"/>
        <w:rPr>
          <w:sz w:val="20"/>
        </w:rPr>
      </w:pPr>
      <w:r>
        <w:rPr>
          <w:sz w:val="20"/>
        </w:rPr>
        <w:t>“</w:t>
      </w:r>
    </w:p>
    <w:p>
      <w:pPr>
        <w:pStyle w:val="nzHeading5"/>
      </w:pPr>
      <w:r>
        <w:rPr>
          <w:rStyle w:val="CharSectno"/>
        </w:rPr>
        <w:t>14</w:t>
      </w:r>
      <w:r>
        <w:t>.</w:t>
      </w:r>
      <w:r>
        <w:tab/>
        <w:t xml:space="preserve">Consequential amendments to the </w:t>
      </w:r>
      <w:r>
        <w:rPr>
          <w:i/>
          <w:iCs/>
        </w:rPr>
        <w:t>Builders’ Registration Act 1939</w:t>
      </w:r>
      <w:bookmarkEnd w:id="598"/>
    </w:p>
    <w:p>
      <w:pPr>
        <w:pStyle w:val="nzSubsection"/>
      </w:pPr>
      <w:r>
        <w:tab/>
        <w:t>(1)</w:t>
      </w:r>
      <w:r>
        <w:tab/>
        <w:t xml:space="preserve">The amendments in this section are to the </w:t>
      </w:r>
      <w:r>
        <w:rPr>
          <w:i/>
          <w:iCs/>
        </w:rPr>
        <w:t>Builders’ Registration Act 1939</w:t>
      </w:r>
      <w:r>
        <w:t>.</w:t>
      </w:r>
    </w:p>
    <w:p>
      <w:pPr>
        <w:pStyle w:val="nzSubsection"/>
      </w:pPr>
      <w:r>
        <w:tab/>
        <w:t>(2)</w:t>
      </w:r>
      <w:r>
        <w:tab/>
        <w:t xml:space="preserve">After section 4B(1) the following subsections are inserted — </w:t>
      </w:r>
    </w:p>
    <w:p>
      <w:pPr>
        <w:pStyle w:val="MiscOpen"/>
        <w:ind w:left="600"/>
      </w:pPr>
      <w:r>
        <w:t xml:space="preserve">“    </w:t>
      </w:r>
    </w:p>
    <w:p>
      <w:pPr>
        <w:pStyle w:val="nz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nzSubsection"/>
      </w:pPr>
      <w:r>
        <w:tab/>
        <w:t>(1b)</w:t>
      </w:r>
      <w:r>
        <w:tab/>
        <w:t>Subsection (1a) applies if and only if the certificate is issued in respect of building work for which no building licence was issued.</w:t>
      </w:r>
    </w:p>
    <w:p>
      <w:pPr>
        <w:pStyle w:val="MiscClose"/>
      </w:pPr>
      <w:r>
        <w:t xml:space="preserve">    ”.</w:t>
      </w:r>
    </w:p>
    <w:p>
      <w:pPr>
        <w:pStyle w:val="nzSubsection"/>
      </w:pPr>
      <w:r>
        <w:tab/>
        <w:t>(3)</w:t>
      </w:r>
      <w:r>
        <w:tab/>
        <w:t>Section 4B(2) is amended as follows:</w:t>
      </w:r>
    </w:p>
    <w:p>
      <w:pPr>
        <w:pStyle w:val="nzIndenta"/>
      </w:pPr>
      <w:r>
        <w:tab/>
        <w:t>(a)</w:t>
      </w:r>
      <w:r>
        <w:tab/>
        <w:t xml:space="preserve">by deleting “referred to in subsection (1)” and inserting instead — </w:t>
      </w:r>
    </w:p>
    <w:p>
      <w:pPr>
        <w:pStyle w:val="nzIndenta"/>
      </w:pPr>
      <w:r>
        <w:tab/>
      </w:r>
      <w:r>
        <w:tab/>
        <w:t>“    or building approval certificate    ”;</w:t>
      </w:r>
    </w:p>
    <w:p>
      <w:pPr>
        <w:pStyle w:val="nzIndenta"/>
      </w:pPr>
      <w:r>
        <w:tab/>
        <w:t>(b)</w:t>
      </w:r>
      <w:r>
        <w:tab/>
        <w:t xml:space="preserve">in paragraph (a) by inserting after “licence” — </w:t>
      </w:r>
    </w:p>
    <w:p>
      <w:pPr>
        <w:pStyle w:val="nzIndenta"/>
      </w:pPr>
      <w:r>
        <w:tab/>
      </w:r>
      <w:r>
        <w:tab/>
        <w:t>“    or certificate    ”;</w:t>
      </w:r>
    </w:p>
    <w:p>
      <w:pPr>
        <w:pStyle w:val="nzIndenta"/>
      </w:pPr>
      <w:r>
        <w:tab/>
        <w:t>(c)</w:t>
      </w:r>
      <w:r>
        <w:tab/>
        <w:t xml:space="preserve">in paragraph (b) by inserting after “subsection (1)” — </w:t>
      </w:r>
    </w:p>
    <w:p>
      <w:pPr>
        <w:pStyle w:val="nzIndenta"/>
      </w:pPr>
      <w:r>
        <w:tab/>
      </w:r>
      <w:r>
        <w:tab/>
        <w:t>“    or (1a)    ”.</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pPr>
      <w:bookmarkStart w:id="599" w:name="_Toc198708617"/>
      <w:r>
        <w:rPr>
          <w:rStyle w:val="CharSectno"/>
        </w:rPr>
        <w:t>641</w:t>
      </w:r>
      <w:r>
        <w:t>.</w:t>
      </w:r>
      <w:r>
        <w:tab/>
      </w:r>
      <w:r>
        <w:rPr>
          <w:i/>
        </w:rPr>
        <w:t>Builders’ Registration Act 1939</w:t>
      </w:r>
      <w:r>
        <w:t xml:space="preserve"> amended</w:t>
      </w:r>
      <w:bookmarkEnd w:id="599"/>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MiscClose"/>
        <w:rPr>
          <w:snapToGrid w:val="0"/>
        </w:rPr>
      </w:pPr>
      <w:r>
        <w:rPr>
          <w:snapToGrid w:val="0"/>
        </w:rP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35"/>
    <w:docVar w:name="WAFER_20151207104435" w:val="RemoveTrackChanges"/>
    <w:docVar w:name="WAFER_20151207104435_GUID" w:val="caf6eac1-cf7a-4e98-ae36-c7871d0675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23540</Words>
  <Characters>110876</Characters>
  <Application>Microsoft Office Word</Application>
  <DocSecurity>0</DocSecurity>
  <Lines>2917</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1939 - 11-h0-02</dc:title>
  <dc:subject/>
  <dc:creator/>
  <cp:keywords/>
  <dc:description/>
  <cp:lastModifiedBy>svcMRProcess</cp:lastModifiedBy>
  <cp:revision>4</cp:revision>
  <cp:lastPrinted>2005-09-20T01:39:00Z</cp:lastPrinted>
  <dcterms:created xsi:type="dcterms:W3CDTF">2015-12-08T14:33:00Z</dcterms:created>
  <dcterms:modified xsi:type="dcterms:W3CDTF">2015-12-08T14:33:00Z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27 May 2008</vt:lpwstr>
  </property>
  <property fmtid="{D5CDD505-2E9C-101B-9397-08002B2CF9AE}" pid="8" name="Suffix">
    <vt:lpwstr>11-h0-02</vt:lpwstr>
  </property>
</Properties>
</file>