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t>Official Prosecutions (Accused’s Costs)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717"/>
      </w:pPr>
      <w:r>
        <w:fldChar w:fldCharType="begin"/>
      </w:r>
      <w:r>
        <w:instrText xml:space="preserve"> STYLEREF "Name Of Act/Reg"</w:instrText>
      </w:r>
      <w:r>
        <w:fldChar w:fldCharType="separate"/>
      </w:r>
      <w:r>
        <w:t>Official Prosecutions (Accused’s Costs) Act 1973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_Toc199754701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_Toc199754702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_Toc199754703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_Toc199754704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Successful accused entitled to costs</w:t>
      </w:r>
      <w:r>
        <w:tab/>
      </w:r>
      <w:r>
        <w:fldChar w:fldCharType="begin"/>
      </w:r>
      <w:r>
        <w:instrText xml:space="preserve"> PAGEREF _Toc199754705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Court may revoke or reduce accused’s entitlement to costs</w:t>
      </w:r>
      <w:r>
        <w:tab/>
      </w:r>
      <w:r>
        <w:fldChar w:fldCharType="begin"/>
      </w:r>
      <w:r>
        <w:instrText xml:space="preserve"> PAGEREF _Toc199754706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Partly successful accused may be awarded costs</w:t>
      </w:r>
      <w:r>
        <w:tab/>
      </w:r>
      <w:r>
        <w:fldChar w:fldCharType="begin"/>
      </w:r>
      <w:r>
        <w:instrText xml:space="preserve"> PAGEREF _Toc199754707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Question of costs may be adjourned to chambers</w:t>
      </w:r>
      <w:r>
        <w:tab/>
      </w:r>
      <w:r>
        <w:fldChar w:fldCharType="begin"/>
      </w:r>
      <w:r>
        <w:instrText xml:space="preserve"> PAGEREF _Toc199754708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Payment of costs ordered</w:t>
      </w:r>
      <w:r>
        <w:tab/>
      </w:r>
      <w:r>
        <w:fldChar w:fldCharType="begin"/>
      </w:r>
      <w:r>
        <w:instrText xml:space="preserve"> PAGEREF _Toc199754709 \h </w:instrText>
      </w:r>
      <w:r>
        <w:fldChar w:fldCharType="separate"/>
      </w:r>
      <w:r>
        <w:t>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_Toc199754711 \h </w:instrText>
      </w:r>
      <w:r>
        <w:fldChar w:fldCharType="separate"/>
      </w:r>
      <w:r>
        <w:t>7</w:t>
      </w:r>
      <w:r>
        <w:fldChar w:fldCharType="end"/>
      </w:r>
    </w:p>
    <w:p>
      <w:pPr>
        <w:pStyle w:val="TOC8"/>
        <w:rPr>
          <w:sz w:val="24"/>
        </w:rPr>
      </w:pPr>
      <w:r>
        <w:rPr>
          <w:snapToGrid w:val="0"/>
        </w:rPr>
        <w:tab/>
        <w:t>Provisions that have not come into operation</w:t>
      </w:r>
      <w:r>
        <w:tab/>
      </w:r>
      <w:r>
        <w:fldChar w:fldCharType="begin"/>
      </w:r>
      <w:r>
        <w:instrText xml:space="preserve"> PAGEREF _Toc199754712 \h </w:instrText>
      </w:r>
      <w:r>
        <w:fldChar w:fldCharType="separate"/>
      </w:r>
      <w:r>
        <w:t>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 xml:space="preserve">An Act to amend the law relating to the payment of costs to accused persons in official prosecutions and for incidental purposes. </w:t>
      </w:r>
    </w:p>
    <w:p>
      <w:pPr>
        <w:pStyle w:val="Footnotelongtitle"/>
      </w:pPr>
      <w:r>
        <w:tab/>
        <w:t>[Long title amended by No. 2 of 2008 s. 67.]</w:t>
      </w:r>
    </w:p>
    <w:p>
      <w:pPr>
        <w:pStyle w:val="Heading5"/>
        <w:keepNext w:val="0"/>
        <w:keepLines w:val="0"/>
        <w:spacing w:before="600"/>
        <w:rPr>
          <w:snapToGrid w:val="0"/>
        </w:rPr>
      </w:pPr>
      <w:bookmarkStart w:id="2" w:name="_Toc447336350"/>
      <w:bookmarkStart w:id="3" w:name="_Toc199754701"/>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w:t>
      </w:r>
      <w:r>
        <w:rPr>
          <w:iCs/>
          <w:snapToGrid w:val="0"/>
          <w:vertAlign w:val="superscript"/>
        </w:rPr>
        <w:t>1</w:t>
      </w:r>
      <w:r>
        <w:rPr>
          <w:snapToGrid w:val="0"/>
        </w:rPr>
        <w:t>.</w:t>
      </w:r>
    </w:p>
    <w:p>
      <w:pPr>
        <w:pStyle w:val="Footnotesection"/>
      </w:pPr>
      <w:r>
        <w:tab/>
        <w:t>[Section 1 amended by No. 84 of 2004 s. 82.]</w:t>
      </w:r>
    </w:p>
    <w:p>
      <w:pPr>
        <w:pStyle w:val="Heading5"/>
        <w:keepNext w:val="0"/>
        <w:keepLines w:val="0"/>
        <w:rPr>
          <w:snapToGrid w:val="0"/>
        </w:rPr>
      </w:pPr>
      <w:bookmarkStart w:id="4" w:name="_Toc447336351"/>
      <w:bookmarkStart w:id="5" w:name="_Toc19975470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r>
        <w:rPr>
          <w:snapToGrid w:val="0"/>
          <w:vertAlign w:val="superscript"/>
        </w:rPr>
        <w:t xml:space="preserve"> </w:t>
      </w:r>
    </w:p>
    <w:p>
      <w:pPr>
        <w:pStyle w:val="Heading5"/>
        <w:keepNext w:val="0"/>
        <w:keepLines w:val="0"/>
        <w:rPr>
          <w:snapToGrid w:val="0"/>
        </w:rPr>
      </w:pPr>
      <w:bookmarkStart w:id="6" w:name="_Toc447336352"/>
      <w:bookmarkStart w:id="7" w:name="_Toc199754703"/>
      <w:r>
        <w:rPr>
          <w:rStyle w:val="CharSectno"/>
        </w:rPr>
        <w:t>3</w:t>
      </w:r>
      <w:r>
        <w:rPr>
          <w:snapToGrid w:val="0"/>
        </w:rPr>
        <w:t>.</w:t>
      </w:r>
      <w:r>
        <w:rPr>
          <w:snapToGrid w:val="0"/>
        </w:rPr>
        <w:tab/>
        <w:t>Application</w:t>
      </w:r>
      <w:bookmarkEnd w:id="6"/>
      <w:bookmarkEnd w:id="7"/>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bookmarkStart w:id="8" w:name="_Toc447336353"/>
      <w:r>
        <w:tab/>
        <w:t>[Section 3 amended by No. 84 of 2004 s. 82.]</w:t>
      </w:r>
    </w:p>
    <w:p>
      <w:pPr>
        <w:pStyle w:val="Heading5"/>
        <w:keepLines w:val="0"/>
        <w:rPr>
          <w:snapToGrid w:val="0"/>
        </w:rPr>
      </w:pPr>
      <w:bookmarkStart w:id="9" w:name="_Toc199754704"/>
      <w:r>
        <w:rPr>
          <w:rStyle w:val="CharSectno"/>
        </w:rPr>
        <w:t>4</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accused</w:t>
      </w:r>
      <w:r>
        <w:t xml:space="preserve"> means a person charged with an offence in an official prosecution;</w:t>
      </w:r>
    </w:p>
    <w:p>
      <w:pPr>
        <w:pStyle w:val="Defstart"/>
      </w:pPr>
      <w:r>
        <w:rPr>
          <w:b/>
        </w:rPr>
        <w:tab/>
      </w:r>
      <w:r>
        <w:rPr>
          <w:rStyle w:val="CharDefText"/>
        </w:rPr>
        <w:t>appeal</w:t>
      </w:r>
      <w:r>
        <w:t xml:space="preserve"> means an appeal against a decision of a summary court given in an official prosecution;</w:t>
      </w:r>
    </w:p>
    <w:p>
      <w:pPr>
        <w:pStyle w:val="Defstart"/>
      </w:pPr>
      <w:r>
        <w:rPr>
          <w:b/>
        </w:rPr>
        <w:tab/>
      </w:r>
      <w:r>
        <w:rPr>
          <w:rStyle w:val="CharDefText"/>
        </w:rPr>
        <w:t>appeal court</w:t>
      </w:r>
      <w:r>
        <w:t xml:space="preserve"> means a court hearing an appeal against a decision of a summary court given in an official prosecution;</w:t>
      </w:r>
    </w:p>
    <w:p>
      <w:pPr>
        <w:pStyle w:val="Defstart"/>
      </w:pPr>
      <w:r>
        <w:rPr>
          <w:b/>
        </w:rPr>
        <w:tab/>
      </w:r>
      <w:r>
        <w:rPr>
          <w:rStyle w:val="CharDefText"/>
        </w:rPr>
        <w:t>costs</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r>
      <w:r>
        <w:rPr>
          <w:rStyle w:val="CharDefText"/>
        </w:rPr>
        <w:t>court</w:t>
      </w:r>
      <w:r>
        <w:t xml:space="preserve"> includes a summary court and an appeal court;</w:t>
      </w:r>
    </w:p>
    <w:p>
      <w:pPr>
        <w:pStyle w:val="Defstart"/>
      </w:pPr>
      <w:r>
        <w:rPr>
          <w:b/>
        </w:rPr>
        <w:tab/>
      </w:r>
      <w:r>
        <w:rPr>
          <w:rStyle w:val="CharDefText"/>
        </w:rPr>
        <w:t>official prosecution</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r>
      <w:r>
        <w:rPr>
          <w:rStyle w:val="CharDefText"/>
        </w:rPr>
        <w:t>public official</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r>
      <w:r>
        <w:rPr>
          <w:rStyle w:val="CharDefText"/>
        </w:rPr>
        <w:t>section</w:t>
      </w:r>
      <w:r>
        <w:t xml:space="preserve"> means a section of this Act; and</w:t>
      </w:r>
    </w:p>
    <w:p>
      <w:pPr>
        <w:pStyle w:val="Defstart"/>
      </w:pPr>
      <w:r>
        <w:rPr>
          <w:b/>
        </w:rPr>
        <w:tab/>
      </w:r>
      <w:r>
        <w:rPr>
          <w:rStyle w:val="CharDefText"/>
        </w:rPr>
        <w:t>summary court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by No. 49 of 1989 s. 55; No. 14 of 1996 s. 4; No. 59 of 2004 s. 141; No. 84 of 2004 s. 56, 80, 82 and 86.]</w:t>
      </w:r>
    </w:p>
    <w:p>
      <w:pPr>
        <w:pStyle w:val="Heading5"/>
        <w:rPr>
          <w:snapToGrid w:val="0"/>
        </w:rPr>
      </w:pPr>
      <w:bookmarkStart w:id="10" w:name="_Toc447336354"/>
      <w:bookmarkStart w:id="11" w:name="_Toc199754705"/>
      <w:r>
        <w:rPr>
          <w:rStyle w:val="CharSectno"/>
        </w:rPr>
        <w:t>5</w:t>
      </w:r>
      <w:r>
        <w:rPr>
          <w:snapToGrid w:val="0"/>
        </w:rPr>
        <w:t>.</w:t>
      </w:r>
      <w:r>
        <w:rPr>
          <w:snapToGrid w:val="0"/>
        </w:rPr>
        <w:tab/>
        <w:t>Successful accused entitled to costs</w:t>
      </w:r>
      <w:bookmarkEnd w:id="10"/>
      <w:bookmarkEnd w:id="11"/>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 xml:space="preserve">The amount of costs ordered, other than court fees, shall be in accordance with the scale fixed from time to time by a legal costs determination (as defined in the </w:t>
      </w:r>
      <w:r>
        <w:rPr>
          <w:i/>
        </w:rPr>
        <w:t>Legal Practice Act 2003</w:t>
      </w:r>
      <w:r>
        <w:t>).</w:t>
      </w:r>
    </w:p>
    <w:p>
      <w:pPr>
        <w:pStyle w:val="Footnotesection"/>
      </w:pPr>
      <w:r>
        <w:tab/>
        <w:t>[Section 5 amended by No. 29 of 1997 s. 4; No. 65 of 2003 s. 54; No. 84 of 2004 s. 82.]</w:t>
      </w:r>
    </w:p>
    <w:p>
      <w:pPr>
        <w:pStyle w:val="Heading5"/>
        <w:rPr>
          <w:snapToGrid w:val="0"/>
        </w:rPr>
      </w:pPr>
      <w:bookmarkStart w:id="12" w:name="_Toc447336355"/>
      <w:bookmarkStart w:id="13" w:name="_Toc199754706"/>
      <w:r>
        <w:rPr>
          <w:rStyle w:val="CharSectno"/>
        </w:rPr>
        <w:t>6</w:t>
      </w:r>
      <w:r>
        <w:rPr>
          <w:snapToGrid w:val="0"/>
        </w:rPr>
        <w:t>.</w:t>
      </w:r>
      <w:r>
        <w:rPr>
          <w:snapToGrid w:val="0"/>
        </w:rPr>
        <w:tab/>
        <w:t>Court may revoke or reduce accused’s entitlement to costs</w:t>
      </w:r>
      <w:bookmarkEnd w:id="12"/>
      <w:bookmarkEnd w:id="13"/>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by No. 7 of 1974 s. 3; No. 49 of 1988 s. 56; No. 15 of 1991 s. 21; No. 78 of 1995 s. 96; No. 84 of 2004 s. 82.] </w:t>
      </w:r>
    </w:p>
    <w:p>
      <w:pPr>
        <w:pStyle w:val="Heading5"/>
        <w:rPr>
          <w:snapToGrid w:val="0"/>
        </w:rPr>
      </w:pPr>
      <w:bookmarkStart w:id="14" w:name="_Toc447336356"/>
      <w:bookmarkStart w:id="15" w:name="_Toc199754707"/>
      <w:r>
        <w:rPr>
          <w:rStyle w:val="CharSectno"/>
        </w:rPr>
        <w:t>7</w:t>
      </w:r>
      <w:r>
        <w:rPr>
          <w:snapToGrid w:val="0"/>
        </w:rPr>
        <w:t>.</w:t>
      </w:r>
      <w:r>
        <w:rPr>
          <w:snapToGrid w:val="0"/>
        </w:rPr>
        <w:tab/>
        <w:t>Partly successful accused may be awarded costs</w:t>
      </w:r>
      <w:bookmarkEnd w:id="14"/>
      <w:bookmarkEnd w:id="15"/>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bookmarkStart w:id="16" w:name="_Toc447336357"/>
      <w:r>
        <w:tab/>
        <w:t>[Section 7 amended by No. 84 of 2004 s. 82.]</w:t>
      </w:r>
    </w:p>
    <w:p>
      <w:pPr>
        <w:pStyle w:val="Heading5"/>
        <w:rPr>
          <w:snapToGrid w:val="0"/>
        </w:rPr>
      </w:pPr>
      <w:bookmarkStart w:id="17" w:name="_Toc199754708"/>
      <w:r>
        <w:rPr>
          <w:rStyle w:val="CharSectno"/>
        </w:rPr>
        <w:t>8</w:t>
      </w:r>
      <w:r>
        <w:rPr>
          <w:snapToGrid w:val="0"/>
        </w:rPr>
        <w:t>.</w:t>
      </w:r>
      <w:r>
        <w:rPr>
          <w:snapToGrid w:val="0"/>
        </w:rPr>
        <w:tab/>
        <w:t>Question of costs may be adjourned to chambers</w:t>
      </w:r>
      <w:bookmarkEnd w:id="16"/>
      <w:bookmarkEnd w:id="17"/>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18" w:name="_Toc447336358"/>
      <w:bookmarkStart w:id="19" w:name="_Toc199754709"/>
      <w:r>
        <w:rPr>
          <w:rStyle w:val="CharSectno"/>
        </w:rPr>
        <w:t>9</w:t>
      </w:r>
      <w:r>
        <w:rPr>
          <w:snapToGrid w:val="0"/>
        </w:rPr>
        <w:t>.</w:t>
      </w:r>
      <w:r>
        <w:rPr>
          <w:snapToGrid w:val="0"/>
        </w:rPr>
        <w:tab/>
        <w:t>Payment of costs ordered</w:t>
      </w:r>
      <w:bookmarkEnd w:id="18"/>
      <w:bookmarkEnd w:id="19"/>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by No. 6 of 1993 s. 13; No. 14 of 1996 s. 4; No. 84 of 2004 s. 82; No. 77 of 2006 s. 4.] </w:t>
      </w:r>
    </w:p>
    <w:p>
      <w:pPr>
        <w:pStyle w:val="Ednotesection"/>
      </w:pPr>
      <w:r>
        <w:t>[</w:t>
      </w:r>
      <w:r>
        <w:rPr>
          <w:b/>
        </w:rPr>
        <w:t>10.</w:t>
      </w:r>
      <w:r>
        <w:tab/>
        <w:t xml:space="preserve">Repealed by No. 65 of 1987 s. 41.]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0" w:name="_Toc89237888"/>
      <w:bookmarkStart w:id="21" w:name="_Toc89512838"/>
      <w:bookmarkStart w:id="22" w:name="_Toc102545954"/>
      <w:bookmarkStart w:id="23" w:name="_Toc102722862"/>
      <w:bookmarkStart w:id="24" w:name="_Toc122929257"/>
      <w:bookmarkStart w:id="25" w:name="_Toc122929438"/>
      <w:bookmarkStart w:id="26" w:name="_Toc124827812"/>
      <w:bookmarkStart w:id="27" w:name="_Toc127784251"/>
      <w:bookmarkStart w:id="28" w:name="_Toc127784498"/>
      <w:bookmarkStart w:id="29" w:name="_Toc127784676"/>
      <w:bookmarkStart w:id="30" w:name="_Toc170188301"/>
      <w:bookmarkStart w:id="31" w:name="_Toc196790712"/>
      <w:bookmarkStart w:id="32" w:name="_Toc199754710"/>
      <w:r>
        <w:t>Notes</w:t>
      </w:r>
      <w:bookmarkEnd w:id="20"/>
      <w:bookmarkEnd w:id="21"/>
      <w:bookmarkEnd w:id="22"/>
      <w:bookmarkEnd w:id="23"/>
      <w:bookmarkEnd w:id="24"/>
      <w:bookmarkEnd w:id="25"/>
      <w:bookmarkEnd w:id="26"/>
      <w:bookmarkEnd w:id="27"/>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Official Prosecutions (Accused’s Costs)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3" w:name="_Toc199754711"/>
      <w:r>
        <w:rPr>
          <w:snapToGrid w:val="0"/>
        </w:rP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rPr>
            </w:pPr>
            <w:r>
              <w:rPr>
                <w:i/>
                <w:sz w:val="19"/>
              </w:rPr>
              <w:t>Official Prosecutions (Defendants’ Costs) Act 1973</w:t>
            </w:r>
            <w:r>
              <w:rPr>
                <w:iCs/>
                <w:sz w:val="19"/>
                <w:vertAlign w:val="superscript"/>
              </w:rPr>
              <w:t> 2</w:t>
            </w:r>
          </w:p>
        </w:tc>
        <w:tc>
          <w:tcPr>
            <w:tcW w:w="1134" w:type="dxa"/>
            <w:tcBorders>
              <w:top w:val="single" w:sz="8" w:space="0" w:color="auto"/>
            </w:tcBorders>
          </w:tcPr>
          <w:p>
            <w:pPr>
              <w:pStyle w:val="nTable"/>
              <w:spacing w:after="40"/>
              <w:rPr>
                <w:sz w:val="19"/>
              </w:rPr>
            </w:pPr>
            <w:r>
              <w:rPr>
                <w:sz w:val="19"/>
              </w:rPr>
              <w:t>46 of 1973</w:t>
            </w:r>
          </w:p>
        </w:tc>
        <w:tc>
          <w:tcPr>
            <w:tcW w:w="1134" w:type="dxa"/>
            <w:tcBorders>
              <w:top w:val="single" w:sz="8" w:space="0" w:color="auto"/>
            </w:tcBorders>
          </w:tcPr>
          <w:p>
            <w:pPr>
              <w:pStyle w:val="nTable"/>
              <w:spacing w:after="40"/>
              <w:rPr>
                <w:sz w:val="19"/>
              </w:rPr>
            </w:pPr>
            <w:r>
              <w:rPr>
                <w:sz w:val="19"/>
              </w:rPr>
              <w:t>6 Nov 1973</w:t>
            </w:r>
          </w:p>
        </w:tc>
        <w:tc>
          <w:tcPr>
            <w:tcW w:w="2552" w:type="dxa"/>
            <w:tcBorders>
              <w:top w:val="single" w:sz="8" w:space="0" w:color="auto"/>
            </w:tcBorders>
          </w:tcPr>
          <w:p>
            <w:pPr>
              <w:pStyle w:val="nTable"/>
              <w:spacing w:after="40"/>
              <w:rPr>
                <w:sz w:val="19"/>
              </w:rPr>
            </w:pPr>
            <w:r>
              <w:rPr>
                <w:sz w:val="19"/>
              </w:rPr>
              <w:t xml:space="preserve">25 Jan 1974 (see s. 2 and </w:t>
            </w:r>
            <w:r>
              <w:rPr>
                <w:i/>
                <w:sz w:val="19"/>
              </w:rPr>
              <w:t>Gazette</w:t>
            </w:r>
            <w:r>
              <w:rPr>
                <w:sz w:val="19"/>
              </w:rPr>
              <w:t xml:space="preserve"> 25 Jan 1974 p. 179)</w:t>
            </w:r>
          </w:p>
        </w:tc>
      </w:tr>
      <w:tr>
        <w:trPr>
          <w:cantSplit/>
        </w:trPr>
        <w:tc>
          <w:tcPr>
            <w:tcW w:w="2268" w:type="dxa"/>
          </w:tcPr>
          <w:p>
            <w:pPr>
              <w:pStyle w:val="nTable"/>
              <w:spacing w:after="40"/>
              <w:rPr>
                <w:i/>
                <w:sz w:val="19"/>
              </w:rPr>
            </w:pPr>
            <w:r>
              <w:rPr>
                <w:i/>
                <w:sz w:val="19"/>
              </w:rPr>
              <w:t>Official Prosecutions (Defendants’ Costs) Act Amendment Act 1974</w:t>
            </w:r>
          </w:p>
        </w:tc>
        <w:tc>
          <w:tcPr>
            <w:tcW w:w="1134" w:type="dxa"/>
          </w:tcPr>
          <w:p>
            <w:pPr>
              <w:pStyle w:val="nTable"/>
              <w:spacing w:after="40"/>
              <w:rPr>
                <w:sz w:val="19"/>
              </w:rPr>
            </w:pPr>
            <w:r>
              <w:rPr>
                <w:sz w:val="19"/>
              </w:rPr>
              <w:t>7 of 1974</w:t>
            </w:r>
          </w:p>
        </w:tc>
        <w:tc>
          <w:tcPr>
            <w:tcW w:w="1134" w:type="dxa"/>
          </w:tcPr>
          <w:p>
            <w:pPr>
              <w:pStyle w:val="nTable"/>
              <w:spacing w:after="40"/>
              <w:rPr>
                <w:sz w:val="19"/>
              </w:rPr>
            </w:pPr>
            <w:r>
              <w:rPr>
                <w:sz w:val="19"/>
              </w:rPr>
              <w:t>19 Sep 1974</w:t>
            </w:r>
          </w:p>
        </w:tc>
        <w:tc>
          <w:tcPr>
            <w:tcW w:w="2552" w:type="dxa"/>
          </w:tcPr>
          <w:p>
            <w:pPr>
              <w:pStyle w:val="nTable"/>
              <w:spacing w:after="40"/>
              <w:rPr>
                <w:sz w:val="19"/>
              </w:rPr>
            </w:pPr>
            <w:r>
              <w:rPr>
                <w:sz w:val="19"/>
              </w:rPr>
              <w:t xml:space="preserve">8 Nov 1974 (see s. 2 and </w:t>
            </w:r>
            <w:r>
              <w:rPr>
                <w:i/>
                <w:sz w:val="19"/>
              </w:rPr>
              <w:t>Gazette</w:t>
            </w:r>
            <w:r>
              <w:rPr>
                <w:sz w:val="19"/>
              </w:rPr>
              <w:t xml:space="preserve"> 8 Nov 1974 p. 4973)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approved 23 May 1983 </w:t>
            </w:r>
            <w:r>
              <w:rPr>
                <w:sz w:val="19"/>
              </w:rPr>
              <w:t>(includes amendments listed above)</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XIV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Acts Amendment (Children’s Court) Act 1988</w:t>
            </w:r>
            <w:r>
              <w:rPr>
                <w:sz w:val="19"/>
              </w:rPr>
              <w:t xml:space="preserve"> Pt. 8</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13</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Sentencing (Consequential Provisions) Act 1995 </w:t>
            </w:r>
            <w:r>
              <w:rPr>
                <w:sz w:val="19"/>
              </w:rPr>
              <w:t>Pt. 57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i/>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(Legal Costs) Act 1997 </w:t>
            </w:r>
            <w:r>
              <w:rPr>
                <w:sz w:val="19"/>
              </w:rPr>
              <w:t>Pt. 3</w:t>
            </w:r>
          </w:p>
        </w:tc>
        <w:tc>
          <w:tcPr>
            <w:tcW w:w="1134" w:type="dxa"/>
          </w:tcPr>
          <w:p>
            <w:pPr>
              <w:pStyle w:val="nTable"/>
              <w:spacing w:after="40"/>
              <w:rPr>
                <w:sz w:val="19"/>
              </w:rPr>
            </w:pPr>
            <w:r>
              <w:rPr>
                <w:sz w:val="19"/>
              </w:rPr>
              <w:t>29 of 1997</w:t>
            </w:r>
          </w:p>
        </w:tc>
        <w:tc>
          <w:tcPr>
            <w:tcW w:w="1134"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7088" w:type="dxa"/>
            <w:gridSpan w:val="4"/>
          </w:tcPr>
          <w:p>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as at 19 Feb 1999 </w:t>
            </w:r>
            <w:r>
              <w:rPr>
                <w:sz w:val="19"/>
              </w:rPr>
              <w:t>(includes amendments listed above)</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54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12, s. 80, 82 and 86</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3: The </w:t>
            </w:r>
            <w:r>
              <w:rPr>
                <w:b/>
                <w:bCs/>
                <w:i/>
                <w:sz w:val="19"/>
              </w:rPr>
              <w:t xml:space="preserve">Official Prosecutions </w:t>
            </w:r>
            <w:r>
              <w:rPr>
                <w:rFonts w:ascii="Times" w:hAnsi="Times"/>
                <w:b/>
                <w:bCs/>
                <w:i/>
                <w:sz w:val="19"/>
              </w:rPr>
              <w:t>(Accus</w:t>
            </w:r>
            <w:r>
              <w:rPr>
                <w:rFonts w:ascii="Times" w:hAnsi="Times"/>
                <w:b/>
                <w:bCs/>
                <w:i/>
                <w:noProof/>
                <w:snapToGrid w:val="0"/>
                <w:sz w:val="19"/>
              </w:rPr>
              <w:t xml:space="preserve">ed’s </w:t>
            </w:r>
            <w:r>
              <w:rPr>
                <w:rFonts w:ascii="Times" w:hAnsi="Times"/>
                <w:b/>
                <w:bCs/>
                <w:i/>
                <w:sz w:val="19"/>
              </w:rPr>
              <w:t>Costs</w:t>
            </w:r>
            <w:r>
              <w:rPr>
                <w:b/>
                <w:bCs/>
                <w:i/>
                <w:sz w:val="19"/>
              </w:rPr>
              <w:t>) Act 1973</w:t>
            </w:r>
            <w:r>
              <w:rPr>
                <w:b/>
                <w:bCs/>
                <w:iCs/>
                <w:sz w:val="19"/>
                <w:vertAlign w:val="superscript"/>
              </w:rPr>
              <w:t> </w:t>
            </w:r>
            <w:r>
              <w:rPr>
                <w:b/>
                <w:bCs/>
                <w:sz w:val="19"/>
              </w:rPr>
              <w:t xml:space="preserve">as at 3 Feb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67 </w:t>
            </w:r>
          </w:p>
        </w:tc>
        <w:tc>
          <w:tcPr>
            <w:tcW w:w="1134" w:type="dxa"/>
            <w:tcBorders>
              <w:top w:val="nil"/>
              <w:bottom w:val="single" w:sz="8" w:space="0" w:color="auto"/>
            </w:tcBorders>
          </w:tcPr>
          <w:p>
            <w:pPr>
              <w:pStyle w:val="nTable"/>
              <w:spacing w:after="40"/>
              <w:rPr>
                <w:snapToGrid w:val="0"/>
                <w:sz w:val="19"/>
                <w:lang w:val="en-US"/>
              </w:rPr>
            </w:pPr>
            <w:r>
              <w:rPr>
                <w:sz w:val="19"/>
              </w:rPr>
              <w:t>2 of 2008</w:t>
            </w:r>
          </w:p>
        </w:tc>
        <w:tc>
          <w:tcPr>
            <w:tcW w:w="1134" w:type="dxa"/>
            <w:tcBorders>
              <w:top w:val="nil"/>
              <w:bottom w:val="single" w:sz="8" w:space="0" w:color="auto"/>
            </w:tcBorders>
          </w:tcPr>
          <w:p>
            <w:pPr>
              <w:pStyle w:val="nTable"/>
              <w:spacing w:after="40"/>
              <w:rPr>
                <w:snapToGrid w:val="0"/>
                <w:sz w:val="19"/>
                <w:lang w:val="en-US"/>
              </w:rPr>
            </w:pPr>
            <w:r>
              <w:rPr>
                <w:sz w:val="19"/>
              </w:rPr>
              <w:t>12 Mar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 w:name="_Toc534778309"/>
      <w:bookmarkStart w:id="35" w:name="_Toc7405063"/>
      <w:bookmarkStart w:id="36" w:name="_Toc199754712"/>
      <w:r>
        <w:rPr>
          <w:snapToGrid w:val="0"/>
        </w:rPr>
        <w:t>Provisions that have not come into operation</w:t>
      </w:r>
      <w:bookmarkEnd w:id="34"/>
      <w:bookmarkEnd w:id="35"/>
      <w:bookmarkEnd w:id="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686 </w:t>
            </w:r>
            <w:r>
              <w:rPr>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Now known as the </w:t>
      </w:r>
      <w:r>
        <w:rPr>
          <w:i/>
          <w:iCs/>
        </w:rPr>
        <w:t>Official Prosecutions (Accused’s Costs) Act 1973</w:t>
      </w:r>
      <w:r>
        <w:t>; short title changed (see note under s. 1).</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686</w:t>
      </w:r>
      <w:r>
        <w:rPr>
          <w:snapToGrid w:val="0"/>
        </w:rPr>
        <w:t xml:space="preserve"> had not come into operation.  It reads as follows:</w:t>
      </w:r>
    </w:p>
    <w:p>
      <w:pPr>
        <w:pStyle w:val="MiscOpen"/>
        <w:rPr>
          <w:snapToGrid w:val="0"/>
        </w:rPr>
      </w:pPr>
      <w:r>
        <w:rPr>
          <w:snapToGrid w:val="0"/>
        </w:rPr>
        <w:t>“</w:t>
      </w:r>
    </w:p>
    <w:p>
      <w:pPr>
        <w:pStyle w:val="nzHeading5"/>
      </w:pPr>
      <w:bookmarkStart w:id="37" w:name="_Toc198708664"/>
      <w:r>
        <w:rPr>
          <w:rStyle w:val="CharSectno"/>
        </w:rPr>
        <w:t>686</w:t>
      </w:r>
      <w:r>
        <w:t>.</w:t>
      </w:r>
      <w:r>
        <w:tab/>
      </w:r>
      <w:r>
        <w:rPr>
          <w:i/>
          <w:iCs/>
        </w:rPr>
        <w:t>Official Prosecutions (Accused’s Costs) Act 1973</w:t>
      </w:r>
      <w:r>
        <w:t xml:space="preserve"> amended</w:t>
      </w:r>
      <w:bookmarkEnd w:id="37"/>
    </w:p>
    <w:p>
      <w:pPr>
        <w:pStyle w:val="nzSubsection"/>
      </w:pPr>
      <w:r>
        <w:tab/>
        <w:t>(1)</w:t>
      </w:r>
      <w:r>
        <w:tab/>
        <w:t xml:space="preserve">The amendments in this section are to the </w:t>
      </w:r>
      <w:r>
        <w:rPr>
          <w:i/>
          <w:iCs/>
        </w:rPr>
        <w:t>Official Prosecutions (Accused’s Costs) Act 1973</w:t>
      </w:r>
      <w:r>
        <w:t>.</w:t>
      </w:r>
    </w:p>
    <w:p>
      <w:pPr>
        <w:pStyle w:val="nzSubsection"/>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Official Prosecutions (Accused’s Costs)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Official Prosecutions (Accused’s Costs)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Official Prosecutions (Accused’s Costs) Act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Official Prosecutions (Accused’s Costs)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Official Prosecutions (Accused’s Costs)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Official Prosecutions (Accused’s Costs)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37"/>
    <w:docVar w:name="WAFER_20151208153637" w:val="RemoveTrackChanges"/>
    <w:docVar w:name="WAFER_20151208153637_GUID" w:val="54b1ebc1-8344-473f-a16a-497039ab56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2290</Words>
  <Characters>10216</Characters>
  <Application>Microsoft Office Word</Application>
  <DocSecurity>0</DocSecurity>
  <Lines>352</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1973 - 03-e0-04</dc:title>
  <dc:subject/>
  <dc:creator/>
  <cp:keywords/>
  <dc:description/>
  <cp:lastModifiedBy>svcMRProcess</cp:lastModifiedBy>
  <cp:revision>4</cp:revision>
  <cp:lastPrinted>2006-02-13T01:09:00Z</cp:lastPrinted>
  <dcterms:created xsi:type="dcterms:W3CDTF">2015-12-11T14:18:00Z</dcterms:created>
  <dcterms:modified xsi:type="dcterms:W3CDTF">2015-12-11T14:18:00Z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558</vt:i4>
  </property>
  <property fmtid="{D5CDD505-2E9C-101B-9397-08002B2CF9AE}" pid="6" name="AsAtDate">
    <vt:lpwstr>27 May 2008</vt:lpwstr>
  </property>
  <property fmtid="{D5CDD505-2E9C-101B-9397-08002B2CF9AE}" pid="7" name="Suffix">
    <vt:lpwstr>03-e0-04</vt:lpwstr>
  </property>
</Properties>
</file>