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Poisons Act 1964</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Poisons Act 1964</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I — Introductory provisions</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_Toc389745293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_Toc389745294 \h </w:instrText>
      </w:r>
      <w:r>
        <w:fldChar w:fldCharType="separate"/>
      </w:r>
      <w:r>
        <w:t>2</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Interpretation</w:t>
      </w:r>
      <w:r>
        <w:tab/>
      </w:r>
      <w:r>
        <w:fldChar w:fldCharType="begin"/>
      </w:r>
      <w:r>
        <w:instrText xml:space="preserve"> PAGEREF _Toc389745295 \h </w:instrText>
      </w:r>
      <w:r>
        <w:fldChar w:fldCharType="separate"/>
      </w:r>
      <w:r>
        <w:t>2</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Construction</w:t>
      </w:r>
      <w:r>
        <w:tab/>
      </w:r>
      <w:r>
        <w:fldChar w:fldCharType="begin"/>
      </w:r>
      <w:r>
        <w:instrText xml:space="preserve"> PAGEREF _Toc389745296 \h </w:instrText>
      </w:r>
      <w:r>
        <w:fldChar w:fldCharType="separate"/>
      </w:r>
      <w:r>
        <w:t>5</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Crown bound</w:t>
      </w:r>
      <w:r>
        <w:tab/>
      </w:r>
      <w:r>
        <w:fldChar w:fldCharType="begin"/>
      </w:r>
      <w:r>
        <w:instrText xml:space="preserve"> PAGEREF _Toc389745297 \h </w:instrText>
      </w:r>
      <w:r>
        <w:fldChar w:fldCharType="separate"/>
      </w:r>
      <w:r>
        <w:t>6</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Administration</w:t>
      </w:r>
      <w:r>
        <w:tab/>
      </w:r>
      <w:r>
        <w:fldChar w:fldCharType="begin"/>
      </w:r>
      <w:r>
        <w:instrText xml:space="preserve"> PAGEREF _Toc389745298 \h </w:instrText>
      </w:r>
      <w:r>
        <w:fldChar w:fldCharType="separate"/>
      </w:r>
      <w:r>
        <w:t>6</w:t>
      </w:r>
      <w:r>
        <w:fldChar w:fldCharType="end"/>
      </w:r>
    </w:p>
    <w:p>
      <w:pPr>
        <w:pStyle w:val="TOC8"/>
        <w:rPr>
          <w:rFonts w:asciiTheme="minorHAnsi" w:eastAsiaTheme="minorEastAsia" w:hAnsiTheme="minorHAnsi" w:cstheme="minorBidi"/>
          <w:szCs w:val="22"/>
        </w:rPr>
      </w:pPr>
      <w:r>
        <w:t>7A.</w:t>
      </w:r>
      <w:r>
        <w:tab/>
        <w:t>Application: industrial hemp, industrial hemp seed and processed industrial hemp</w:t>
      </w:r>
      <w:r>
        <w:tab/>
      </w:r>
      <w:r>
        <w:fldChar w:fldCharType="begin"/>
      </w:r>
      <w:r>
        <w:instrText xml:space="preserve"> PAGEREF _Toc389745299 \h </w:instrText>
      </w:r>
      <w:r>
        <w:fldChar w:fldCharType="separate"/>
      </w:r>
      <w:r>
        <w:t>6</w:t>
      </w:r>
      <w:r>
        <w:fldChar w:fldCharType="end"/>
      </w:r>
    </w:p>
    <w:p>
      <w:pPr>
        <w:pStyle w:val="TOC2"/>
        <w:tabs>
          <w:tab w:val="right" w:leader="dot" w:pos="7086"/>
        </w:tabs>
        <w:rPr>
          <w:rFonts w:asciiTheme="minorHAnsi" w:eastAsiaTheme="minorEastAsia" w:hAnsiTheme="minorHAnsi" w:cstheme="minorBidi"/>
          <w:b w:val="0"/>
          <w:sz w:val="22"/>
          <w:szCs w:val="22"/>
        </w:rPr>
      </w:pPr>
      <w:r>
        <w:t>Part II — Poisons Advisory Committee</w:t>
      </w:r>
    </w:p>
    <w:p>
      <w:pPr>
        <w:pStyle w:val="TOC8"/>
        <w:rPr>
          <w:rFonts w:asciiTheme="minorHAnsi" w:eastAsiaTheme="minorEastAsia" w:hAnsiTheme="minorHAnsi" w:cstheme="minorBidi"/>
          <w:szCs w:val="22"/>
        </w:rPr>
      </w:pPr>
      <w:r>
        <w:t>8</w:t>
      </w:r>
      <w:r>
        <w:rPr>
          <w:snapToGrid w:val="0"/>
        </w:rPr>
        <w:t>.</w:t>
      </w:r>
      <w:r>
        <w:rPr>
          <w:snapToGrid w:val="0"/>
        </w:rPr>
        <w:tab/>
        <w:t>Constitution of Poisons Advisory Committee</w:t>
      </w:r>
      <w:r>
        <w:tab/>
      </w:r>
      <w:r>
        <w:fldChar w:fldCharType="begin"/>
      </w:r>
      <w:r>
        <w:instrText xml:space="preserve"> PAGEREF _Toc389745301 \h </w:instrText>
      </w:r>
      <w:r>
        <w:fldChar w:fldCharType="separate"/>
      </w:r>
      <w:r>
        <w:t>7</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Procedure on default of nomination</w:t>
      </w:r>
      <w:r>
        <w:tab/>
      </w:r>
      <w:r>
        <w:fldChar w:fldCharType="begin"/>
      </w:r>
      <w:r>
        <w:instrText xml:space="preserve"> PAGEREF _Toc389745302 \h </w:instrText>
      </w:r>
      <w:r>
        <w:fldChar w:fldCharType="separate"/>
      </w:r>
      <w:r>
        <w:t>8</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Term of office of nominee member</w:t>
      </w:r>
      <w:r>
        <w:tab/>
      </w:r>
      <w:r>
        <w:fldChar w:fldCharType="begin"/>
      </w:r>
      <w:r>
        <w:instrText xml:space="preserve"> PAGEREF _Toc389745303 \h </w:instrText>
      </w:r>
      <w:r>
        <w:fldChar w:fldCharType="separate"/>
      </w:r>
      <w:r>
        <w:t>9</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Vacation of office</w:t>
      </w:r>
      <w:r>
        <w:tab/>
      </w:r>
      <w:r>
        <w:fldChar w:fldCharType="begin"/>
      </w:r>
      <w:r>
        <w:instrText xml:space="preserve"> PAGEREF _Toc389745304 \h </w:instrText>
      </w:r>
      <w:r>
        <w:fldChar w:fldCharType="separate"/>
      </w:r>
      <w:r>
        <w:t>10</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Dismissal of members</w:t>
      </w:r>
      <w:r>
        <w:tab/>
      </w:r>
      <w:r>
        <w:fldChar w:fldCharType="begin"/>
      </w:r>
      <w:r>
        <w:instrText xml:space="preserve"> PAGEREF _Toc389745305 \h </w:instrText>
      </w:r>
      <w:r>
        <w:fldChar w:fldCharType="separate"/>
      </w:r>
      <w:r>
        <w:t>10</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Leave of absence</w:t>
      </w:r>
      <w:r>
        <w:tab/>
      </w:r>
      <w:r>
        <w:fldChar w:fldCharType="begin"/>
      </w:r>
      <w:r>
        <w:instrText xml:space="preserve"> PAGEREF _Toc389745306 \h </w:instrText>
      </w:r>
      <w:r>
        <w:fldChar w:fldCharType="separate"/>
      </w:r>
      <w:r>
        <w:t>11</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Deputies of members</w:t>
      </w:r>
      <w:r>
        <w:tab/>
      </w:r>
      <w:r>
        <w:fldChar w:fldCharType="begin"/>
      </w:r>
      <w:r>
        <w:instrText xml:space="preserve"> PAGEREF _Toc389745307 \h </w:instrText>
      </w:r>
      <w:r>
        <w:fldChar w:fldCharType="separate"/>
      </w:r>
      <w:r>
        <w:t>11</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Acceptance of office</w:t>
      </w:r>
      <w:r>
        <w:tab/>
      </w:r>
      <w:r>
        <w:fldChar w:fldCharType="begin"/>
      </w:r>
      <w:r>
        <w:instrText xml:space="preserve"> PAGEREF _Toc389745308 \h </w:instrText>
      </w:r>
      <w:r>
        <w:fldChar w:fldCharType="separate"/>
      </w:r>
      <w:r>
        <w:t>11</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Remuneration of members</w:t>
      </w:r>
      <w:r>
        <w:tab/>
      </w:r>
      <w:r>
        <w:fldChar w:fldCharType="begin"/>
      </w:r>
      <w:r>
        <w:instrText xml:space="preserve"> PAGEREF _Toc389745309 \h </w:instrText>
      </w:r>
      <w:r>
        <w:fldChar w:fldCharType="separate"/>
      </w:r>
      <w:r>
        <w:t>11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Meetings of Advisory Committee</w:t>
      </w:r>
      <w:r>
        <w:tab/>
      </w:r>
      <w:r>
        <w:fldChar w:fldCharType="begin"/>
      </w:r>
      <w:r>
        <w:instrText xml:space="preserve"> PAGEREF _Toc389745310 \h </w:instrText>
      </w:r>
      <w:r>
        <w:fldChar w:fldCharType="separate"/>
      </w:r>
      <w:r>
        <w:t>12</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Officers of Advisory Committee</w:t>
      </w:r>
      <w:r>
        <w:tab/>
      </w:r>
      <w:r>
        <w:fldChar w:fldCharType="begin"/>
      </w:r>
      <w:r>
        <w:instrText xml:space="preserve"> PAGEREF _Toc389745311 \h </w:instrText>
      </w:r>
      <w:r>
        <w:fldChar w:fldCharType="separate"/>
      </w:r>
      <w:r>
        <w:t>12</w:t>
      </w:r>
      <w:r>
        <w:fldChar w:fldCharType="end"/>
      </w:r>
    </w:p>
    <w:p>
      <w:pPr>
        <w:pStyle w:val="TOC8"/>
        <w:rPr>
          <w:rFonts w:asciiTheme="minorHAnsi" w:eastAsiaTheme="minorEastAsia" w:hAnsiTheme="minorHAnsi" w:cstheme="minorBidi"/>
          <w:szCs w:val="22"/>
        </w:rPr>
      </w:pPr>
      <w:r>
        <w:t>19</w:t>
      </w:r>
      <w:r>
        <w:rPr>
          <w:snapToGrid w:val="0"/>
        </w:rPr>
        <w:t>.</w:t>
      </w:r>
      <w:r>
        <w:rPr>
          <w:snapToGrid w:val="0"/>
        </w:rPr>
        <w:tab/>
        <w:t>Functions of Advisory Committee</w:t>
      </w:r>
      <w:r>
        <w:tab/>
      </w:r>
      <w:r>
        <w:fldChar w:fldCharType="begin"/>
      </w:r>
      <w:r>
        <w:instrText xml:space="preserve"> PAGEREF _Toc389745312 \h </w:instrText>
      </w:r>
      <w:r>
        <w:fldChar w:fldCharType="separate"/>
      </w:r>
      <w:r>
        <w:t>13</w:t>
      </w:r>
      <w:r>
        <w:fldChar w:fldCharType="end"/>
      </w:r>
    </w:p>
    <w:p>
      <w:pPr>
        <w:pStyle w:val="TOC2"/>
        <w:tabs>
          <w:tab w:val="right" w:leader="dot" w:pos="7086"/>
        </w:tabs>
        <w:rPr>
          <w:rFonts w:asciiTheme="minorHAnsi" w:eastAsiaTheme="minorEastAsia" w:hAnsiTheme="minorHAnsi" w:cstheme="minorBidi"/>
          <w:b w:val="0"/>
          <w:sz w:val="22"/>
          <w:szCs w:val="22"/>
        </w:rPr>
      </w:pPr>
      <w:r>
        <w:t>Part III — Poisons and other substances</w:t>
      </w:r>
    </w:p>
    <w:p>
      <w:pPr>
        <w:pStyle w:val="TOC4"/>
        <w:tabs>
          <w:tab w:val="right" w:leader="dot" w:pos="7086"/>
        </w:tabs>
        <w:rPr>
          <w:rFonts w:asciiTheme="minorHAnsi" w:eastAsiaTheme="minorEastAsia" w:hAnsiTheme="minorHAnsi" w:cstheme="minorBidi"/>
          <w:b w:val="0"/>
          <w:szCs w:val="22"/>
        </w:rPr>
      </w:pPr>
      <w:r>
        <w:t>Division 1</w:t>
      </w:r>
      <w:r>
        <w:rPr>
          <w:snapToGrid w:val="0"/>
        </w:rPr>
        <w:t> — </w:t>
      </w:r>
      <w:r>
        <w:t>Classification</w:t>
      </w:r>
    </w:p>
    <w:p>
      <w:pPr>
        <w:pStyle w:val="TOC8"/>
        <w:rPr>
          <w:rFonts w:asciiTheme="minorHAnsi" w:eastAsiaTheme="minorEastAsia" w:hAnsiTheme="minorHAnsi" w:cstheme="minorBidi"/>
          <w:szCs w:val="22"/>
        </w:rPr>
      </w:pPr>
      <w:r>
        <w:t>20</w:t>
      </w:r>
      <w:r>
        <w:rPr>
          <w:snapToGrid w:val="0"/>
        </w:rPr>
        <w:t>.</w:t>
      </w:r>
      <w:r>
        <w:rPr>
          <w:snapToGrid w:val="0"/>
        </w:rPr>
        <w:tab/>
        <w:t>Declaration of poisons</w:t>
      </w:r>
      <w:r>
        <w:tab/>
      </w:r>
      <w:r>
        <w:fldChar w:fldCharType="begin"/>
      </w:r>
      <w:r>
        <w:instrText xml:space="preserve"> PAGEREF _Toc389745315 \h </w:instrText>
      </w:r>
      <w:r>
        <w:fldChar w:fldCharType="separate"/>
      </w:r>
      <w:r>
        <w:t>14</w:t>
      </w:r>
      <w:r>
        <w:fldChar w:fldCharType="end"/>
      </w:r>
    </w:p>
    <w:p>
      <w:pPr>
        <w:pStyle w:val="TOC8"/>
        <w:rPr>
          <w:rFonts w:asciiTheme="minorHAnsi" w:eastAsiaTheme="minorEastAsia" w:hAnsiTheme="minorHAnsi" w:cstheme="minorBidi"/>
          <w:szCs w:val="22"/>
        </w:rPr>
      </w:pPr>
      <w:r>
        <w:t>20A</w:t>
      </w:r>
      <w:r>
        <w:rPr>
          <w:snapToGrid w:val="0"/>
        </w:rPr>
        <w:t>.</w:t>
      </w:r>
      <w:r>
        <w:rPr>
          <w:snapToGrid w:val="0"/>
        </w:rPr>
        <w:tab/>
        <w:t>How poisons may be identified in Schedules</w:t>
      </w:r>
      <w:r>
        <w:tab/>
      </w:r>
      <w:r>
        <w:fldChar w:fldCharType="begin"/>
      </w:r>
      <w:r>
        <w:instrText xml:space="preserve"> PAGEREF _Toc389745316 \h </w:instrText>
      </w:r>
      <w:r>
        <w:fldChar w:fldCharType="separate"/>
      </w:r>
      <w:r>
        <w:t>15</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Amendment of Appendix A</w:t>
      </w:r>
      <w:r>
        <w:tab/>
      </w:r>
      <w:r>
        <w:fldChar w:fldCharType="begin"/>
      </w:r>
      <w:r>
        <w:instrText xml:space="preserve"> PAGEREF _Toc389745317 \h </w:instrText>
      </w:r>
      <w:r>
        <w:fldChar w:fldCharType="separate"/>
      </w:r>
      <w:r>
        <w:t>16</w:t>
      </w:r>
      <w:r>
        <w:fldChar w:fldCharType="end"/>
      </w:r>
    </w:p>
    <w:p>
      <w:pPr>
        <w:pStyle w:val="TOC8"/>
        <w:rPr>
          <w:rFonts w:asciiTheme="minorHAnsi" w:eastAsiaTheme="minorEastAsia" w:hAnsiTheme="minorHAnsi" w:cstheme="minorBidi"/>
          <w:szCs w:val="22"/>
        </w:rPr>
      </w:pPr>
      <w:r>
        <w:t>21A</w:t>
      </w:r>
      <w:r>
        <w:rPr>
          <w:snapToGrid w:val="0"/>
        </w:rPr>
        <w:t>.</w:t>
      </w:r>
      <w:r>
        <w:rPr>
          <w:snapToGrid w:val="0"/>
        </w:rPr>
        <w:tab/>
        <w:t>Exemption of substances from Act</w:t>
      </w:r>
      <w:r>
        <w:tab/>
      </w:r>
      <w:r>
        <w:fldChar w:fldCharType="begin"/>
      </w:r>
      <w:r>
        <w:instrText xml:space="preserve"> PAGEREF _Toc389745318 \h </w:instrText>
      </w:r>
      <w:r>
        <w:fldChar w:fldCharType="separate"/>
      </w:r>
      <w:r>
        <w:t>16</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Sale of any poison may be prohibited</w:t>
      </w:r>
      <w:r>
        <w:tab/>
      </w:r>
      <w:r>
        <w:fldChar w:fldCharType="begin"/>
      </w:r>
      <w:r>
        <w:instrText xml:space="preserve"> PAGEREF _Toc389745319 \h </w:instrText>
      </w:r>
      <w:r>
        <w:fldChar w:fldCharType="separate"/>
      </w:r>
      <w:r>
        <w:t>17</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Specified drugs</w:t>
      </w:r>
      <w:r>
        <w:tab/>
      </w:r>
      <w:r>
        <w:fldChar w:fldCharType="begin"/>
      </w:r>
      <w:r>
        <w:instrText xml:space="preserve"> PAGEREF _Toc389745320 \h </w:instrText>
      </w:r>
      <w:r>
        <w:fldChar w:fldCharType="separate"/>
      </w:r>
      <w:r>
        <w:t>17</w:t>
      </w:r>
      <w:r>
        <w:fldChar w:fldCharType="end"/>
      </w:r>
    </w:p>
    <w:p>
      <w:pPr>
        <w:pStyle w:val="TOC4"/>
        <w:tabs>
          <w:tab w:val="right" w:leader="dot" w:pos="7086"/>
        </w:tabs>
        <w:rPr>
          <w:rFonts w:asciiTheme="minorHAnsi" w:eastAsiaTheme="minorEastAsia" w:hAnsiTheme="minorHAnsi" w:cstheme="minorBidi"/>
          <w:b w:val="0"/>
          <w:szCs w:val="22"/>
        </w:rPr>
      </w:pPr>
      <w:r>
        <w:t>Division 2</w:t>
      </w:r>
      <w:r>
        <w:rPr>
          <w:snapToGrid w:val="0"/>
        </w:rPr>
        <w:t> — </w:t>
      </w:r>
      <w:r>
        <w:t>Sale of poisons</w:t>
      </w:r>
    </w:p>
    <w:p>
      <w:pPr>
        <w:pStyle w:val="TOC8"/>
        <w:rPr>
          <w:rFonts w:asciiTheme="minorHAnsi" w:eastAsiaTheme="minorEastAsia" w:hAnsiTheme="minorHAnsi" w:cstheme="minorBidi"/>
          <w:szCs w:val="22"/>
        </w:rPr>
      </w:pPr>
      <w:r>
        <w:t>23</w:t>
      </w:r>
      <w:r>
        <w:rPr>
          <w:snapToGrid w:val="0"/>
        </w:rPr>
        <w:t>.</w:t>
      </w:r>
      <w:r>
        <w:rPr>
          <w:snapToGrid w:val="0"/>
        </w:rPr>
        <w:tab/>
        <w:t>Persons authorised to sell poisons</w:t>
      </w:r>
      <w:r>
        <w:tab/>
      </w:r>
      <w:r>
        <w:fldChar w:fldCharType="begin"/>
      </w:r>
      <w:r>
        <w:instrText xml:space="preserve"> PAGEREF _Toc389745322 \h </w:instrText>
      </w:r>
      <w:r>
        <w:fldChar w:fldCharType="separate"/>
      </w:r>
      <w:r>
        <w:t>17</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Licences to sell poisons</w:t>
      </w:r>
      <w:r>
        <w:tab/>
      </w:r>
      <w:r>
        <w:fldChar w:fldCharType="begin"/>
      </w:r>
      <w:r>
        <w:instrText xml:space="preserve"> PAGEREF _Toc389745323 \h </w:instrText>
      </w:r>
      <w:r>
        <w:fldChar w:fldCharType="separate"/>
      </w:r>
      <w:r>
        <w:t>19</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Permits to purchase poisons for specified purposes</w:t>
      </w:r>
      <w:r>
        <w:tab/>
      </w:r>
      <w:r>
        <w:fldChar w:fldCharType="begin"/>
      </w:r>
      <w:r>
        <w:instrText xml:space="preserve"> PAGEREF _Toc389745324 \h </w:instrText>
      </w:r>
      <w:r>
        <w:fldChar w:fldCharType="separate"/>
      </w:r>
      <w:r>
        <w:t>21</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Form of licences and permits</w:t>
      </w:r>
      <w:r>
        <w:tab/>
      </w:r>
      <w:r>
        <w:fldChar w:fldCharType="begin"/>
      </w:r>
      <w:r>
        <w:instrText xml:space="preserve"> PAGEREF _Toc389745325 \h </w:instrText>
      </w:r>
      <w:r>
        <w:fldChar w:fldCharType="separate"/>
      </w:r>
      <w:r>
        <w:t>21</w:t>
      </w:r>
      <w:r>
        <w:fldChar w:fldCharType="end"/>
      </w:r>
    </w:p>
    <w:p>
      <w:pPr>
        <w:pStyle w:val="TOC8"/>
        <w:rPr>
          <w:rFonts w:asciiTheme="minorHAnsi" w:eastAsiaTheme="minorEastAsia" w:hAnsiTheme="minorHAnsi" w:cstheme="minorBidi"/>
          <w:szCs w:val="22"/>
        </w:rPr>
      </w:pPr>
      <w:r>
        <w:t>26A</w:t>
      </w:r>
      <w:r>
        <w:rPr>
          <w:snapToGrid w:val="0"/>
        </w:rPr>
        <w:t>.</w:t>
      </w:r>
      <w:r>
        <w:rPr>
          <w:snapToGrid w:val="0"/>
        </w:rPr>
        <w:tab/>
        <w:t>Conditions</w:t>
      </w:r>
      <w:r>
        <w:tab/>
      </w:r>
      <w:r>
        <w:fldChar w:fldCharType="begin"/>
      </w:r>
      <w:r>
        <w:instrText xml:space="preserve"> PAGEREF _Toc389745326 \h </w:instrText>
      </w:r>
      <w:r>
        <w:fldChar w:fldCharType="separate"/>
      </w:r>
      <w:r>
        <w:t>22</w:t>
      </w:r>
      <w:r>
        <w:fldChar w:fldCharType="end"/>
      </w:r>
    </w:p>
    <w:p>
      <w:pPr>
        <w:pStyle w:val="TOC8"/>
        <w:rPr>
          <w:rFonts w:asciiTheme="minorHAnsi" w:eastAsiaTheme="minorEastAsia" w:hAnsiTheme="minorHAnsi" w:cstheme="minorBidi"/>
          <w:szCs w:val="22"/>
        </w:rPr>
      </w:pPr>
      <w:r>
        <w:t>26B</w:t>
      </w:r>
      <w:r>
        <w:rPr>
          <w:snapToGrid w:val="0"/>
        </w:rPr>
        <w:t>.</w:t>
      </w:r>
      <w:r>
        <w:rPr>
          <w:snapToGrid w:val="0"/>
        </w:rPr>
        <w:tab/>
        <w:t>Duration of licences and permits</w:t>
      </w:r>
      <w:r>
        <w:tab/>
      </w:r>
      <w:r>
        <w:fldChar w:fldCharType="begin"/>
      </w:r>
      <w:r>
        <w:instrText xml:space="preserve"> PAGEREF _Toc389745327 \h </w:instrText>
      </w:r>
      <w:r>
        <w:fldChar w:fldCharType="separate"/>
      </w:r>
      <w:r>
        <w:t>22</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Fees for licences, permits and renewals</w:t>
      </w:r>
      <w:r>
        <w:tab/>
      </w:r>
      <w:r>
        <w:fldChar w:fldCharType="begin"/>
      </w:r>
      <w:r>
        <w:instrText xml:space="preserve"> PAGEREF _Toc389745328 \h </w:instrText>
      </w:r>
      <w:r>
        <w:fldChar w:fldCharType="separate"/>
      </w:r>
      <w:r>
        <w:t>23</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r>
      <w:r>
        <w:t xml:space="preserve">CEO </w:t>
      </w:r>
      <w:r>
        <w:rPr>
          <w:snapToGrid w:val="0"/>
        </w:rPr>
        <w:t>may cancel, suspend or revoke licence or permit</w:t>
      </w:r>
      <w:r>
        <w:tab/>
      </w:r>
      <w:r>
        <w:fldChar w:fldCharType="begin"/>
      </w:r>
      <w:r>
        <w:instrText xml:space="preserve"> PAGEREF _Toc389745329 \h </w:instrText>
      </w:r>
      <w:r>
        <w:fldChar w:fldCharType="separate"/>
      </w:r>
      <w:r>
        <w:t>23</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 xml:space="preserve">Application for review of order of </w:t>
      </w:r>
      <w:r>
        <w:t>CEO</w:t>
      </w:r>
      <w:r>
        <w:tab/>
      </w:r>
      <w:r>
        <w:fldChar w:fldCharType="begin"/>
      </w:r>
      <w:r>
        <w:instrText xml:space="preserve"> PAGEREF _Toc389745330 \h </w:instrText>
      </w:r>
      <w:r>
        <w:fldChar w:fldCharType="separate"/>
      </w:r>
      <w:r>
        <w:t>23</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Licence not to be granted to company or friendly society</w:t>
      </w:r>
      <w:r>
        <w:tab/>
      </w:r>
      <w:r>
        <w:fldChar w:fldCharType="begin"/>
      </w:r>
      <w:r>
        <w:instrText xml:space="preserve"> PAGEREF _Toc389745331 \h </w:instrText>
      </w:r>
      <w:r>
        <w:fldChar w:fldCharType="separate"/>
      </w:r>
      <w:r>
        <w:t>24</w:t>
      </w:r>
      <w:r>
        <w:fldChar w:fldCharType="end"/>
      </w:r>
    </w:p>
    <w:p>
      <w:pPr>
        <w:pStyle w:val="TOC4"/>
        <w:tabs>
          <w:tab w:val="right" w:leader="dot" w:pos="7086"/>
        </w:tabs>
        <w:rPr>
          <w:rFonts w:asciiTheme="minorHAnsi" w:eastAsiaTheme="minorEastAsia" w:hAnsiTheme="minorHAnsi" w:cstheme="minorBidi"/>
          <w:b w:val="0"/>
          <w:szCs w:val="22"/>
        </w:rPr>
      </w:pPr>
      <w:r>
        <w:t>Division 3</w:t>
      </w:r>
      <w:r>
        <w:rPr>
          <w:snapToGrid w:val="0"/>
        </w:rPr>
        <w:t> — </w:t>
      </w:r>
      <w:r>
        <w:t>General provisions</w:t>
      </w:r>
    </w:p>
    <w:p>
      <w:pPr>
        <w:pStyle w:val="TOC8"/>
        <w:rPr>
          <w:rFonts w:asciiTheme="minorHAnsi" w:eastAsiaTheme="minorEastAsia" w:hAnsiTheme="minorHAnsi" w:cstheme="minorBidi"/>
          <w:szCs w:val="22"/>
        </w:rPr>
      </w:pPr>
      <w:r>
        <w:t>31</w:t>
      </w:r>
      <w:r>
        <w:rPr>
          <w:snapToGrid w:val="0"/>
        </w:rPr>
        <w:t>.</w:t>
      </w:r>
      <w:r>
        <w:rPr>
          <w:snapToGrid w:val="0"/>
        </w:rPr>
        <w:tab/>
        <w:t>Sales of poison to be recorded in a book</w:t>
      </w:r>
      <w:r>
        <w:tab/>
      </w:r>
      <w:r>
        <w:fldChar w:fldCharType="begin"/>
      </w:r>
      <w:r>
        <w:instrText xml:space="preserve"> PAGEREF _Toc389745333 \h </w:instrText>
      </w:r>
      <w:r>
        <w:fldChar w:fldCharType="separate"/>
      </w:r>
      <w:r>
        <w:t>24</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Unauthorised sales of poisons</w:t>
      </w:r>
      <w:r>
        <w:tab/>
      </w:r>
      <w:r>
        <w:fldChar w:fldCharType="begin"/>
      </w:r>
      <w:r>
        <w:instrText xml:space="preserve"> PAGEREF _Toc389745334 \h </w:instrText>
      </w:r>
      <w:r>
        <w:fldChar w:fldCharType="separate"/>
      </w:r>
      <w:r>
        <w:t>25</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Wholesaler not to sell by retail</w:t>
      </w:r>
      <w:r>
        <w:tab/>
      </w:r>
      <w:r>
        <w:fldChar w:fldCharType="begin"/>
      </w:r>
      <w:r>
        <w:instrText xml:space="preserve"> PAGEREF _Toc389745335 \h </w:instrText>
      </w:r>
      <w:r>
        <w:fldChar w:fldCharType="separate"/>
      </w:r>
      <w:r>
        <w:t>25</w:t>
      </w:r>
      <w:r>
        <w:fldChar w:fldCharType="end"/>
      </w:r>
    </w:p>
    <w:p>
      <w:pPr>
        <w:pStyle w:val="TOC8"/>
        <w:rPr>
          <w:rFonts w:asciiTheme="minorHAnsi" w:eastAsiaTheme="minorEastAsia" w:hAnsiTheme="minorHAnsi" w:cstheme="minorBidi"/>
          <w:szCs w:val="22"/>
        </w:rPr>
      </w:pPr>
      <w:r>
        <w:t>34</w:t>
      </w:r>
      <w:r>
        <w:rPr>
          <w:snapToGrid w:val="0"/>
        </w:rPr>
        <w:t>.</w:t>
      </w:r>
      <w:r>
        <w:rPr>
          <w:snapToGrid w:val="0"/>
        </w:rPr>
        <w:tab/>
        <w:t>Sales to certain persons prohibited</w:t>
      </w:r>
      <w:r>
        <w:tab/>
      </w:r>
      <w:r>
        <w:fldChar w:fldCharType="begin"/>
      </w:r>
      <w:r>
        <w:instrText xml:space="preserve"> PAGEREF _Toc389745336 \h </w:instrText>
      </w:r>
      <w:r>
        <w:fldChar w:fldCharType="separate"/>
      </w:r>
      <w:r>
        <w:t>26</w:t>
      </w:r>
      <w:r>
        <w:fldChar w:fldCharType="end"/>
      </w:r>
    </w:p>
    <w:p>
      <w:pPr>
        <w:pStyle w:val="TOC8"/>
        <w:rPr>
          <w:rFonts w:asciiTheme="minorHAnsi" w:eastAsiaTheme="minorEastAsia" w:hAnsiTheme="minorHAnsi" w:cstheme="minorBidi"/>
          <w:szCs w:val="22"/>
        </w:rPr>
      </w:pPr>
      <w:r>
        <w:t>35</w:t>
      </w:r>
      <w:r>
        <w:rPr>
          <w:snapToGrid w:val="0"/>
        </w:rPr>
        <w:t>.</w:t>
      </w:r>
      <w:r>
        <w:rPr>
          <w:snapToGrid w:val="0"/>
        </w:rPr>
        <w:tab/>
        <w:t>Making false declarations</w:t>
      </w:r>
      <w:r>
        <w:tab/>
      </w:r>
      <w:r>
        <w:fldChar w:fldCharType="begin"/>
      </w:r>
      <w:r>
        <w:instrText xml:space="preserve"> PAGEREF _Toc389745337 \h </w:instrText>
      </w:r>
      <w:r>
        <w:fldChar w:fldCharType="separate"/>
      </w:r>
      <w:r>
        <w:t>26</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Drugs not to be used for self administration</w:t>
      </w:r>
      <w:r>
        <w:tab/>
      </w:r>
      <w:r>
        <w:fldChar w:fldCharType="begin"/>
      </w:r>
      <w:r>
        <w:instrText xml:space="preserve"> PAGEREF _Toc389745338 \h </w:instrText>
      </w:r>
      <w:r>
        <w:fldChar w:fldCharType="separate"/>
      </w:r>
      <w:r>
        <w:t>26</w:t>
      </w:r>
      <w:r>
        <w:fldChar w:fldCharType="end"/>
      </w:r>
    </w:p>
    <w:p>
      <w:pPr>
        <w:pStyle w:val="TOC8"/>
        <w:rPr>
          <w:rFonts w:asciiTheme="minorHAnsi" w:eastAsiaTheme="minorEastAsia" w:hAnsiTheme="minorHAnsi" w:cstheme="minorBidi"/>
          <w:szCs w:val="22"/>
        </w:rPr>
      </w:pPr>
      <w:r>
        <w:t>36A</w:t>
      </w:r>
      <w:r>
        <w:rPr>
          <w:snapToGrid w:val="0"/>
        </w:rPr>
        <w:t>.</w:t>
      </w:r>
      <w:r>
        <w:rPr>
          <w:snapToGrid w:val="0"/>
        </w:rPr>
        <w:tab/>
        <w:t>Defence for persons participating in the conduct of needle and syringe programmes</w:t>
      </w:r>
      <w:r>
        <w:tab/>
      </w:r>
      <w:r>
        <w:fldChar w:fldCharType="begin"/>
      </w:r>
      <w:r>
        <w:instrText xml:space="preserve"> PAGEREF _Toc389745339 \h </w:instrText>
      </w:r>
      <w:r>
        <w:fldChar w:fldCharType="separate"/>
      </w:r>
      <w:r>
        <w:t>27</w:t>
      </w:r>
      <w:r>
        <w:fldChar w:fldCharType="end"/>
      </w:r>
    </w:p>
    <w:p>
      <w:pPr>
        <w:pStyle w:val="TOC8"/>
        <w:rPr>
          <w:rFonts w:asciiTheme="minorHAnsi" w:eastAsiaTheme="minorEastAsia" w:hAnsiTheme="minorHAnsi" w:cstheme="minorBidi"/>
          <w:szCs w:val="22"/>
        </w:rPr>
      </w:pPr>
      <w:r>
        <w:t>40</w:t>
      </w:r>
      <w:r>
        <w:rPr>
          <w:snapToGrid w:val="0"/>
        </w:rPr>
        <w:t>.</w:t>
      </w:r>
      <w:r>
        <w:rPr>
          <w:snapToGrid w:val="0"/>
        </w:rPr>
        <w:tab/>
        <w:t>Offences against this Part</w:t>
      </w:r>
      <w:r>
        <w:tab/>
      </w:r>
      <w:r>
        <w:fldChar w:fldCharType="begin"/>
      </w:r>
      <w:r>
        <w:instrText xml:space="preserve"> PAGEREF _Toc389745340 \h </w:instrText>
      </w:r>
      <w:r>
        <w:fldChar w:fldCharType="separate"/>
      </w:r>
      <w:r>
        <w:t>27</w:t>
      </w:r>
      <w:r>
        <w:fldChar w:fldCharType="end"/>
      </w:r>
    </w:p>
    <w:p>
      <w:pPr>
        <w:pStyle w:val="TOC2"/>
        <w:tabs>
          <w:tab w:val="right" w:leader="dot" w:pos="7086"/>
        </w:tabs>
        <w:rPr>
          <w:rFonts w:asciiTheme="minorHAnsi" w:eastAsiaTheme="minorEastAsia" w:hAnsiTheme="minorHAnsi" w:cstheme="minorBidi"/>
          <w:b w:val="0"/>
          <w:sz w:val="22"/>
          <w:szCs w:val="22"/>
        </w:rPr>
      </w:pPr>
      <w:r>
        <w:t>Part IV — Drugs of addiction</w:t>
      </w:r>
    </w:p>
    <w:p>
      <w:pPr>
        <w:pStyle w:val="TOC8"/>
        <w:rPr>
          <w:rFonts w:asciiTheme="minorHAnsi" w:eastAsiaTheme="minorEastAsia" w:hAnsiTheme="minorHAnsi" w:cstheme="minorBidi"/>
          <w:szCs w:val="22"/>
        </w:rPr>
      </w:pPr>
      <w:r>
        <w:t>41</w:t>
      </w:r>
      <w:r>
        <w:rPr>
          <w:snapToGrid w:val="0"/>
        </w:rPr>
        <w:t>.</w:t>
      </w:r>
      <w:r>
        <w:rPr>
          <w:snapToGrid w:val="0"/>
        </w:rPr>
        <w:tab/>
        <w:t>Use of Schedule 9 poisons for research etc.</w:t>
      </w:r>
      <w:r>
        <w:tab/>
      </w:r>
      <w:r>
        <w:fldChar w:fldCharType="begin"/>
      </w:r>
      <w:r>
        <w:instrText xml:space="preserve"> PAGEREF _Toc389745342 \h </w:instrText>
      </w:r>
      <w:r>
        <w:fldChar w:fldCharType="separate"/>
      </w:r>
      <w:r>
        <w:t>29</w:t>
      </w:r>
      <w:r>
        <w:fldChar w:fldCharType="end"/>
      </w:r>
    </w:p>
    <w:p>
      <w:pPr>
        <w:pStyle w:val="TOC8"/>
        <w:rPr>
          <w:rFonts w:asciiTheme="minorHAnsi" w:eastAsiaTheme="minorEastAsia" w:hAnsiTheme="minorHAnsi" w:cstheme="minorBidi"/>
          <w:szCs w:val="22"/>
        </w:rPr>
      </w:pPr>
      <w:r>
        <w:t>41A</w:t>
      </w:r>
      <w:r>
        <w:rPr>
          <w:snapToGrid w:val="0"/>
        </w:rPr>
        <w:t>.</w:t>
      </w:r>
      <w:r>
        <w:rPr>
          <w:snapToGrid w:val="0"/>
        </w:rPr>
        <w:tab/>
        <w:t>Licence to cultivate prohibited plants</w:t>
      </w:r>
      <w:r>
        <w:tab/>
      </w:r>
      <w:r>
        <w:fldChar w:fldCharType="begin"/>
      </w:r>
      <w:r>
        <w:instrText xml:space="preserve"> PAGEREF _Toc389745343 \h </w:instrText>
      </w:r>
      <w:r>
        <w:fldChar w:fldCharType="separate"/>
      </w:r>
      <w:r>
        <w:t>29</w:t>
      </w:r>
      <w:r>
        <w:fldChar w:fldCharType="end"/>
      </w:r>
    </w:p>
    <w:p>
      <w:pPr>
        <w:pStyle w:val="TOC8"/>
        <w:rPr>
          <w:rFonts w:asciiTheme="minorHAnsi" w:eastAsiaTheme="minorEastAsia" w:hAnsiTheme="minorHAnsi" w:cstheme="minorBidi"/>
          <w:szCs w:val="22"/>
        </w:rPr>
      </w:pPr>
      <w:r>
        <w:t>44</w:t>
      </w:r>
      <w:r>
        <w:rPr>
          <w:snapToGrid w:val="0"/>
        </w:rPr>
        <w:t>.</w:t>
      </w:r>
      <w:r>
        <w:rPr>
          <w:snapToGrid w:val="0"/>
        </w:rPr>
        <w:tab/>
        <w:t>Offences generally against this Part</w:t>
      </w:r>
      <w:r>
        <w:tab/>
      </w:r>
      <w:r>
        <w:fldChar w:fldCharType="begin"/>
      </w:r>
      <w:r>
        <w:instrText xml:space="preserve"> PAGEREF _Toc389745344 \h </w:instrText>
      </w:r>
      <w:r>
        <w:fldChar w:fldCharType="separate"/>
      </w:r>
      <w:r>
        <w:t>30</w:t>
      </w:r>
      <w:r>
        <w:fldChar w:fldCharType="end"/>
      </w:r>
    </w:p>
    <w:p>
      <w:pPr>
        <w:pStyle w:val="TOC8"/>
        <w:rPr>
          <w:rFonts w:asciiTheme="minorHAnsi" w:eastAsiaTheme="minorEastAsia" w:hAnsiTheme="minorHAnsi" w:cstheme="minorBidi"/>
          <w:szCs w:val="22"/>
        </w:rPr>
      </w:pPr>
      <w:r>
        <w:t>45</w:t>
      </w:r>
      <w:r>
        <w:rPr>
          <w:snapToGrid w:val="0"/>
        </w:rPr>
        <w:t>.</w:t>
      </w:r>
      <w:r>
        <w:rPr>
          <w:snapToGrid w:val="0"/>
        </w:rPr>
        <w:tab/>
        <w:t>Interpretation of “corresponding law”</w:t>
      </w:r>
      <w:r>
        <w:tab/>
      </w:r>
      <w:r>
        <w:fldChar w:fldCharType="begin"/>
      </w:r>
      <w:r>
        <w:instrText xml:space="preserve"> PAGEREF _Toc389745345 \h </w:instrText>
      </w:r>
      <w:r>
        <w:fldChar w:fldCharType="separate"/>
      </w:r>
      <w:r>
        <w:t>31</w:t>
      </w:r>
      <w:r>
        <w:fldChar w:fldCharType="end"/>
      </w:r>
    </w:p>
    <w:p>
      <w:pPr>
        <w:pStyle w:val="TOC2"/>
        <w:tabs>
          <w:tab w:val="right" w:leader="dot" w:pos="7086"/>
        </w:tabs>
        <w:rPr>
          <w:rFonts w:asciiTheme="minorHAnsi" w:eastAsiaTheme="minorEastAsia" w:hAnsiTheme="minorHAnsi" w:cstheme="minorBidi"/>
          <w:b w:val="0"/>
          <w:sz w:val="22"/>
          <w:szCs w:val="22"/>
        </w:rPr>
      </w:pPr>
      <w:r>
        <w:t>Part V — Miscellaneous provisions</w:t>
      </w:r>
    </w:p>
    <w:p>
      <w:pPr>
        <w:pStyle w:val="TOC8"/>
        <w:rPr>
          <w:rFonts w:asciiTheme="minorHAnsi" w:eastAsiaTheme="minorEastAsia" w:hAnsiTheme="minorHAnsi" w:cstheme="minorBidi"/>
          <w:szCs w:val="22"/>
        </w:rPr>
      </w:pPr>
      <w:r>
        <w:t>46</w:t>
      </w:r>
      <w:r>
        <w:rPr>
          <w:snapToGrid w:val="0"/>
        </w:rPr>
        <w:t>.</w:t>
      </w:r>
      <w:r>
        <w:rPr>
          <w:snapToGrid w:val="0"/>
        </w:rPr>
        <w:tab/>
        <w:t>Containers of poisons to be marked or labelled</w:t>
      </w:r>
      <w:r>
        <w:tab/>
      </w:r>
      <w:r>
        <w:fldChar w:fldCharType="begin"/>
      </w:r>
      <w:r>
        <w:instrText xml:space="preserve"> PAGEREF _Toc389745347 \h </w:instrText>
      </w:r>
      <w:r>
        <w:fldChar w:fldCharType="separate"/>
      </w:r>
      <w:r>
        <w:t>32</w:t>
      </w:r>
      <w:r>
        <w:fldChar w:fldCharType="end"/>
      </w:r>
    </w:p>
    <w:p>
      <w:pPr>
        <w:pStyle w:val="TOC8"/>
        <w:rPr>
          <w:rFonts w:asciiTheme="minorHAnsi" w:eastAsiaTheme="minorEastAsia" w:hAnsiTheme="minorHAnsi" w:cstheme="minorBidi"/>
          <w:szCs w:val="22"/>
        </w:rPr>
      </w:pPr>
      <w:r>
        <w:t>47</w:t>
      </w:r>
      <w:r>
        <w:rPr>
          <w:snapToGrid w:val="0"/>
        </w:rPr>
        <w:t>.</w:t>
      </w:r>
      <w:r>
        <w:rPr>
          <w:snapToGrid w:val="0"/>
        </w:rPr>
        <w:tab/>
        <w:t>Medicines for internal use not to be sold in certain packages or containers</w:t>
      </w:r>
      <w:r>
        <w:tab/>
      </w:r>
      <w:r>
        <w:fldChar w:fldCharType="begin"/>
      </w:r>
      <w:r>
        <w:instrText xml:space="preserve"> PAGEREF _Toc389745348 \h </w:instrText>
      </w:r>
      <w:r>
        <w:fldChar w:fldCharType="separate"/>
      </w:r>
      <w:r>
        <w:t>32</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Prohibition against hawking, etc.</w:t>
      </w:r>
      <w:r>
        <w:tab/>
      </w:r>
      <w:r>
        <w:fldChar w:fldCharType="begin"/>
      </w:r>
      <w:r>
        <w:instrText xml:space="preserve"> PAGEREF _Toc389745349 \h </w:instrText>
      </w:r>
      <w:r>
        <w:fldChar w:fldCharType="separate"/>
      </w:r>
      <w:r>
        <w:t>32</w:t>
      </w:r>
      <w:r>
        <w:fldChar w:fldCharType="end"/>
      </w:r>
    </w:p>
    <w:p>
      <w:pPr>
        <w:pStyle w:val="TOC8"/>
        <w:rPr>
          <w:rFonts w:asciiTheme="minorHAnsi" w:eastAsiaTheme="minorEastAsia" w:hAnsiTheme="minorHAnsi" w:cstheme="minorBidi"/>
          <w:szCs w:val="22"/>
        </w:rPr>
      </w:pPr>
      <w:r>
        <w:t>49</w:t>
      </w:r>
      <w:r>
        <w:rPr>
          <w:snapToGrid w:val="0"/>
        </w:rPr>
        <w:t>.</w:t>
      </w:r>
      <w:r>
        <w:rPr>
          <w:snapToGrid w:val="0"/>
        </w:rPr>
        <w:tab/>
        <w:t>Prohibition against selling by automatic machines</w:t>
      </w:r>
      <w:r>
        <w:tab/>
      </w:r>
      <w:r>
        <w:fldChar w:fldCharType="begin"/>
      </w:r>
      <w:r>
        <w:instrText xml:space="preserve"> PAGEREF _Toc389745350 \h </w:instrText>
      </w:r>
      <w:r>
        <w:fldChar w:fldCharType="separate"/>
      </w:r>
      <w:r>
        <w:t>33</w:t>
      </w:r>
      <w:r>
        <w:fldChar w:fldCharType="end"/>
      </w:r>
    </w:p>
    <w:p>
      <w:pPr>
        <w:pStyle w:val="TOC8"/>
        <w:rPr>
          <w:rFonts w:asciiTheme="minorHAnsi" w:eastAsiaTheme="minorEastAsia" w:hAnsiTheme="minorHAnsi" w:cstheme="minorBidi"/>
          <w:szCs w:val="22"/>
        </w:rPr>
      </w:pPr>
      <w:r>
        <w:t>50</w:t>
      </w:r>
      <w:r>
        <w:rPr>
          <w:snapToGrid w:val="0"/>
        </w:rPr>
        <w:t>.</w:t>
      </w:r>
      <w:r>
        <w:rPr>
          <w:snapToGrid w:val="0"/>
        </w:rPr>
        <w:tab/>
        <w:t>Leaving poisons unlabelled an offence</w:t>
      </w:r>
      <w:r>
        <w:tab/>
      </w:r>
      <w:r>
        <w:fldChar w:fldCharType="begin"/>
      </w:r>
      <w:r>
        <w:instrText xml:space="preserve"> PAGEREF _Toc389745351 \h </w:instrText>
      </w:r>
      <w:r>
        <w:fldChar w:fldCharType="separate"/>
      </w:r>
      <w:r>
        <w:t>34</w:t>
      </w:r>
      <w:r>
        <w:fldChar w:fldCharType="end"/>
      </w:r>
    </w:p>
    <w:p>
      <w:pPr>
        <w:pStyle w:val="TOC2"/>
        <w:tabs>
          <w:tab w:val="right" w:leader="dot" w:pos="7086"/>
        </w:tabs>
        <w:rPr>
          <w:rFonts w:asciiTheme="minorHAnsi" w:eastAsiaTheme="minorEastAsia" w:hAnsiTheme="minorHAnsi" w:cstheme="minorBidi"/>
          <w:b w:val="0"/>
          <w:sz w:val="22"/>
          <w:szCs w:val="22"/>
        </w:rPr>
      </w:pPr>
      <w:r>
        <w:t>Part VI — Supplementary provisions</w:t>
      </w:r>
    </w:p>
    <w:p>
      <w:pPr>
        <w:pStyle w:val="TOC8"/>
        <w:rPr>
          <w:rFonts w:asciiTheme="minorHAnsi" w:eastAsiaTheme="minorEastAsia" w:hAnsiTheme="minorHAnsi" w:cstheme="minorBidi"/>
          <w:szCs w:val="22"/>
        </w:rPr>
      </w:pPr>
      <w:r>
        <w:t>52</w:t>
      </w:r>
      <w:r>
        <w:rPr>
          <w:snapToGrid w:val="0"/>
        </w:rPr>
        <w:t>.</w:t>
      </w:r>
      <w:r>
        <w:rPr>
          <w:snapToGrid w:val="0"/>
        </w:rPr>
        <w:tab/>
        <w:t>Orders in Council may be cancelled or amended</w:t>
      </w:r>
      <w:r>
        <w:tab/>
      </w:r>
      <w:r>
        <w:fldChar w:fldCharType="begin"/>
      </w:r>
      <w:r>
        <w:instrText xml:space="preserve"> PAGEREF _Toc389745353 \h </w:instrText>
      </w:r>
      <w:r>
        <w:fldChar w:fldCharType="separate"/>
      </w:r>
      <w:r>
        <w:t>35</w:t>
      </w:r>
      <w:r>
        <w:fldChar w:fldCharType="end"/>
      </w:r>
    </w:p>
    <w:p>
      <w:pPr>
        <w:pStyle w:val="TOC8"/>
        <w:rPr>
          <w:rFonts w:asciiTheme="minorHAnsi" w:eastAsiaTheme="minorEastAsia" w:hAnsiTheme="minorHAnsi" w:cstheme="minorBidi"/>
          <w:szCs w:val="22"/>
        </w:rPr>
      </w:pPr>
      <w:r>
        <w:t>52A</w:t>
      </w:r>
      <w:r>
        <w:rPr>
          <w:snapToGrid w:val="0"/>
        </w:rPr>
        <w:t>.</w:t>
      </w:r>
      <w:r>
        <w:rPr>
          <w:snapToGrid w:val="0"/>
        </w:rPr>
        <w:tab/>
        <w:t>Minister may declare a person to be an authorised officer</w:t>
      </w:r>
      <w:r>
        <w:tab/>
      </w:r>
      <w:r>
        <w:fldChar w:fldCharType="begin"/>
      </w:r>
      <w:r>
        <w:instrText xml:space="preserve"> PAGEREF _Toc389745354 \h </w:instrText>
      </w:r>
      <w:r>
        <w:fldChar w:fldCharType="separate"/>
      </w:r>
      <w:r>
        <w:t>35</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Apprehension of offenders</w:t>
      </w:r>
      <w:r>
        <w:tab/>
      </w:r>
      <w:r>
        <w:fldChar w:fldCharType="begin"/>
      </w:r>
      <w:r>
        <w:instrText xml:space="preserve"> PAGEREF _Toc389745355 \h </w:instrText>
      </w:r>
      <w:r>
        <w:fldChar w:fldCharType="separate"/>
      </w:r>
      <w:r>
        <w:t>35</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Routine inspection</w:t>
      </w:r>
      <w:r>
        <w:tab/>
      </w:r>
      <w:r>
        <w:fldChar w:fldCharType="begin"/>
      </w:r>
      <w:r>
        <w:instrText xml:space="preserve"> PAGEREF _Toc389745356 \h </w:instrText>
      </w:r>
      <w:r>
        <w:fldChar w:fldCharType="separate"/>
      </w:r>
      <w:r>
        <w:t>36</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Powers in respect of premises, vehicles or vessels if offence suspected of being committed</w:t>
      </w:r>
      <w:r>
        <w:tab/>
      </w:r>
      <w:r>
        <w:fldChar w:fldCharType="begin"/>
      </w:r>
      <w:r>
        <w:instrText xml:space="preserve"> PAGEREF _Toc389745357 \h </w:instrText>
      </w:r>
      <w:r>
        <w:fldChar w:fldCharType="separate"/>
      </w:r>
      <w:r>
        <w:t>37</w:t>
      </w:r>
      <w:r>
        <w:fldChar w:fldCharType="end"/>
      </w:r>
    </w:p>
    <w:p>
      <w:pPr>
        <w:pStyle w:val="TOC8"/>
        <w:rPr>
          <w:rFonts w:asciiTheme="minorHAnsi" w:eastAsiaTheme="minorEastAsia" w:hAnsiTheme="minorHAnsi" w:cstheme="minorBidi"/>
          <w:szCs w:val="22"/>
        </w:rPr>
      </w:pPr>
      <w:r>
        <w:t>55A</w:t>
      </w:r>
      <w:r>
        <w:rPr>
          <w:snapToGrid w:val="0"/>
        </w:rPr>
        <w:t>.</w:t>
      </w:r>
      <w:r>
        <w:rPr>
          <w:snapToGrid w:val="0"/>
        </w:rPr>
        <w:tab/>
        <w:t>Warrants</w:t>
      </w:r>
      <w:r>
        <w:tab/>
      </w:r>
      <w:r>
        <w:fldChar w:fldCharType="begin"/>
      </w:r>
      <w:r>
        <w:instrText xml:space="preserve"> PAGEREF _Toc389745358 \h </w:instrText>
      </w:r>
      <w:r>
        <w:fldChar w:fldCharType="separate"/>
      </w:r>
      <w:r>
        <w:t>38</w:t>
      </w:r>
      <w:r>
        <w:fldChar w:fldCharType="end"/>
      </w:r>
    </w:p>
    <w:p>
      <w:pPr>
        <w:pStyle w:val="TOC8"/>
        <w:rPr>
          <w:rFonts w:asciiTheme="minorHAnsi" w:eastAsiaTheme="minorEastAsia" w:hAnsiTheme="minorHAnsi" w:cstheme="minorBidi"/>
          <w:szCs w:val="22"/>
        </w:rPr>
      </w:pPr>
      <w:r>
        <w:t>55B</w:t>
      </w:r>
      <w:r>
        <w:rPr>
          <w:snapToGrid w:val="0"/>
        </w:rPr>
        <w:t>.</w:t>
      </w:r>
      <w:r>
        <w:rPr>
          <w:snapToGrid w:val="0"/>
        </w:rPr>
        <w:tab/>
        <w:t>Person not to hinder or obstruct authorised officer</w:t>
      </w:r>
      <w:r>
        <w:tab/>
      </w:r>
      <w:r>
        <w:fldChar w:fldCharType="begin"/>
      </w:r>
      <w:r>
        <w:instrText xml:space="preserve"> PAGEREF _Toc389745359 \h </w:instrText>
      </w:r>
      <w:r>
        <w:fldChar w:fldCharType="separate"/>
      </w:r>
      <w:r>
        <w:t>38</w:t>
      </w:r>
      <w:r>
        <w:fldChar w:fldCharType="end"/>
      </w:r>
    </w:p>
    <w:p>
      <w:pPr>
        <w:pStyle w:val="TOC8"/>
        <w:rPr>
          <w:rFonts w:asciiTheme="minorHAnsi" w:eastAsiaTheme="minorEastAsia" w:hAnsiTheme="minorHAnsi" w:cstheme="minorBidi"/>
          <w:szCs w:val="22"/>
        </w:rPr>
      </w:pPr>
      <w:r>
        <w:t>55C</w:t>
      </w:r>
      <w:r>
        <w:rPr>
          <w:snapToGrid w:val="0"/>
        </w:rPr>
        <w:t>.</w:t>
      </w:r>
      <w:r>
        <w:rPr>
          <w:snapToGrid w:val="0"/>
        </w:rPr>
        <w:tab/>
        <w:t xml:space="preserve">Sections 54 to 55A do not derogate from the </w:t>
      </w:r>
      <w:r>
        <w:rPr>
          <w:i/>
          <w:snapToGrid w:val="0"/>
        </w:rPr>
        <w:t>Misuse of Drugs Act 1981</w:t>
      </w:r>
      <w:r>
        <w:tab/>
      </w:r>
      <w:r>
        <w:fldChar w:fldCharType="begin"/>
      </w:r>
      <w:r>
        <w:instrText xml:space="preserve"> PAGEREF _Toc389745360 \h </w:instrText>
      </w:r>
      <w:r>
        <w:fldChar w:fldCharType="separate"/>
      </w:r>
      <w:r>
        <w:t>39</w:t>
      </w:r>
      <w:r>
        <w:fldChar w:fldCharType="end"/>
      </w:r>
    </w:p>
    <w:p>
      <w:pPr>
        <w:pStyle w:val="TOC8"/>
        <w:rPr>
          <w:rFonts w:asciiTheme="minorHAnsi" w:eastAsiaTheme="minorEastAsia" w:hAnsiTheme="minorHAnsi" w:cstheme="minorBidi"/>
          <w:szCs w:val="22"/>
        </w:rPr>
      </w:pPr>
      <w:r>
        <w:t>55D</w:t>
      </w:r>
      <w:r>
        <w:rPr>
          <w:snapToGrid w:val="0"/>
        </w:rPr>
        <w:t>.</w:t>
      </w:r>
      <w:r>
        <w:rPr>
          <w:snapToGrid w:val="0"/>
        </w:rPr>
        <w:tab/>
        <w:t>Order for forfeiture</w:t>
      </w:r>
      <w:r>
        <w:tab/>
      </w:r>
      <w:r>
        <w:fldChar w:fldCharType="begin"/>
      </w:r>
      <w:r>
        <w:instrText xml:space="preserve"> PAGEREF _Toc389745361 \h </w:instrText>
      </w:r>
      <w:r>
        <w:fldChar w:fldCharType="separate"/>
      </w:r>
      <w:r>
        <w:t>39</w:t>
      </w:r>
      <w:r>
        <w:fldChar w:fldCharType="end"/>
      </w:r>
    </w:p>
    <w:p>
      <w:pPr>
        <w:pStyle w:val="TOC8"/>
        <w:rPr>
          <w:rFonts w:asciiTheme="minorHAnsi" w:eastAsiaTheme="minorEastAsia" w:hAnsiTheme="minorHAnsi" w:cstheme="minorBidi"/>
          <w:szCs w:val="22"/>
        </w:rPr>
      </w:pPr>
      <w:r>
        <w:t>55E</w:t>
      </w:r>
      <w:r>
        <w:rPr>
          <w:snapToGrid w:val="0"/>
        </w:rPr>
        <w:t>.</w:t>
      </w:r>
      <w:r>
        <w:rPr>
          <w:snapToGrid w:val="0"/>
        </w:rPr>
        <w:tab/>
        <w:t>Powers to quarantine or destroy poisons in certain circumstances</w:t>
      </w:r>
      <w:r>
        <w:tab/>
      </w:r>
      <w:r>
        <w:fldChar w:fldCharType="begin"/>
      </w:r>
      <w:r>
        <w:instrText xml:space="preserve"> PAGEREF _Toc389745362 \h </w:instrText>
      </w:r>
      <w:r>
        <w:fldChar w:fldCharType="separate"/>
      </w:r>
      <w:r>
        <w:t>39</w:t>
      </w:r>
      <w:r>
        <w:fldChar w:fldCharType="end"/>
      </w:r>
    </w:p>
    <w:p>
      <w:pPr>
        <w:pStyle w:val="TOC8"/>
        <w:rPr>
          <w:rFonts w:asciiTheme="minorHAnsi" w:eastAsiaTheme="minorEastAsia" w:hAnsiTheme="minorHAnsi" w:cstheme="minorBidi"/>
          <w:szCs w:val="22"/>
        </w:rPr>
      </w:pPr>
      <w:r>
        <w:t>56</w:t>
      </w:r>
      <w:r>
        <w:rPr>
          <w:snapToGrid w:val="0"/>
        </w:rPr>
        <w:t>.</w:t>
      </w:r>
      <w:r>
        <w:rPr>
          <w:snapToGrid w:val="0"/>
        </w:rPr>
        <w:tab/>
        <w:t>Sales by employees, etc.</w:t>
      </w:r>
      <w:r>
        <w:tab/>
      </w:r>
      <w:r>
        <w:fldChar w:fldCharType="begin"/>
      </w:r>
      <w:r>
        <w:instrText xml:space="preserve"> PAGEREF _Toc389745363 \h </w:instrText>
      </w:r>
      <w:r>
        <w:fldChar w:fldCharType="separate"/>
      </w:r>
      <w:r>
        <w:t>40</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Persons deemed to have sold poisons</w:t>
      </w:r>
      <w:r>
        <w:tab/>
      </w:r>
      <w:r>
        <w:fldChar w:fldCharType="begin"/>
      </w:r>
      <w:r>
        <w:instrText xml:space="preserve"> PAGEREF _Toc389745364 \h </w:instrText>
      </w:r>
      <w:r>
        <w:fldChar w:fldCharType="separate"/>
      </w:r>
      <w:r>
        <w:t>40</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Evidence on prosecutions</w:t>
      </w:r>
      <w:r>
        <w:tab/>
      </w:r>
      <w:r>
        <w:fldChar w:fldCharType="begin"/>
      </w:r>
      <w:r>
        <w:instrText xml:space="preserve"> PAGEREF _Toc389745365 \h </w:instrText>
      </w:r>
      <w:r>
        <w:fldChar w:fldCharType="separate"/>
      </w:r>
      <w:r>
        <w:t>42</w:t>
      </w:r>
      <w:r>
        <w:fldChar w:fldCharType="end"/>
      </w:r>
    </w:p>
    <w:p>
      <w:pPr>
        <w:pStyle w:val="TOC8"/>
        <w:rPr>
          <w:rFonts w:asciiTheme="minorHAnsi" w:eastAsiaTheme="minorEastAsia" w:hAnsiTheme="minorHAnsi" w:cstheme="minorBidi"/>
          <w:szCs w:val="22"/>
        </w:rPr>
      </w:pPr>
      <w:r>
        <w:t>59</w:t>
      </w:r>
      <w:r>
        <w:rPr>
          <w:snapToGrid w:val="0"/>
        </w:rPr>
        <w:t>.</w:t>
      </w:r>
      <w:r>
        <w:rPr>
          <w:snapToGrid w:val="0"/>
        </w:rPr>
        <w:tab/>
        <w:t>Publication of list of licensed persons</w:t>
      </w:r>
      <w:r>
        <w:tab/>
      </w:r>
      <w:r>
        <w:fldChar w:fldCharType="begin"/>
      </w:r>
      <w:r>
        <w:instrText xml:space="preserve"> PAGEREF _Toc389745366 \h </w:instrText>
      </w:r>
      <w:r>
        <w:fldChar w:fldCharType="separate"/>
      </w:r>
      <w:r>
        <w:t>42</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Proof of certificate of analysts</w:t>
      </w:r>
      <w:r>
        <w:tab/>
      </w:r>
      <w:r>
        <w:fldChar w:fldCharType="begin"/>
      </w:r>
      <w:r>
        <w:instrText xml:space="preserve"> PAGEREF _Toc389745367 \h </w:instrText>
      </w:r>
      <w:r>
        <w:fldChar w:fldCharType="separate"/>
      </w:r>
      <w:r>
        <w:t>43</w:t>
      </w:r>
      <w:r>
        <w:fldChar w:fldCharType="end"/>
      </w:r>
    </w:p>
    <w:p>
      <w:pPr>
        <w:pStyle w:val="TOC8"/>
        <w:rPr>
          <w:rFonts w:asciiTheme="minorHAnsi" w:eastAsiaTheme="minorEastAsia" w:hAnsiTheme="minorHAnsi" w:cstheme="minorBidi"/>
          <w:szCs w:val="22"/>
        </w:rPr>
      </w:pPr>
      <w:r>
        <w:t>61</w:t>
      </w:r>
      <w:r>
        <w:rPr>
          <w:snapToGrid w:val="0"/>
        </w:rPr>
        <w:t>.</w:t>
      </w:r>
      <w:r>
        <w:rPr>
          <w:snapToGrid w:val="0"/>
        </w:rPr>
        <w:tab/>
        <w:t>Evidence of qualifications</w:t>
      </w:r>
      <w:r>
        <w:tab/>
      </w:r>
      <w:r>
        <w:fldChar w:fldCharType="begin"/>
      </w:r>
      <w:r>
        <w:instrText xml:space="preserve"> PAGEREF _Toc389745368 \h </w:instrText>
      </w:r>
      <w:r>
        <w:fldChar w:fldCharType="separate"/>
      </w:r>
      <w:r>
        <w:t>44</w:t>
      </w:r>
      <w:r>
        <w:fldChar w:fldCharType="end"/>
      </w:r>
    </w:p>
    <w:p>
      <w:pPr>
        <w:pStyle w:val="TOC8"/>
        <w:rPr>
          <w:rFonts w:asciiTheme="minorHAnsi" w:eastAsiaTheme="minorEastAsia" w:hAnsiTheme="minorHAnsi" w:cstheme="minorBidi"/>
          <w:szCs w:val="22"/>
        </w:rPr>
      </w:pPr>
      <w:r>
        <w:t>61A</w:t>
      </w:r>
      <w:r>
        <w:rPr>
          <w:snapToGrid w:val="0"/>
        </w:rPr>
        <w:t>.</w:t>
      </w:r>
      <w:r>
        <w:rPr>
          <w:snapToGrid w:val="0"/>
        </w:rPr>
        <w:tab/>
        <w:t>Evidence of approval</w:t>
      </w:r>
      <w:r>
        <w:tab/>
      </w:r>
      <w:r>
        <w:fldChar w:fldCharType="begin"/>
      </w:r>
      <w:r>
        <w:instrText xml:space="preserve"> PAGEREF _Toc389745369 \h </w:instrText>
      </w:r>
      <w:r>
        <w:fldChar w:fldCharType="separate"/>
      </w:r>
      <w:r>
        <w:t>45</w:t>
      </w:r>
      <w:r>
        <w:fldChar w:fldCharType="end"/>
      </w:r>
    </w:p>
    <w:p>
      <w:pPr>
        <w:pStyle w:val="TOC8"/>
        <w:rPr>
          <w:rFonts w:asciiTheme="minorHAnsi" w:eastAsiaTheme="minorEastAsia" w:hAnsiTheme="minorHAnsi" w:cstheme="minorBidi"/>
          <w:szCs w:val="22"/>
        </w:rPr>
      </w:pPr>
      <w:r>
        <w:t>61B</w:t>
      </w:r>
      <w:r>
        <w:rPr>
          <w:snapToGrid w:val="0"/>
        </w:rPr>
        <w:t>.</w:t>
      </w:r>
      <w:r>
        <w:rPr>
          <w:snapToGrid w:val="0"/>
        </w:rPr>
        <w:tab/>
        <w:t>Evidence of contents of standard</w:t>
      </w:r>
      <w:r>
        <w:tab/>
      </w:r>
      <w:r>
        <w:fldChar w:fldCharType="begin"/>
      </w:r>
      <w:r>
        <w:instrText xml:space="preserve"> PAGEREF _Toc389745370 \h </w:instrText>
      </w:r>
      <w:r>
        <w:fldChar w:fldCharType="separate"/>
      </w:r>
      <w:r>
        <w:t>45</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General penalty</w:t>
      </w:r>
      <w:r>
        <w:tab/>
      </w:r>
      <w:r>
        <w:fldChar w:fldCharType="begin"/>
      </w:r>
      <w:r>
        <w:instrText xml:space="preserve"> PAGEREF _Toc389745371 \h </w:instrText>
      </w:r>
      <w:r>
        <w:fldChar w:fldCharType="separate"/>
      </w:r>
      <w:r>
        <w:t>45</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Protection from liability</w:t>
      </w:r>
      <w:r>
        <w:tab/>
      </w:r>
      <w:r>
        <w:fldChar w:fldCharType="begin"/>
      </w:r>
      <w:r>
        <w:instrText xml:space="preserve"> PAGEREF _Toc389745372 \h </w:instrText>
      </w:r>
      <w:r>
        <w:fldChar w:fldCharType="separate"/>
      </w:r>
      <w:r>
        <w:t>46</w:t>
      </w:r>
      <w:r>
        <w:fldChar w:fldCharType="end"/>
      </w:r>
    </w:p>
    <w:p>
      <w:pPr>
        <w:pStyle w:val="TOC8"/>
        <w:rPr>
          <w:rFonts w:asciiTheme="minorHAnsi" w:eastAsiaTheme="minorEastAsia" w:hAnsiTheme="minorHAnsi" w:cstheme="minorBidi"/>
          <w:szCs w:val="22"/>
        </w:rPr>
      </w:pPr>
      <w:r>
        <w:t>64</w:t>
      </w:r>
      <w:r>
        <w:rPr>
          <w:snapToGrid w:val="0"/>
        </w:rPr>
        <w:t>.</w:t>
      </w:r>
      <w:r>
        <w:rPr>
          <w:snapToGrid w:val="0"/>
        </w:rPr>
        <w:tab/>
        <w:t>Regulations</w:t>
      </w:r>
      <w:r>
        <w:tab/>
      </w:r>
      <w:r>
        <w:fldChar w:fldCharType="begin"/>
      </w:r>
      <w:r>
        <w:instrText xml:space="preserve"> PAGEREF _Toc389745373 \h </w:instrText>
      </w:r>
      <w:r>
        <w:fldChar w:fldCharType="separate"/>
      </w:r>
      <w:r>
        <w:t>46</w:t>
      </w:r>
      <w:r>
        <w:fldChar w:fldCharType="end"/>
      </w:r>
    </w:p>
    <w:p>
      <w:pPr>
        <w:pStyle w:val="TOC8"/>
        <w:rPr>
          <w:rFonts w:asciiTheme="minorHAnsi" w:eastAsiaTheme="minorEastAsia" w:hAnsiTheme="minorHAnsi" w:cstheme="minorBidi"/>
          <w:szCs w:val="22"/>
        </w:rPr>
      </w:pPr>
      <w:r>
        <w:t>64A</w:t>
      </w:r>
      <w:r>
        <w:rPr>
          <w:snapToGrid w:val="0"/>
        </w:rPr>
        <w:t>.</w:t>
      </w:r>
      <w:r>
        <w:rPr>
          <w:snapToGrid w:val="0"/>
        </w:rPr>
        <w:tab/>
        <w:t>Regulations may adopt standards</w:t>
      </w:r>
      <w:r>
        <w:tab/>
      </w:r>
      <w:r>
        <w:fldChar w:fldCharType="begin"/>
      </w:r>
      <w:r>
        <w:instrText xml:space="preserve"> PAGEREF _Toc389745374 \h </w:instrText>
      </w:r>
      <w:r>
        <w:fldChar w:fldCharType="separate"/>
      </w:r>
      <w:r>
        <w:t>51</w:t>
      </w:r>
      <w:r>
        <w:fldChar w:fldCharType="end"/>
      </w:r>
    </w:p>
    <w:p>
      <w:pPr>
        <w:pStyle w:val="TOC8"/>
        <w:rPr>
          <w:rFonts w:asciiTheme="minorHAnsi" w:eastAsiaTheme="minorEastAsia" w:hAnsiTheme="minorHAnsi" w:cstheme="minorBidi"/>
          <w:szCs w:val="22"/>
        </w:rPr>
      </w:pPr>
      <w:r>
        <w:t>64B</w:t>
      </w:r>
      <w:r>
        <w:rPr>
          <w:snapToGrid w:val="0"/>
        </w:rPr>
        <w:t>.</w:t>
      </w:r>
      <w:r>
        <w:rPr>
          <w:snapToGrid w:val="0"/>
        </w:rPr>
        <w:tab/>
        <w:t>Copies of standards to be kept and made available to public</w:t>
      </w:r>
      <w:r>
        <w:tab/>
      </w:r>
      <w:r>
        <w:fldChar w:fldCharType="begin"/>
      </w:r>
      <w:r>
        <w:instrText xml:space="preserve"> PAGEREF _Toc389745375 \h </w:instrText>
      </w:r>
      <w:r>
        <w:fldChar w:fldCharType="separate"/>
      </w:r>
      <w:r>
        <w:t>52</w:t>
      </w:r>
      <w:r>
        <w:fldChar w:fldCharType="end"/>
      </w:r>
    </w:p>
    <w:p>
      <w:pPr>
        <w:pStyle w:val="TOC2"/>
        <w:tabs>
          <w:tab w:val="right" w:leader="dot" w:pos="7086"/>
        </w:tabs>
        <w:rPr>
          <w:rFonts w:asciiTheme="minorHAnsi" w:eastAsiaTheme="minorEastAsia" w:hAnsiTheme="minorHAnsi" w:cstheme="minorBidi"/>
          <w:b w:val="0"/>
          <w:sz w:val="22"/>
          <w:szCs w:val="22"/>
        </w:rPr>
      </w:pPr>
      <w:r>
        <w:t>Appendix A</w:t>
      </w:r>
    </w:p>
    <w:p>
      <w:pPr>
        <w:pStyle w:val="TOC8"/>
        <w:rPr>
          <w:rFonts w:asciiTheme="minorHAnsi" w:eastAsiaTheme="minorEastAsia" w:hAnsiTheme="minorHAnsi" w:cstheme="minorBidi"/>
          <w:szCs w:val="22"/>
        </w:rPr>
      </w:pPr>
      <w:r>
        <w:t>1</w:t>
      </w:r>
      <w:r>
        <w:rPr>
          <w:snapToGrid w:val="0"/>
        </w:rPr>
        <w:t>.</w:t>
      </w:r>
      <w:r>
        <w:rPr>
          <w:snapToGrid w:val="0"/>
        </w:rPr>
        <w:tab/>
        <w:t>Interpretation</w:t>
      </w:r>
      <w:r>
        <w:tab/>
      </w:r>
      <w:r>
        <w:fldChar w:fldCharType="begin"/>
      </w:r>
      <w:r>
        <w:instrText xml:space="preserve"> PAGEREF _Toc389745377 \h </w:instrText>
      </w:r>
      <w:r>
        <w:fldChar w:fldCharType="separate"/>
      </w:r>
      <w:r>
        <w:t>53</w:t>
      </w:r>
      <w:r>
        <w:fldChar w:fldCharType="end"/>
      </w:r>
    </w:p>
    <w:p>
      <w:pPr>
        <w:pStyle w:val="TOC2"/>
        <w:tabs>
          <w:tab w:val="right" w:leader="dot" w:pos="7086"/>
        </w:tabs>
        <w:rPr>
          <w:rFonts w:asciiTheme="minorHAnsi" w:eastAsiaTheme="minorEastAsia" w:hAnsiTheme="minorHAnsi" w:cstheme="minorBidi"/>
          <w:b w:val="0"/>
          <w:sz w:val="22"/>
          <w:szCs w:val="22"/>
        </w:rPr>
      </w:pPr>
      <w:r>
        <w:t>Schedule 1</w:t>
      </w:r>
    </w:p>
    <w:p>
      <w:pPr>
        <w:pStyle w:val="TOC2"/>
        <w:tabs>
          <w:tab w:val="right" w:leader="dot" w:pos="7086"/>
        </w:tabs>
        <w:rPr>
          <w:rFonts w:asciiTheme="minorHAnsi" w:eastAsiaTheme="minorEastAsia" w:hAnsiTheme="minorHAnsi" w:cstheme="minorBidi"/>
          <w:b w:val="0"/>
          <w:sz w:val="22"/>
          <w:szCs w:val="22"/>
        </w:rPr>
      </w:pPr>
      <w:r>
        <w:t>Schedule 2</w:t>
      </w:r>
    </w:p>
    <w:p>
      <w:pPr>
        <w:pStyle w:val="TOC2"/>
        <w:tabs>
          <w:tab w:val="right" w:leader="dot" w:pos="7086"/>
        </w:tabs>
        <w:rPr>
          <w:rFonts w:asciiTheme="minorHAnsi" w:eastAsiaTheme="minorEastAsia" w:hAnsiTheme="minorHAnsi" w:cstheme="minorBidi"/>
          <w:b w:val="0"/>
          <w:sz w:val="22"/>
          <w:szCs w:val="22"/>
        </w:rPr>
      </w:pPr>
      <w:r>
        <w:t>Schedule 3</w:t>
      </w:r>
    </w:p>
    <w:p>
      <w:pPr>
        <w:pStyle w:val="TOC2"/>
        <w:tabs>
          <w:tab w:val="right" w:leader="dot" w:pos="7086"/>
        </w:tabs>
        <w:rPr>
          <w:rFonts w:asciiTheme="minorHAnsi" w:eastAsiaTheme="minorEastAsia" w:hAnsiTheme="minorHAnsi" w:cstheme="minorBidi"/>
          <w:b w:val="0"/>
          <w:sz w:val="22"/>
          <w:szCs w:val="22"/>
        </w:rPr>
      </w:pPr>
      <w:r>
        <w:t>Schedule 4</w:t>
      </w:r>
    </w:p>
    <w:p>
      <w:pPr>
        <w:pStyle w:val="TOC2"/>
        <w:tabs>
          <w:tab w:val="right" w:leader="dot" w:pos="7086"/>
        </w:tabs>
        <w:rPr>
          <w:rFonts w:asciiTheme="minorHAnsi" w:eastAsiaTheme="minorEastAsia" w:hAnsiTheme="minorHAnsi" w:cstheme="minorBidi"/>
          <w:b w:val="0"/>
          <w:sz w:val="22"/>
          <w:szCs w:val="22"/>
        </w:rPr>
      </w:pPr>
      <w:r>
        <w:t>Schedule 5</w:t>
      </w:r>
    </w:p>
    <w:p>
      <w:pPr>
        <w:pStyle w:val="TOC2"/>
        <w:tabs>
          <w:tab w:val="right" w:leader="dot" w:pos="7086"/>
        </w:tabs>
        <w:rPr>
          <w:rFonts w:asciiTheme="minorHAnsi" w:eastAsiaTheme="minorEastAsia" w:hAnsiTheme="minorHAnsi" w:cstheme="minorBidi"/>
          <w:b w:val="0"/>
          <w:sz w:val="22"/>
          <w:szCs w:val="22"/>
        </w:rPr>
      </w:pPr>
      <w:r>
        <w:t>Schedule 6</w:t>
      </w:r>
    </w:p>
    <w:p>
      <w:pPr>
        <w:pStyle w:val="TOC2"/>
        <w:tabs>
          <w:tab w:val="right" w:leader="dot" w:pos="7086"/>
        </w:tabs>
        <w:rPr>
          <w:rFonts w:asciiTheme="minorHAnsi" w:eastAsiaTheme="minorEastAsia" w:hAnsiTheme="minorHAnsi" w:cstheme="minorBidi"/>
          <w:b w:val="0"/>
          <w:sz w:val="22"/>
          <w:szCs w:val="22"/>
        </w:rPr>
      </w:pPr>
      <w:r>
        <w:t>Schedule 7</w:t>
      </w:r>
    </w:p>
    <w:p>
      <w:pPr>
        <w:pStyle w:val="TOC2"/>
        <w:tabs>
          <w:tab w:val="right" w:leader="dot" w:pos="7086"/>
        </w:tabs>
        <w:rPr>
          <w:rFonts w:asciiTheme="minorHAnsi" w:eastAsiaTheme="minorEastAsia" w:hAnsiTheme="minorHAnsi" w:cstheme="minorBidi"/>
          <w:b w:val="0"/>
          <w:sz w:val="22"/>
          <w:szCs w:val="22"/>
        </w:rPr>
      </w:pPr>
      <w:r>
        <w:t>Schedule 8</w:t>
      </w:r>
    </w:p>
    <w:p>
      <w:pPr>
        <w:pStyle w:val="TOC2"/>
        <w:tabs>
          <w:tab w:val="right" w:leader="dot" w:pos="7086"/>
        </w:tabs>
        <w:rPr>
          <w:rFonts w:asciiTheme="minorHAnsi" w:eastAsiaTheme="minorEastAsia" w:hAnsiTheme="minorHAnsi" w:cstheme="minorBidi"/>
          <w:b w:val="0"/>
          <w:sz w:val="22"/>
          <w:szCs w:val="22"/>
        </w:rPr>
      </w:pPr>
      <w:r>
        <w:t>Schedule 9</w:t>
      </w:r>
    </w:p>
    <w:p>
      <w:pPr>
        <w:pStyle w:val="TOC2"/>
        <w:tabs>
          <w:tab w:val="right" w:leader="dot" w:pos="7086"/>
        </w:tabs>
        <w:rPr>
          <w:rFonts w:asciiTheme="minorHAnsi" w:eastAsiaTheme="minorEastAsia" w:hAnsiTheme="minorHAnsi" w:cstheme="minorBidi"/>
          <w:b w:val="0"/>
          <w:sz w:val="22"/>
          <w:szCs w:val="22"/>
        </w:rPr>
      </w:pPr>
      <w:r>
        <w:t>Appendix B</w:t>
      </w:r>
    </w:p>
    <w:p>
      <w:pPr>
        <w:pStyle w:val="TOC2"/>
        <w:tabs>
          <w:tab w:val="right" w:leader="dot" w:pos="7086"/>
        </w:tabs>
        <w:rPr>
          <w:rFonts w:asciiTheme="minorHAnsi" w:eastAsiaTheme="minorEastAsia" w:hAnsiTheme="minorHAnsi" w:cstheme="minorBidi"/>
          <w:b w:val="0"/>
          <w:sz w:val="22"/>
          <w:szCs w:val="22"/>
        </w:rPr>
      </w:pPr>
      <w:r>
        <w:t>Conventions</w:t>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ab/>
        <w:t>Compilation table</w:t>
      </w:r>
      <w:r>
        <w:tab/>
      </w:r>
      <w:r>
        <w:fldChar w:fldCharType="begin"/>
      </w:r>
      <w:r>
        <w:instrText xml:space="preserve"> PAGEREF _Toc389745390 \h </w:instrText>
      </w:r>
      <w:r>
        <w:fldChar w:fldCharType="separate"/>
      </w:r>
      <w:r>
        <w:t>65</w:t>
      </w:r>
      <w:r>
        <w:fldChar w:fldCharType="end"/>
      </w:r>
    </w:p>
    <w:p>
      <w:pPr>
        <w:pStyle w:val="TOC8"/>
        <w:rPr>
          <w:rFonts w:asciiTheme="minorHAnsi" w:eastAsiaTheme="minorEastAsia" w:hAnsiTheme="minorHAnsi" w:cstheme="minorBidi"/>
          <w:szCs w:val="22"/>
        </w:rPr>
      </w:pPr>
      <w:r>
        <w:rPr>
          <w:snapToGrid w:val="0"/>
        </w:rPr>
        <w:tab/>
        <w:t>Provisions that have not come into operation</w:t>
      </w:r>
      <w:r>
        <w:tab/>
      </w:r>
      <w:r>
        <w:fldChar w:fldCharType="begin"/>
      </w:r>
      <w:r>
        <w:instrText xml:space="preserve"> PAGEREF _Toc389745391 \h </w:instrText>
      </w:r>
      <w:r>
        <w:fldChar w:fldCharType="separate"/>
      </w:r>
      <w:r>
        <w:t>68</w:t>
      </w:r>
      <w:r>
        <w:fldChar w:fldCharType="end"/>
      </w:r>
    </w:p>
    <w:p>
      <w:pPr>
        <w:rPr>
          <w:b/>
          <w:sz w:val="28"/>
        </w:rPr>
      </w:pPr>
      <w:r>
        <w:fldChar w:fldCharType="end"/>
      </w:r>
    </w:p>
    <w:p>
      <w:pPr>
        <w:pStyle w:val="NoteHeading"/>
        <w:sectPr>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pPr>
        <w:pStyle w:val="WA"/>
      </w:pPr>
      <w:r>
        <w:t>Western Australia</w:t>
      </w:r>
      <w:r>
        <w:rPr>
          <w:b/>
          <w:sz w:val="22"/>
        </w:rPr>
        <w:t xml:space="preserve"> </w:t>
      </w:r>
    </w:p>
    <w:p>
      <w:pPr>
        <w:pStyle w:val="NameofActReg"/>
        <w:spacing w:before="960" w:after="1080"/>
      </w:pPr>
      <w:r>
        <w:t xml:space="preserve">Poisons Act 1964 </w:t>
      </w:r>
    </w:p>
    <w:p>
      <w:pPr>
        <w:pStyle w:val="LongTitle"/>
        <w:spacing w:before="240"/>
        <w:rPr>
          <w:snapToGrid w:val="0"/>
        </w:rPr>
      </w:pPr>
      <w:r>
        <w:rPr>
          <w:snapToGrid w:val="0"/>
        </w:rPr>
        <w:t xml:space="preserve">An Act to regulate and control the possession, sale and use of poisons and other substances; to constitute a Poisons Advisory Committee; and for incidental and other purposes. </w:t>
      </w:r>
    </w:p>
    <w:p>
      <w:pPr>
        <w:pStyle w:val="Heading2"/>
      </w:pPr>
      <w:bookmarkStart w:id="1" w:name="_Toc389745292"/>
      <w:r>
        <w:rPr>
          <w:rStyle w:val="CharPartNo"/>
        </w:rPr>
        <w:t>Part I</w:t>
      </w:r>
      <w:r>
        <w:rPr>
          <w:rStyle w:val="CharDivNo"/>
        </w:rPr>
        <w:t> </w:t>
      </w:r>
      <w:r>
        <w:t>—</w:t>
      </w:r>
      <w:r>
        <w:rPr>
          <w:rStyle w:val="CharDivText"/>
        </w:rPr>
        <w:t> </w:t>
      </w:r>
      <w:r>
        <w:rPr>
          <w:rStyle w:val="CharPartText"/>
        </w:rPr>
        <w:t>Introductory provisions</w:t>
      </w:r>
      <w:bookmarkEnd w:id="1"/>
      <w:r>
        <w:rPr>
          <w:rStyle w:val="CharPartText"/>
        </w:rPr>
        <w:t xml:space="preserve"> </w:t>
      </w:r>
    </w:p>
    <w:p>
      <w:pPr>
        <w:pStyle w:val="Heading5"/>
        <w:rPr>
          <w:snapToGrid w:val="0"/>
        </w:rPr>
      </w:pPr>
      <w:bookmarkStart w:id="2" w:name="_Toc389745293"/>
      <w:r>
        <w:rPr>
          <w:rStyle w:val="CharSectno"/>
        </w:rPr>
        <w:t>1</w:t>
      </w:r>
      <w:r>
        <w:rPr>
          <w:snapToGrid w:val="0"/>
        </w:rPr>
        <w:t>.</w:t>
      </w:r>
      <w:r>
        <w:rPr>
          <w:snapToGrid w:val="0"/>
        </w:rPr>
        <w:tab/>
        <w:t>Short title</w:t>
      </w:r>
      <w:bookmarkEnd w:id="2"/>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3" w:name="_Toc389745294"/>
      <w:r>
        <w:rPr>
          <w:rStyle w:val="CharSectno"/>
        </w:rPr>
        <w:t>2</w:t>
      </w:r>
      <w:r>
        <w:rPr>
          <w:snapToGrid w:val="0"/>
        </w:rPr>
        <w:t>.</w:t>
      </w:r>
      <w:r>
        <w:rPr>
          <w:snapToGrid w:val="0"/>
        </w:rPr>
        <w:tab/>
        <w:t>Commencement</w:t>
      </w:r>
      <w:bookmarkEnd w:id="3"/>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4" w:name="_Toc389745295"/>
      <w:r>
        <w:rPr>
          <w:rStyle w:val="CharSectno"/>
        </w:rPr>
        <w:t>5</w:t>
      </w:r>
      <w:r>
        <w:rPr>
          <w:snapToGrid w:val="0"/>
        </w:rPr>
        <w:t>.</w:t>
      </w:r>
      <w:r>
        <w:rPr>
          <w:snapToGrid w:val="0"/>
        </w:rPr>
        <w:tab/>
        <w:t>Interpretation</w:t>
      </w:r>
      <w:bookmarkEnd w:id="4"/>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60"/>
      </w:pPr>
      <w:r>
        <w:rPr>
          <w:b/>
        </w:rPr>
        <w:tab/>
      </w:r>
      <w:r>
        <w:rPr>
          <w:rStyle w:val="CharDefText"/>
        </w:rPr>
        <w:t>container</w:t>
      </w:r>
      <w:r>
        <w:t>, in relation to a thing, means any bottle, vessel, tube, sachet, ampoule, syringe, vial, or other receptacle in which the thing is contained;</w:t>
      </w:r>
    </w:p>
    <w:p>
      <w:pPr>
        <w:pStyle w:val="Defstart"/>
      </w:pPr>
      <w:r>
        <w:rPr>
          <w:b/>
        </w:rPr>
        <w:tab/>
      </w:r>
      <w:r>
        <w:rPr>
          <w:rStyle w:val="CharDefText"/>
        </w:rPr>
        <w:t>dentist</w:t>
      </w:r>
      <w:r>
        <w:t xml:space="preserve"> means a dentist registered under the provisions of the </w:t>
      </w:r>
      <w:r>
        <w:rPr>
          <w:i/>
        </w:rPr>
        <w:t>Dental Act 1939</w:t>
      </w:r>
      <w:r>
        <w:t>;</w:t>
      </w:r>
    </w:p>
    <w:p>
      <w:pPr>
        <w:pStyle w:val="Defstart"/>
      </w:pPr>
      <w:r>
        <w:rPr>
          <w:b/>
        </w:rPr>
        <w:tab/>
      </w:r>
      <w:r>
        <w:rPr>
          <w:rStyle w:val="CharDefText"/>
        </w:rPr>
        <w:t>department</w:t>
      </w:r>
      <w:r>
        <w:t xml:space="preserve"> means the department of the Public Service of the State principally assisting the Minister in the administration of this Act;</w:t>
      </w:r>
    </w:p>
    <w:p>
      <w:pPr>
        <w:pStyle w:val="Defstart"/>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pPr>
      <w:r>
        <w:rPr>
          <w:b/>
        </w:rPr>
        <w:tab/>
      </w:r>
      <w:r>
        <w:rPr>
          <w:rStyle w:val="CharDefText"/>
        </w:rPr>
        <w:t>drug of addiction</w:t>
      </w:r>
      <w:r>
        <w:t xml:space="preserve"> means any substance included in Schedule 8 or 9;</w:t>
      </w:r>
    </w:p>
    <w:p>
      <w:pPr>
        <w:pStyle w:val="Defstart"/>
      </w:pPr>
      <w:r>
        <w:rPr>
          <w:b/>
        </w:rPr>
        <w:tab/>
      </w:r>
      <w:r>
        <w:rPr>
          <w:rStyle w:val="CharDefText"/>
        </w:rPr>
        <w:t>environmental health officer</w:t>
      </w:r>
      <w:r>
        <w:t xml:space="preserve"> means an environmental health officer referred to in the </w:t>
      </w:r>
      <w:r>
        <w:rPr>
          <w:i/>
        </w:rPr>
        <w:t>Health Act 1911</w:t>
      </w:r>
      <w:r>
        <w:t>;</w:t>
      </w:r>
    </w:p>
    <w:p>
      <w:pPr>
        <w:pStyle w:val="Defstart"/>
      </w:pPr>
      <w:r>
        <w:rPr>
          <w:b/>
        </w:rPr>
        <w:tab/>
      </w:r>
      <w:r>
        <w:rPr>
          <w:rStyle w:val="CharDefText"/>
        </w:rPr>
        <w:t>internal use</w:t>
      </w:r>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pPr>
      <w:r>
        <w:rPr>
          <w:b/>
        </w:rPr>
        <w:tab/>
      </w:r>
      <w:r>
        <w:rPr>
          <w:rStyle w:val="CharDefText"/>
        </w:rPr>
        <w:t>licence</w:t>
      </w:r>
      <w:r>
        <w:t xml:space="preserve"> means a licence granted under this Act that is valid and unexpired;</w:t>
      </w:r>
    </w:p>
    <w:p>
      <w:pPr>
        <w:pStyle w:val="Defstart"/>
      </w:pPr>
      <w:r>
        <w:rPr>
          <w:b/>
        </w:rPr>
        <w:tab/>
      </w:r>
      <w:r>
        <w:rPr>
          <w:rStyle w:val="CharDefText"/>
        </w:rPr>
        <w:t>licensee</w:t>
      </w:r>
      <w:r>
        <w:t xml:space="preserve"> means a person who holds or is entitled to exercise a licence under this Act;</w:t>
      </w:r>
    </w:p>
    <w:p>
      <w:pPr>
        <w:pStyle w:val="Defstart"/>
      </w:pPr>
      <w:r>
        <w:rPr>
          <w:b/>
        </w:rPr>
        <w:tab/>
      </w:r>
      <w:r>
        <w:rPr>
          <w:rStyle w:val="CharDefText"/>
        </w:rPr>
        <w:t>medical practitioner</w:t>
      </w:r>
      <w:r>
        <w:t xml:space="preserve"> means a medical practitioner registered under the </w:t>
      </w:r>
      <w:r>
        <w:rPr>
          <w:i/>
        </w:rPr>
        <w:t>Medical Act 1894</w:t>
      </w:r>
      <w:r>
        <w:t>, or any previous corresponding enactment;</w:t>
      </w:r>
    </w:p>
    <w:p>
      <w:pPr>
        <w:pStyle w:val="Defstart"/>
      </w:pPr>
      <w:r>
        <w:rPr>
          <w:b/>
        </w:rPr>
        <w:tab/>
      </w:r>
      <w:r>
        <w:rPr>
          <w:rStyle w:val="CharDefText"/>
        </w:rPr>
        <w:t>member</w:t>
      </w:r>
      <w:r>
        <w:t xml:space="preserve"> means a person occupying any of the offices of the Advisory Committee, including that of chairman;</w:t>
      </w:r>
    </w:p>
    <w:p>
      <w:pPr>
        <w:pStyle w:val="Defstart"/>
      </w:pPr>
      <w:r>
        <w:rPr>
          <w:b/>
        </w:rPr>
        <w:tab/>
      </w:r>
      <w:r>
        <w:rPr>
          <w:rStyle w:val="CharDefText"/>
        </w:rPr>
        <w:t>needle and syringe programme</w:t>
      </w:r>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t>principally for the purpose of preventing the spread of bloodborne infectious diseases;</w:t>
      </w:r>
    </w:p>
    <w:p>
      <w:pPr>
        <w:pStyle w:val="Defstart"/>
      </w:pPr>
      <w:r>
        <w:tab/>
      </w:r>
      <w:r>
        <w:rPr>
          <w:rStyle w:val="CharDefText"/>
        </w:rPr>
        <w:t>nurse practitioner</w:t>
      </w:r>
      <w:r>
        <w:t xml:space="preserve"> has the meaning given by section 3 of the </w:t>
      </w:r>
      <w:r>
        <w:rPr>
          <w:i/>
        </w:rPr>
        <w:t>Nurses and Midwives Act 2006</w:t>
      </w:r>
      <w:r>
        <w:rPr>
          <w:iCs/>
        </w:rPr>
        <w:t>;</w:t>
      </w:r>
    </w:p>
    <w:p>
      <w:pPr>
        <w:pStyle w:val="Defstart"/>
      </w:pPr>
      <w:r>
        <w:rPr>
          <w:b/>
        </w:rPr>
        <w:tab/>
      </w:r>
      <w:r>
        <w:rPr>
          <w:rStyle w:val="CharDefText"/>
        </w:rPr>
        <w:t>package</w:t>
      </w:r>
      <w:r>
        <w:t>, in relation to a thing, means any box, wrapper, strip pack, blister pack or other thing in which the thing is wrapped or packaged;</w:t>
      </w:r>
    </w:p>
    <w:p>
      <w:pPr>
        <w:pStyle w:val="Defstart"/>
      </w:pPr>
      <w:r>
        <w:rPr>
          <w:b/>
        </w:rPr>
        <w:tab/>
      </w:r>
      <w:r>
        <w:rPr>
          <w:rStyle w:val="CharDefText"/>
        </w:rPr>
        <w:t>pharmaceutical chemist</w:t>
      </w:r>
      <w:r>
        <w:t xml:space="preserve"> means a pharmaceutical chemist registered under the provisions of the </w:t>
      </w:r>
      <w:r>
        <w:rPr>
          <w:i/>
        </w:rPr>
        <w:t>Pharmacy Act 1964</w:t>
      </w:r>
      <w:r>
        <w:t>; or any previous corresponding enactment;</w:t>
      </w:r>
    </w:p>
    <w:p>
      <w:pPr>
        <w:pStyle w:val="Defstart"/>
      </w:pPr>
      <w:r>
        <w:rPr>
          <w:b/>
        </w:rPr>
        <w:tab/>
      </w:r>
      <w:r>
        <w:rPr>
          <w:rStyle w:val="CharDefText"/>
        </w:rPr>
        <w:t>poison</w:t>
      </w:r>
      <w:r>
        <w:t xml:space="preserve"> means any substance included in a Schedule;</w:t>
      </w:r>
    </w:p>
    <w:p>
      <w:pPr>
        <w:pStyle w:val="Defstart"/>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pPr>
      <w:r>
        <w:rPr>
          <w:b/>
        </w:rPr>
        <w:tab/>
      </w:r>
      <w:r>
        <w:rPr>
          <w:rStyle w:val="CharDefText"/>
        </w:rPr>
        <w:t>Schedule</w:t>
      </w:r>
      <w:r>
        <w:t xml:space="preserve"> means a Schedule in Appendix A;</w:t>
      </w:r>
    </w:p>
    <w:p>
      <w:pPr>
        <w:pStyle w:val="Defstart"/>
      </w:pPr>
      <w:r>
        <w:rPr>
          <w:b/>
        </w:rPr>
        <w:tab/>
      </w:r>
      <w:r>
        <w:rPr>
          <w:rStyle w:val="CharDefText"/>
        </w:rPr>
        <w:t>specified</w:t>
      </w:r>
      <w:r>
        <w:t>, in relation to a regulation, order, notice or other instrument, means specified in the regulation, order, notice or other instrument (as the case may be);</w:t>
      </w:r>
    </w:p>
    <w:p>
      <w:pPr>
        <w:pStyle w:val="Defstart"/>
      </w:pPr>
      <w:r>
        <w:rPr>
          <w:b/>
        </w:rPr>
        <w:tab/>
      </w:r>
      <w:r>
        <w:rPr>
          <w:rStyle w:val="CharDefText"/>
        </w:rPr>
        <w:t>specified drug</w:t>
      </w:r>
      <w:r>
        <w:t xml:space="preserve"> means any substance that is declared to be a specified drug for the purposes of this Act;</w:t>
      </w:r>
    </w:p>
    <w:p>
      <w:pPr>
        <w:pStyle w:val="Defstart"/>
      </w:pPr>
      <w:r>
        <w:rPr>
          <w:b/>
        </w:rPr>
        <w:tab/>
      </w:r>
      <w:r>
        <w:rPr>
          <w:rStyle w:val="CharDefText"/>
        </w:rPr>
        <w:t>standard</w:t>
      </w:r>
      <w:r>
        <w:t xml:space="preserve"> includes a code or other document;</w:t>
      </w:r>
    </w:p>
    <w:p>
      <w:pPr>
        <w:pStyle w:val="Defstart"/>
      </w:pPr>
      <w:r>
        <w:rPr>
          <w:b/>
        </w:rPr>
        <w:tab/>
      </w:r>
      <w:r>
        <w:rPr>
          <w:rStyle w:val="CharDefText"/>
        </w:rPr>
        <w:t>substance</w:t>
      </w:r>
      <w:r>
        <w:t xml:space="preserve"> includes substance, material, compound, preparation, and admixture;</w:t>
      </w:r>
    </w:p>
    <w:p>
      <w:pPr>
        <w:pStyle w:val="Defstart"/>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 xml:space="preserve">[Section 5 amended by No. 23 of 1966 s. 2; No. 6 of 1969 s. 3; No. 28 of 1984 s. 90; No. 12 of 1994 s. 4; No. 48 of 1995 s. 5; No. 9 of 2003 s. 35; No. 28 of 2006 s. 280; No. 50 of 2006 s. 114.] </w:t>
      </w:r>
    </w:p>
    <w:p>
      <w:pPr>
        <w:pStyle w:val="Heading5"/>
        <w:spacing w:before="180"/>
        <w:rPr>
          <w:snapToGrid w:val="0"/>
        </w:rPr>
      </w:pPr>
      <w:bookmarkStart w:id="5" w:name="_Toc389745296"/>
      <w:r>
        <w:rPr>
          <w:rStyle w:val="CharSectno"/>
        </w:rPr>
        <w:t>6</w:t>
      </w:r>
      <w:r>
        <w:rPr>
          <w:snapToGrid w:val="0"/>
        </w:rPr>
        <w:t>.</w:t>
      </w:r>
      <w:r>
        <w:rPr>
          <w:snapToGrid w:val="0"/>
        </w:rPr>
        <w:tab/>
        <w:t>Construction</w:t>
      </w:r>
      <w:bookmarkEnd w:id="5"/>
      <w:r>
        <w:rPr>
          <w:snapToGrid w:val="0"/>
        </w:rPr>
        <w:t xml:space="preserve"> </w:t>
      </w:r>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6" w:name="_Toc389745297"/>
      <w:r>
        <w:rPr>
          <w:rStyle w:val="CharSectno"/>
        </w:rPr>
        <w:t>6A</w:t>
      </w:r>
      <w:r>
        <w:rPr>
          <w:snapToGrid w:val="0"/>
        </w:rPr>
        <w:t>.</w:t>
      </w:r>
      <w:r>
        <w:rPr>
          <w:snapToGrid w:val="0"/>
        </w:rPr>
        <w:tab/>
        <w:t>Crown bound</w:t>
      </w:r>
      <w:bookmarkEnd w:id="6"/>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7" w:name="_Toc389745298"/>
      <w:r>
        <w:rPr>
          <w:rStyle w:val="CharSectno"/>
        </w:rPr>
        <w:t>7</w:t>
      </w:r>
      <w:r>
        <w:rPr>
          <w:snapToGrid w:val="0"/>
        </w:rPr>
        <w:t>.</w:t>
      </w:r>
      <w:r>
        <w:rPr>
          <w:snapToGrid w:val="0"/>
        </w:rPr>
        <w:tab/>
        <w:t>Administration</w:t>
      </w:r>
      <w:bookmarkEnd w:id="7"/>
      <w:r>
        <w:rPr>
          <w:snapToGrid w:val="0"/>
        </w:rPr>
        <w:t xml:space="preserve"> </w:t>
      </w:r>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 xml:space="preserve">[Section 7 amended by No. 28 of 1984 s. 92; No. 12 of 1994 s. 10; No. 28 of 2006 s. 282.] </w:t>
      </w:r>
    </w:p>
    <w:p>
      <w:pPr>
        <w:pStyle w:val="Heading5"/>
      </w:pPr>
      <w:bookmarkStart w:id="8" w:name="_Toc389745299"/>
      <w:r>
        <w:rPr>
          <w:rStyle w:val="CharSectno"/>
        </w:rPr>
        <w:t>7A</w:t>
      </w:r>
      <w:r>
        <w:t>.</w:t>
      </w:r>
      <w:r>
        <w:tab/>
        <w:t>Application: industrial hemp, industrial hemp seed and processed industrial hemp</w:t>
      </w:r>
      <w:bookmarkEnd w:id="8"/>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9" w:name="_Toc389745300"/>
      <w:r>
        <w:rPr>
          <w:rStyle w:val="CharPartNo"/>
        </w:rPr>
        <w:t>Part II</w:t>
      </w:r>
      <w:r>
        <w:rPr>
          <w:rStyle w:val="CharDivNo"/>
        </w:rPr>
        <w:t> </w:t>
      </w:r>
      <w:r>
        <w:t>—</w:t>
      </w:r>
      <w:r>
        <w:rPr>
          <w:rStyle w:val="CharDivText"/>
        </w:rPr>
        <w:t> </w:t>
      </w:r>
      <w:r>
        <w:rPr>
          <w:rStyle w:val="CharPartText"/>
        </w:rPr>
        <w:t>Poisons Advisory Committee</w:t>
      </w:r>
      <w:bookmarkEnd w:id="9"/>
      <w:r>
        <w:rPr>
          <w:rStyle w:val="CharPartText"/>
        </w:rPr>
        <w:t xml:space="preserve"> </w:t>
      </w:r>
    </w:p>
    <w:p>
      <w:pPr>
        <w:pStyle w:val="Heading5"/>
        <w:rPr>
          <w:snapToGrid w:val="0"/>
        </w:rPr>
      </w:pPr>
      <w:bookmarkStart w:id="10" w:name="_Toc389745301"/>
      <w:r>
        <w:rPr>
          <w:rStyle w:val="CharSectno"/>
        </w:rPr>
        <w:t>8</w:t>
      </w:r>
      <w:r>
        <w:rPr>
          <w:snapToGrid w:val="0"/>
        </w:rPr>
        <w:t>.</w:t>
      </w:r>
      <w:r>
        <w:rPr>
          <w:snapToGrid w:val="0"/>
        </w:rPr>
        <w:tab/>
        <w:t>Constitution of Poisons Advisory Committee</w:t>
      </w:r>
      <w:bookmarkEnd w:id="10"/>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 xml:space="preserve">[Section 8 amended by No. 63 of 1981 s. 4; No. 28 of 1984 s. 91; No. 12 of 1994 s. 5; No. 48 of 1995 s. 7; No. 28 of 2006 s. 282; No. 10 of 2007 s. 43.] </w:t>
      </w:r>
    </w:p>
    <w:p>
      <w:pPr>
        <w:pStyle w:val="Heading5"/>
        <w:rPr>
          <w:snapToGrid w:val="0"/>
        </w:rPr>
      </w:pPr>
      <w:bookmarkStart w:id="11" w:name="_Toc389745302"/>
      <w:r>
        <w:rPr>
          <w:rStyle w:val="CharSectno"/>
        </w:rPr>
        <w:t>9</w:t>
      </w:r>
      <w:r>
        <w:rPr>
          <w:snapToGrid w:val="0"/>
        </w:rPr>
        <w:t>.</w:t>
      </w:r>
      <w:r>
        <w:rPr>
          <w:snapToGrid w:val="0"/>
        </w:rPr>
        <w:tab/>
        <w:t>Procedure on default of nomination</w:t>
      </w:r>
      <w:bookmarkEnd w:id="11"/>
      <w:r>
        <w:rPr>
          <w:snapToGrid w:val="0"/>
        </w:rPr>
        <w:t xml:space="preserve"> </w:t>
      </w:r>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2" w:name="_Toc389745303"/>
      <w:r>
        <w:rPr>
          <w:rStyle w:val="CharSectno"/>
        </w:rPr>
        <w:t>10</w:t>
      </w:r>
      <w:r>
        <w:rPr>
          <w:snapToGrid w:val="0"/>
        </w:rPr>
        <w:t>.</w:t>
      </w:r>
      <w:r>
        <w:rPr>
          <w:snapToGrid w:val="0"/>
        </w:rPr>
        <w:tab/>
        <w:t>Term of office of nominee member</w:t>
      </w:r>
      <w:bookmarkEnd w:id="12"/>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3" w:name="_Toc389745304"/>
      <w:r>
        <w:rPr>
          <w:rStyle w:val="CharSectno"/>
        </w:rPr>
        <w:t>11</w:t>
      </w:r>
      <w:r>
        <w:rPr>
          <w:snapToGrid w:val="0"/>
        </w:rPr>
        <w:t>.</w:t>
      </w:r>
      <w:r>
        <w:rPr>
          <w:snapToGrid w:val="0"/>
        </w:rPr>
        <w:tab/>
        <w:t>Vacation of office</w:t>
      </w:r>
      <w:bookmarkEnd w:id="13"/>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14" w:name="_Toc389745305"/>
      <w:r>
        <w:rPr>
          <w:rStyle w:val="CharSectno"/>
        </w:rPr>
        <w:t>12</w:t>
      </w:r>
      <w:r>
        <w:rPr>
          <w:snapToGrid w:val="0"/>
        </w:rPr>
        <w:t>.</w:t>
      </w:r>
      <w:r>
        <w:rPr>
          <w:snapToGrid w:val="0"/>
        </w:rPr>
        <w:tab/>
        <w:t>Dismissal of members</w:t>
      </w:r>
      <w:bookmarkEnd w:id="14"/>
      <w:r>
        <w:rPr>
          <w:snapToGrid w:val="0"/>
        </w:rPr>
        <w:t xml:space="preserve"> </w:t>
      </w:r>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5" w:name="_Toc389745306"/>
      <w:r>
        <w:rPr>
          <w:rStyle w:val="CharSectno"/>
        </w:rPr>
        <w:t>13</w:t>
      </w:r>
      <w:r>
        <w:rPr>
          <w:snapToGrid w:val="0"/>
        </w:rPr>
        <w:t>.</w:t>
      </w:r>
      <w:r>
        <w:rPr>
          <w:snapToGrid w:val="0"/>
        </w:rPr>
        <w:tab/>
        <w:t>Leave of absence</w:t>
      </w:r>
      <w:bookmarkEnd w:id="15"/>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6" w:name="_Toc389745307"/>
      <w:r>
        <w:rPr>
          <w:rStyle w:val="CharSectno"/>
        </w:rPr>
        <w:t>14</w:t>
      </w:r>
      <w:r>
        <w:rPr>
          <w:snapToGrid w:val="0"/>
        </w:rPr>
        <w:t>.</w:t>
      </w:r>
      <w:r>
        <w:rPr>
          <w:snapToGrid w:val="0"/>
        </w:rPr>
        <w:tab/>
        <w:t>Deputies of members</w:t>
      </w:r>
      <w:bookmarkEnd w:id="16"/>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7" w:name="_Toc389745308"/>
      <w:r>
        <w:rPr>
          <w:rStyle w:val="CharSectno"/>
        </w:rPr>
        <w:t>15</w:t>
      </w:r>
      <w:r>
        <w:rPr>
          <w:snapToGrid w:val="0"/>
        </w:rPr>
        <w:t>.</w:t>
      </w:r>
      <w:r>
        <w:rPr>
          <w:snapToGrid w:val="0"/>
        </w:rPr>
        <w:tab/>
        <w:t>Acceptance of office</w:t>
      </w:r>
      <w:bookmarkEnd w:id="17"/>
      <w:r>
        <w:rPr>
          <w:snapToGrid w:val="0"/>
        </w:rPr>
        <w:t xml:space="preserve"> </w:t>
      </w:r>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18" w:name="_Toc389745309"/>
      <w:r>
        <w:rPr>
          <w:rStyle w:val="CharSectno"/>
        </w:rPr>
        <w:t>16</w:t>
      </w:r>
      <w:r>
        <w:rPr>
          <w:snapToGrid w:val="0"/>
        </w:rPr>
        <w:t>.</w:t>
      </w:r>
      <w:r>
        <w:rPr>
          <w:snapToGrid w:val="0"/>
        </w:rPr>
        <w:tab/>
        <w:t>Remuneration of members</w:t>
      </w:r>
      <w:bookmarkEnd w:id="18"/>
      <w:r>
        <w:rPr>
          <w:snapToGrid w:val="0"/>
        </w:rPr>
        <w:t xml:space="preserve"> </w:t>
      </w:r>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9" w:name="_Toc389745310"/>
      <w:r>
        <w:rPr>
          <w:rStyle w:val="CharSectno"/>
        </w:rPr>
        <w:t>17</w:t>
      </w:r>
      <w:r>
        <w:rPr>
          <w:snapToGrid w:val="0"/>
        </w:rPr>
        <w:t>.</w:t>
      </w:r>
      <w:r>
        <w:rPr>
          <w:snapToGrid w:val="0"/>
        </w:rPr>
        <w:tab/>
        <w:t>Meetings of Advisory Committee</w:t>
      </w:r>
      <w:bookmarkEnd w:id="19"/>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20" w:name="_Toc389745311"/>
      <w:r>
        <w:rPr>
          <w:rStyle w:val="CharSectno"/>
        </w:rPr>
        <w:t>18</w:t>
      </w:r>
      <w:r>
        <w:rPr>
          <w:snapToGrid w:val="0"/>
        </w:rPr>
        <w:t>.</w:t>
      </w:r>
      <w:r>
        <w:rPr>
          <w:snapToGrid w:val="0"/>
        </w:rPr>
        <w:tab/>
        <w:t>Officers of Advisory Committee</w:t>
      </w:r>
      <w:bookmarkEnd w:id="20"/>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21" w:name="_Toc389745312"/>
      <w:r>
        <w:rPr>
          <w:rStyle w:val="CharSectno"/>
        </w:rPr>
        <w:t>19</w:t>
      </w:r>
      <w:r>
        <w:rPr>
          <w:snapToGrid w:val="0"/>
        </w:rPr>
        <w:t>.</w:t>
      </w:r>
      <w:r>
        <w:rPr>
          <w:snapToGrid w:val="0"/>
        </w:rPr>
        <w:tab/>
        <w:t>Functions of Advisory Committee</w:t>
      </w:r>
      <w:bookmarkEnd w:id="21"/>
      <w:r>
        <w:rPr>
          <w:snapToGrid w:val="0"/>
        </w:rPr>
        <w:t xml:space="preserve"> </w:t>
      </w:r>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 xml:space="preserve">[Section 19 amended by No. 28 of 1984 s. 92; No. 12 of 1994 s. 10; No. 48 of 1995 s. 39; No. 28 of 2006 s. 282.] </w:t>
      </w:r>
    </w:p>
    <w:p>
      <w:pPr>
        <w:pStyle w:val="Heading2"/>
      </w:pPr>
      <w:bookmarkStart w:id="22" w:name="_Toc389745313"/>
      <w:r>
        <w:rPr>
          <w:rStyle w:val="CharPartNo"/>
        </w:rPr>
        <w:t>Part III</w:t>
      </w:r>
      <w:r>
        <w:t> — </w:t>
      </w:r>
      <w:r>
        <w:rPr>
          <w:rStyle w:val="CharPartText"/>
        </w:rPr>
        <w:t>Poisons and other substances</w:t>
      </w:r>
      <w:bookmarkEnd w:id="22"/>
      <w:r>
        <w:rPr>
          <w:rStyle w:val="CharPartText"/>
        </w:rPr>
        <w:t xml:space="preserve"> </w:t>
      </w:r>
    </w:p>
    <w:p>
      <w:pPr>
        <w:pStyle w:val="Heading3"/>
        <w:rPr>
          <w:snapToGrid w:val="0"/>
        </w:rPr>
      </w:pPr>
      <w:bookmarkStart w:id="23" w:name="_Toc389745314"/>
      <w:r>
        <w:rPr>
          <w:rStyle w:val="CharDivNo"/>
        </w:rPr>
        <w:t>Division 1</w:t>
      </w:r>
      <w:r>
        <w:rPr>
          <w:snapToGrid w:val="0"/>
        </w:rPr>
        <w:t> — </w:t>
      </w:r>
      <w:r>
        <w:rPr>
          <w:rStyle w:val="CharDivText"/>
        </w:rPr>
        <w:t>Classification</w:t>
      </w:r>
      <w:bookmarkEnd w:id="23"/>
      <w:r>
        <w:rPr>
          <w:rStyle w:val="CharDivText"/>
        </w:rPr>
        <w:t xml:space="preserve"> </w:t>
      </w:r>
    </w:p>
    <w:p>
      <w:pPr>
        <w:pStyle w:val="Heading5"/>
        <w:rPr>
          <w:snapToGrid w:val="0"/>
        </w:rPr>
      </w:pPr>
      <w:bookmarkStart w:id="24" w:name="_Toc389745315"/>
      <w:r>
        <w:rPr>
          <w:rStyle w:val="CharSectno"/>
        </w:rPr>
        <w:t>20</w:t>
      </w:r>
      <w:r>
        <w:rPr>
          <w:snapToGrid w:val="0"/>
        </w:rPr>
        <w:t>.</w:t>
      </w:r>
      <w:r>
        <w:rPr>
          <w:snapToGrid w:val="0"/>
        </w:rPr>
        <w:tab/>
        <w:t>Declaration of poisons</w:t>
      </w:r>
      <w:bookmarkEnd w:id="24"/>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spacing w:before="240"/>
        <w:rPr>
          <w:snapToGrid w:val="0"/>
        </w:rPr>
      </w:pPr>
      <w:bookmarkStart w:id="25" w:name="_Toc389745316"/>
      <w:r>
        <w:rPr>
          <w:rStyle w:val="CharSectno"/>
        </w:rPr>
        <w:t>20A</w:t>
      </w:r>
      <w:r>
        <w:rPr>
          <w:snapToGrid w:val="0"/>
        </w:rPr>
        <w:t>.</w:t>
      </w:r>
      <w:r>
        <w:rPr>
          <w:snapToGrid w:val="0"/>
        </w:rPr>
        <w:tab/>
        <w:t>How poisons may be identified in Schedules</w:t>
      </w:r>
      <w:bookmarkEnd w:id="25"/>
      <w:r>
        <w:rPr>
          <w:snapToGrid w:val="0"/>
        </w:rPr>
        <w:t xml:space="preserve"> </w:t>
      </w:r>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26" w:name="_Toc389745317"/>
      <w:r>
        <w:rPr>
          <w:rStyle w:val="CharSectno"/>
        </w:rPr>
        <w:t>21</w:t>
      </w:r>
      <w:r>
        <w:rPr>
          <w:snapToGrid w:val="0"/>
        </w:rPr>
        <w:t>.</w:t>
      </w:r>
      <w:r>
        <w:rPr>
          <w:snapToGrid w:val="0"/>
        </w:rPr>
        <w:tab/>
        <w:t>Amendment of Appendix A</w:t>
      </w:r>
      <w:bookmarkEnd w:id="26"/>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27" w:name="_Toc389745318"/>
      <w:r>
        <w:rPr>
          <w:rStyle w:val="CharSectno"/>
        </w:rPr>
        <w:t>21A</w:t>
      </w:r>
      <w:r>
        <w:rPr>
          <w:snapToGrid w:val="0"/>
        </w:rPr>
        <w:t>.</w:t>
      </w:r>
      <w:r>
        <w:rPr>
          <w:snapToGrid w:val="0"/>
        </w:rPr>
        <w:tab/>
        <w:t>Exemption of substances from Act</w:t>
      </w:r>
      <w:bookmarkEnd w:id="27"/>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28" w:name="_Toc389745319"/>
      <w:r>
        <w:rPr>
          <w:rStyle w:val="CharSectno"/>
        </w:rPr>
        <w:t>22</w:t>
      </w:r>
      <w:r>
        <w:rPr>
          <w:snapToGrid w:val="0"/>
        </w:rPr>
        <w:t>.</w:t>
      </w:r>
      <w:r>
        <w:rPr>
          <w:snapToGrid w:val="0"/>
        </w:rPr>
        <w:tab/>
        <w:t>Sale of any poison may be prohibited</w:t>
      </w:r>
      <w:bookmarkEnd w:id="28"/>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29" w:name="_Toc389745320"/>
      <w:r>
        <w:rPr>
          <w:rStyle w:val="CharSectno"/>
        </w:rPr>
        <w:t>22A</w:t>
      </w:r>
      <w:r>
        <w:rPr>
          <w:snapToGrid w:val="0"/>
        </w:rPr>
        <w:t>.</w:t>
      </w:r>
      <w:r>
        <w:rPr>
          <w:snapToGrid w:val="0"/>
        </w:rPr>
        <w:tab/>
        <w:t>Specified drugs</w:t>
      </w:r>
      <w:bookmarkEnd w:id="29"/>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30" w:name="_Toc389745321"/>
      <w:r>
        <w:rPr>
          <w:rStyle w:val="CharDivNo"/>
        </w:rPr>
        <w:t>Division 2</w:t>
      </w:r>
      <w:r>
        <w:rPr>
          <w:snapToGrid w:val="0"/>
        </w:rPr>
        <w:t> — </w:t>
      </w:r>
      <w:r>
        <w:rPr>
          <w:rStyle w:val="CharDivText"/>
        </w:rPr>
        <w:t>Sale of poisons</w:t>
      </w:r>
      <w:bookmarkEnd w:id="30"/>
      <w:r>
        <w:rPr>
          <w:rStyle w:val="CharDivText"/>
        </w:rPr>
        <w:t xml:space="preserve"> </w:t>
      </w:r>
    </w:p>
    <w:p>
      <w:pPr>
        <w:pStyle w:val="Heading5"/>
        <w:rPr>
          <w:snapToGrid w:val="0"/>
        </w:rPr>
      </w:pPr>
      <w:bookmarkStart w:id="31" w:name="_Toc389745322"/>
      <w:r>
        <w:rPr>
          <w:rStyle w:val="CharSectno"/>
        </w:rPr>
        <w:t>23</w:t>
      </w:r>
      <w:r>
        <w:rPr>
          <w:snapToGrid w:val="0"/>
        </w:rPr>
        <w:t>.</w:t>
      </w:r>
      <w:r>
        <w:rPr>
          <w:snapToGrid w:val="0"/>
        </w:rPr>
        <w:tab/>
        <w:t>Persons authorised to sell poisons</w:t>
      </w:r>
      <w:bookmarkEnd w:id="31"/>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 xml:space="preserve">[Section 23 amended by No. 6 of 1969 s. 5; No. 43 of 1978 s. 3; No. 28 of 1984 s. 92; No. 12 of 1994 s. 10; No. 48 of 1995 s. 11; No. 9 of 2003 s. 37; No. 28 of 2006 s. 282.] </w:t>
      </w:r>
    </w:p>
    <w:p>
      <w:pPr>
        <w:pStyle w:val="Heading5"/>
        <w:rPr>
          <w:snapToGrid w:val="0"/>
        </w:rPr>
      </w:pPr>
      <w:bookmarkStart w:id="32" w:name="_Toc389745323"/>
      <w:r>
        <w:rPr>
          <w:rStyle w:val="CharSectno"/>
        </w:rPr>
        <w:t>24</w:t>
      </w:r>
      <w:r>
        <w:rPr>
          <w:snapToGrid w:val="0"/>
        </w:rPr>
        <w:t>.</w:t>
      </w:r>
      <w:r>
        <w:rPr>
          <w:snapToGrid w:val="0"/>
        </w:rPr>
        <w:tab/>
        <w:t>Licences to sell poisons</w:t>
      </w:r>
      <w:bookmarkEnd w:id="32"/>
      <w:r>
        <w:rPr>
          <w:snapToGrid w:val="0"/>
        </w:rPr>
        <w:t xml:space="preserve"> </w:t>
      </w:r>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 xml:space="preserve">[Section 24 amended by No. 6 of 1969 s. 6; No. 28 of 1984 s. 92; No. 12 of 1994 s. 10; No. 48 of 1995 s. 12; No. 28 of 2006 s. 282.] </w:t>
      </w:r>
    </w:p>
    <w:p>
      <w:pPr>
        <w:pStyle w:val="Heading5"/>
        <w:spacing w:before="240"/>
        <w:rPr>
          <w:snapToGrid w:val="0"/>
        </w:rPr>
      </w:pPr>
      <w:bookmarkStart w:id="33" w:name="_Toc389745324"/>
      <w:r>
        <w:rPr>
          <w:rStyle w:val="CharSectno"/>
        </w:rPr>
        <w:t>25</w:t>
      </w:r>
      <w:r>
        <w:rPr>
          <w:snapToGrid w:val="0"/>
        </w:rPr>
        <w:t>.</w:t>
      </w:r>
      <w:r>
        <w:rPr>
          <w:snapToGrid w:val="0"/>
        </w:rPr>
        <w:tab/>
        <w:t>Permits to purchase poisons for specified purposes</w:t>
      </w:r>
      <w:bookmarkEnd w:id="33"/>
      <w:r>
        <w:rPr>
          <w:snapToGrid w:val="0"/>
        </w:rPr>
        <w:t xml:space="preserve"> </w:t>
      </w:r>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 xml:space="preserve">[Section 25 amended by No. 23 of 1966 s. 3; No. 28 of 1984 s. 92; No. 12 of 1994 s. 10; No. 48 of 1995 s. 13; No. 28 of 2006 s. 282.] </w:t>
      </w:r>
    </w:p>
    <w:p>
      <w:pPr>
        <w:pStyle w:val="Heading5"/>
        <w:spacing w:before="240"/>
        <w:rPr>
          <w:snapToGrid w:val="0"/>
        </w:rPr>
      </w:pPr>
      <w:bookmarkStart w:id="34" w:name="_Toc389745325"/>
      <w:r>
        <w:rPr>
          <w:rStyle w:val="CharSectno"/>
        </w:rPr>
        <w:t>26</w:t>
      </w:r>
      <w:r>
        <w:rPr>
          <w:snapToGrid w:val="0"/>
        </w:rPr>
        <w:t>.</w:t>
      </w:r>
      <w:r>
        <w:rPr>
          <w:snapToGrid w:val="0"/>
        </w:rPr>
        <w:tab/>
        <w:t>Form of licences and permits</w:t>
      </w:r>
      <w:bookmarkEnd w:id="34"/>
      <w:r>
        <w:rPr>
          <w:snapToGrid w:val="0"/>
        </w:rPr>
        <w:t xml:space="preserve"> </w:t>
      </w:r>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spacing w:before="180"/>
        <w:rPr>
          <w:snapToGrid w:val="0"/>
        </w:rPr>
      </w:pPr>
      <w:bookmarkStart w:id="35" w:name="_Toc389745326"/>
      <w:r>
        <w:rPr>
          <w:rStyle w:val="CharSectno"/>
        </w:rPr>
        <w:t>26A</w:t>
      </w:r>
      <w:r>
        <w:rPr>
          <w:snapToGrid w:val="0"/>
        </w:rPr>
        <w:t>.</w:t>
      </w:r>
      <w:r>
        <w:rPr>
          <w:snapToGrid w:val="0"/>
        </w:rPr>
        <w:tab/>
        <w:t>Conditions</w:t>
      </w:r>
      <w:bookmarkEnd w:id="35"/>
      <w:r>
        <w:rPr>
          <w:snapToGrid w:val="0"/>
        </w:rPr>
        <w:t xml:space="preserve"> </w:t>
      </w:r>
    </w:p>
    <w:p>
      <w:pPr>
        <w:pStyle w:val="Subsection"/>
        <w:keepNext/>
        <w:keepLines/>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 xml:space="preserve">[Section 26A inserted by No. 48 of 1995 s. 14; amended by No. 28 of 2006 s. 282.] </w:t>
      </w:r>
    </w:p>
    <w:p>
      <w:pPr>
        <w:pStyle w:val="Heading5"/>
        <w:rPr>
          <w:snapToGrid w:val="0"/>
        </w:rPr>
      </w:pPr>
      <w:bookmarkStart w:id="36" w:name="_Toc389745327"/>
      <w:r>
        <w:rPr>
          <w:rStyle w:val="CharSectno"/>
        </w:rPr>
        <w:t>26B</w:t>
      </w:r>
      <w:r>
        <w:rPr>
          <w:snapToGrid w:val="0"/>
        </w:rPr>
        <w:t>.</w:t>
      </w:r>
      <w:r>
        <w:rPr>
          <w:snapToGrid w:val="0"/>
        </w:rPr>
        <w:tab/>
        <w:t>Duration of licences and permits</w:t>
      </w:r>
      <w:bookmarkEnd w:id="36"/>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 xml:space="preserve">[Section 26B inserted by No. 48 of 1995 s. 14; amended by No. 28 of 2006 s. 282.] </w:t>
      </w:r>
    </w:p>
    <w:p>
      <w:pPr>
        <w:pStyle w:val="Heading5"/>
        <w:rPr>
          <w:snapToGrid w:val="0"/>
        </w:rPr>
      </w:pPr>
      <w:bookmarkStart w:id="37" w:name="_Toc389745328"/>
      <w:r>
        <w:rPr>
          <w:rStyle w:val="CharSectno"/>
        </w:rPr>
        <w:t>27</w:t>
      </w:r>
      <w:r>
        <w:rPr>
          <w:snapToGrid w:val="0"/>
        </w:rPr>
        <w:t>.</w:t>
      </w:r>
      <w:r>
        <w:rPr>
          <w:snapToGrid w:val="0"/>
        </w:rPr>
        <w:tab/>
        <w:t>Fees for licences, permits and renewals</w:t>
      </w:r>
      <w:bookmarkEnd w:id="37"/>
      <w:r>
        <w:rPr>
          <w:snapToGrid w:val="0"/>
        </w:rPr>
        <w:t xml:space="preserve"> </w:t>
      </w:r>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 xml:space="preserve">[Section 27 amended by No. 28 of 1984 s. 92; No. 12 of 1994 s. 10; No. 28 of 2006 s. 282.] </w:t>
      </w:r>
    </w:p>
    <w:p>
      <w:pPr>
        <w:pStyle w:val="Heading5"/>
        <w:rPr>
          <w:snapToGrid w:val="0"/>
        </w:rPr>
      </w:pPr>
      <w:bookmarkStart w:id="38" w:name="_Toc389745329"/>
      <w:r>
        <w:rPr>
          <w:rStyle w:val="CharSectno"/>
        </w:rPr>
        <w:t>28</w:t>
      </w:r>
      <w:r>
        <w:rPr>
          <w:snapToGrid w:val="0"/>
        </w:rPr>
        <w:t>.</w:t>
      </w:r>
      <w:r>
        <w:rPr>
          <w:snapToGrid w:val="0"/>
        </w:rPr>
        <w:tab/>
      </w:r>
      <w:r>
        <w:t xml:space="preserve">CEO </w:t>
      </w:r>
      <w:r>
        <w:rPr>
          <w:snapToGrid w:val="0"/>
        </w:rPr>
        <w:t>may cancel, suspend or revoke licence or permit</w:t>
      </w:r>
      <w:bookmarkEnd w:id="38"/>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 xml:space="preserve">[Section 28 amended by No. 29 of 1984 s. 92; No. 12 of 1994 s. 10; No. 28 of 2006 s. 282.] </w:t>
      </w:r>
    </w:p>
    <w:p>
      <w:pPr>
        <w:pStyle w:val="Heading5"/>
        <w:rPr>
          <w:snapToGrid w:val="0"/>
        </w:rPr>
      </w:pPr>
      <w:bookmarkStart w:id="39" w:name="_Toc389745330"/>
      <w:r>
        <w:rPr>
          <w:rStyle w:val="CharSectno"/>
        </w:rPr>
        <w:t>29</w:t>
      </w:r>
      <w:r>
        <w:rPr>
          <w:snapToGrid w:val="0"/>
        </w:rPr>
        <w:t>.</w:t>
      </w:r>
      <w:r>
        <w:rPr>
          <w:snapToGrid w:val="0"/>
        </w:rPr>
        <w:tab/>
        <w:t xml:space="preserve">Application for review of order of </w:t>
      </w:r>
      <w:r>
        <w:t>CEO</w:t>
      </w:r>
      <w:bookmarkEnd w:id="39"/>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 xml:space="preserve">[Section 29 amended by No. 28 of 1984 s. 92; No. 12 of 1994 s. 10; No. 55 of 2004 s. 965; No. 28 of 2006 s. 282.] </w:t>
      </w:r>
    </w:p>
    <w:p>
      <w:pPr>
        <w:pStyle w:val="Heading5"/>
        <w:rPr>
          <w:snapToGrid w:val="0"/>
        </w:rPr>
      </w:pPr>
      <w:bookmarkStart w:id="40" w:name="_Toc389745331"/>
      <w:r>
        <w:rPr>
          <w:rStyle w:val="CharSectno"/>
        </w:rPr>
        <w:t>30</w:t>
      </w:r>
      <w:r>
        <w:rPr>
          <w:snapToGrid w:val="0"/>
        </w:rPr>
        <w:t>.</w:t>
      </w:r>
      <w:r>
        <w:rPr>
          <w:snapToGrid w:val="0"/>
        </w:rPr>
        <w:tab/>
        <w:t>Licence not to be granted to company or friendly society</w:t>
      </w:r>
      <w:bookmarkEnd w:id="40"/>
      <w:r>
        <w:rPr>
          <w:snapToGrid w:val="0"/>
        </w:rPr>
        <w:t xml:space="preserve"> </w:t>
      </w:r>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41" w:name="_Toc389745332"/>
      <w:r>
        <w:rPr>
          <w:rStyle w:val="CharDivNo"/>
        </w:rPr>
        <w:t>Division 3</w:t>
      </w:r>
      <w:r>
        <w:rPr>
          <w:snapToGrid w:val="0"/>
        </w:rPr>
        <w:t> — </w:t>
      </w:r>
      <w:r>
        <w:rPr>
          <w:rStyle w:val="CharDivText"/>
        </w:rPr>
        <w:t>General provisions</w:t>
      </w:r>
      <w:bookmarkEnd w:id="41"/>
      <w:r>
        <w:rPr>
          <w:rStyle w:val="CharDivText"/>
        </w:rPr>
        <w:t xml:space="preserve"> </w:t>
      </w:r>
    </w:p>
    <w:p>
      <w:pPr>
        <w:pStyle w:val="Heading5"/>
        <w:rPr>
          <w:snapToGrid w:val="0"/>
        </w:rPr>
      </w:pPr>
      <w:bookmarkStart w:id="42" w:name="_Toc389745333"/>
      <w:r>
        <w:rPr>
          <w:rStyle w:val="CharSectno"/>
        </w:rPr>
        <w:t>31</w:t>
      </w:r>
      <w:r>
        <w:rPr>
          <w:snapToGrid w:val="0"/>
        </w:rPr>
        <w:t>.</w:t>
      </w:r>
      <w:r>
        <w:rPr>
          <w:snapToGrid w:val="0"/>
        </w:rPr>
        <w:tab/>
        <w:t>Sales of poison to be recorded in a book</w:t>
      </w:r>
      <w:bookmarkEnd w:id="42"/>
      <w:r>
        <w:rPr>
          <w:snapToGrid w:val="0"/>
        </w:rPr>
        <w:t xml:space="preserve"> </w:t>
      </w:r>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spacing w:before="180"/>
        <w:rPr>
          <w:snapToGrid w:val="0"/>
        </w:rPr>
      </w:pPr>
      <w:bookmarkStart w:id="43" w:name="_Toc389745334"/>
      <w:r>
        <w:rPr>
          <w:rStyle w:val="CharSectno"/>
        </w:rPr>
        <w:t>32</w:t>
      </w:r>
      <w:r>
        <w:rPr>
          <w:snapToGrid w:val="0"/>
        </w:rPr>
        <w:t>.</w:t>
      </w:r>
      <w:r>
        <w:rPr>
          <w:snapToGrid w:val="0"/>
        </w:rPr>
        <w:tab/>
        <w:t>Unauthorised sales of poisons</w:t>
      </w:r>
      <w:bookmarkEnd w:id="43"/>
      <w:r>
        <w:rPr>
          <w:snapToGrid w:val="0"/>
        </w:rPr>
        <w:t xml:space="preserve"> </w:t>
      </w:r>
    </w:p>
    <w:p>
      <w:pPr>
        <w:pStyle w:val="Subsection"/>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spacing w:before="180"/>
        <w:rPr>
          <w:snapToGrid w:val="0"/>
        </w:rPr>
      </w:pPr>
      <w:bookmarkStart w:id="44" w:name="_Toc389745335"/>
      <w:r>
        <w:rPr>
          <w:rStyle w:val="CharSectno"/>
        </w:rPr>
        <w:t>33</w:t>
      </w:r>
      <w:r>
        <w:rPr>
          <w:snapToGrid w:val="0"/>
        </w:rPr>
        <w:t>.</w:t>
      </w:r>
      <w:r>
        <w:rPr>
          <w:snapToGrid w:val="0"/>
        </w:rPr>
        <w:tab/>
        <w:t>Wholesaler not to sell by retail</w:t>
      </w:r>
      <w:bookmarkEnd w:id="44"/>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 xml:space="preserve">[Section 33 amended by No. 48 of 1995 s. 17.] </w:t>
      </w:r>
    </w:p>
    <w:p>
      <w:pPr>
        <w:pStyle w:val="Heading5"/>
        <w:spacing w:before="180"/>
        <w:rPr>
          <w:snapToGrid w:val="0"/>
        </w:rPr>
      </w:pPr>
      <w:bookmarkStart w:id="45" w:name="_Toc389745336"/>
      <w:r>
        <w:rPr>
          <w:rStyle w:val="CharSectno"/>
        </w:rPr>
        <w:t>34</w:t>
      </w:r>
      <w:r>
        <w:rPr>
          <w:snapToGrid w:val="0"/>
        </w:rPr>
        <w:t>.</w:t>
      </w:r>
      <w:r>
        <w:rPr>
          <w:snapToGrid w:val="0"/>
        </w:rPr>
        <w:tab/>
        <w:t>Sales to certain persons prohibited</w:t>
      </w:r>
      <w:bookmarkEnd w:id="45"/>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46" w:name="_Toc389745337"/>
      <w:r>
        <w:rPr>
          <w:rStyle w:val="CharSectno"/>
        </w:rPr>
        <w:t>35</w:t>
      </w:r>
      <w:r>
        <w:rPr>
          <w:snapToGrid w:val="0"/>
        </w:rPr>
        <w:t>.</w:t>
      </w:r>
      <w:r>
        <w:rPr>
          <w:snapToGrid w:val="0"/>
        </w:rPr>
        <w:tab/>
        <w:t>Making false declarations</w:t>
      </w:r>
      <w:bookmarkEnd w:id="46"/>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47" w:name="_Toc389745338"/>
      <w:r>
        <w:rPr>
          <w:rStyle w:val="CharSectno"/>
        </w:rPr>
        <w:t>36</w:t>
      </w:r>
      <w:r>
        <w:rPr>
          <w:snapToGrid w:val="0"/>
        </w:rPr>
        <w:t>.</w:t>
      </w:r>
      <w:r>
        <w:rPr>
          <w:snapToGrid w:val="0"/>
        </w:rPr>
        <w:tab/>
        <w:t>Drugs not to be used for self administration</w:t>
      </w:r>
      <w:bookmarkEnd w:id="47"/>
      <w:r>
        <w:rPr>
          <w:snapToGrid w:val="0"/>
        </w:rPr>
        <w:t xml:space="preserve"> </w:t>
      </w:r>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48" w:name="_Toc389745339"/>
      <w:r>
        <w:rPr>
          <w:rStyle w:val="CharSectno"/>
        </w:rPr>
        <w:t>36A</w:t>
      </w:r>
      <w:r>
        <w:rPr>
          <w:snapToGrid w:val="0"/>
        </w:rPr>
        <w:t>.</w:t>
      </w:r>
      <w:r>
        <w:rPr>
          <w:snapToGrid w:val="0"/>
        </w:rPr>
        <w:tab/>
        <w:t>Defence for persons participating in the conduct of needle and syringe programmes</w:t>
      </w:r>
      <w:bookmarkEnd w:id="48"/>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 xml:space="preserve">[Section 36A inserted by No. 12 of 1994 s. 7; amended by No. 28 of 2006 s. 282.] </w:t>
      </w:r>
    </w:p>
    <w:p>
      <w:pPr>
        <w:pStyle w:val="Ednotesection"/>
      </w:pPr>
      <w:r>
        <w:t>[</w:t>
      </w:r>
      <w:r>
        <w:rPr>
          <w:b/>
        </w:rPr>
        <w:t>37</w:t>
      </w:r>
      <w:r>
        <w:rPr>
          <w:b/>
        </w:rPr>
        <w:noBreakHyphen/>
        <w:t>39.</w:t>
      </w:r>
      <w:r>
        <w:tab/>
        <w:t xml:space="preserve">Repealed by No. 48 of 1995 s. 18.] </w:t>
      </w:r>
    </w:p>
    <w:p>
      <w:pPr>
        <w:pStyle w:val="Heading5"/>
        <w:rPr>
          <w:snapToGrid w:val="0"/>
        </w:rPr>
      </w:pPr>
      <w:bookmarkStart w:id="49" w:name="_Toc389745340"/>
      <w:r>
        <w:rPr>
          <w:rStyle w:val="CharSectno"/>
        </w:rPr>
        <w:t>40</w:t>
      </w:r>
      <w:r>
        <w:rPr>
          <w:snapToGrid w:val="0"/>
        </w:rPr>
        <w:t>.</w:t>
      </w:r>
      <w:r>
        <w:rPr>
          <w:snapToGrid w:val="0"/>
        </w:rPr>
        <w:tab/>
        <w:t>Offences against this Part</w:t>
      </w:r>
      <w:bookmarkEnd w:id="49"/>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 xml:space="preserve">[Section 40 amended by No. 23 of 1966 s. 6; No. 43 of 1978 s. 4; No. 28 of 1984 s. 92; No. 12 of 1994 s. 10; No. 48 of 1995 s. 19; No. 28 of 2006 s. 282.] </w:t>
      </w:r>
    </w:p>
    <w:p>
      <w:pPr>
        <w:pStyle w:val="Heading2"/>
      </w:pPr>
      <w:bookmarkStart w:id="50" w:name="_Toc389745341"/>
      <w:r>
        <w:rPr>
          <w:rStyle w:val="CharPartNo"/>
        </w:rPr>
        <w:t>Part IV</w:t>
      </w:r>
      <w:r>
        <w:rPr>
          <w:rStyle w:val="CharDivNo"/>
        </w:rPr>
        <w:t> </w:t>
      </w:r>
      <w:r>
        <w:t>—</w:t>
      </w:r>
      <w:r>
        <w:rPr>
          <w:rStyle w:val="CharDivText"/>
        </w:rPr>
        <w:t> </w:t>
      </w:r>
      <w:r>
        <w:rPr>
          <w:rStyle w:val="CharPartText"/>
        </w:rPr>
        <w:t>Drugs of addiction</w:t>
      </w:r>
      <w:bookmarkEnd w:id="50"/>
      <w:r>
        <w:rPr>
          <w:rStyle w:val="CharPartText"/>
        </w:rPr>
        <w:t xml:space="preserve"> </w:t>
      </w:r>
    </w:p>
    <w:p>
      <w:pPr>
        <w:pStyle w:val="Heading5"/>
        <w:spacing w:before="240"/>
        <w:rPr>
          <w:snapToGrid w:val="0"/>
        </w:rPr>
      </w:pPr>
      <w:bookmarkStart w:id="51" w:name="_Toc389745342"/>
      <w:r>
        <w:rPr>
          <w:rStyle w:val="CharSectno"/>
        </w:rPr>
        <w:t>41</w:t>
      </w:r>
      <w:r>
        <w:rPr>
          <w:snapToGrid w:val="0"/>
        </w:rPr>
        <w:t>.</w:t>
      </w:r>
      <w:r>
        <w:rPr>
          <w:snapToGrid w:val="0"/>
        </w:rPr>
        <w:tab/>
        <w:t>Use of Schedule 9 poisons for research etc.</w:t>
      </w:r>
      <w:bookmarkEnd w:id="51"/>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spacing w:before="240"/>
        <w:rPr>
          <w:snapToGrid w:val="0"/>
        </w:rPr>
      </w:pPr>
      <w:bookmarkStart w:id="52" w:name="_Toc389745343"/>
      <w:r>
        <w:rPr>
          <w:rStyle w:val="CharSectno"/>
        </w:rPr>
        <w:t>41A</w:t>
      </w:r>
      <w:r>
        <w:rPr>
          <w:snapToGrid w:val="0"/>
        </w:rPr>
        <w:t>.</w:t>
      </w:r>
      <w:r>
        <w:rPr>
          <w:snapToGrid w:val="0"/>
        </w:rPr>
        <w:tab/>
        <w:t>Licence to cultivate prohibited plants</w:t>
      </w:r>
      <w:bookmarkEnd w:id="52"/>
      <w:r>
        <w:rPr>
          <w:snapToGrid w:val="0"/>
        </w:rPr>
        <w:t xml:space="preserve"> </w:t>
      </w:r>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 xml:space="preserve">[Section 41A inserted by No. 23 of 1966 s. 8; amended by No. 57 of 1981 s. 17; No. 28 of 1984 s. 92; No. 12 of 1994 s. 10; No. 28 of 2006 s. 282.] </w:t>
      </w:r>
    </w:p>
    <w:p>
      <w:pPr>
        <w:pStyle w:val="Ednotesection"/>
        <w:spacing w:before="240"/>
        <w:ind w:left="890" w:hanging="890"/>
      </w:pPr>
      <w:r>
        <w:t>[</w:t>
      </w:r>
      <w:r>
        <w:rPr>
          <w:b/>
        </w:rPr>
        <w:t>42.</w:t>
      </w:r>
      <w:r>
        <w:tab/>
        <w:t xml:space="preserve">Repealed by No. 57 of 1981 s. 18.] </w:t>
      </w:r>
    </w:p>
    <w:p>
      <w:pPr>
        <w:pStyle w:val="Ednotesection"/>
        <w:keepNext/>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53" w:name="_Toc389745344"/>
      <w:r>
        <w:rPr>
          <w:rStyle w:val="CharSectno"/>
        </w:rPr>
        <w:t>44</w:t>
      </w:r>
      <w:r>
        <w:rPr>
          <w:snapToGrid w:val="0"/>
        </w:rPr>
        <w:t>.</w:t>
      </w:r>
      <w:r>
        <w:rPr>
          <w:snapToGrid w:val="0"/>
        </w:rPr>
        <w:tab/>
        <w:t>Offences generally against this Part</w:t>
      </w:r>
      <w:bookmarkEnd w:id="53"/>
      <w:r>
        <w:rPr>
          <w:snapToGrid w:val="0"/>
        </w:rPr>
        <w:t xml:space="preserve"> </w:t>
      </w:r>
    </w:p>
    <w:p>
      <w:pPr>
        <w:pStyle w:val="Subsection"/>
        <w:keepNext/>
        <w:rPr>
          <w:snapToGrid w:val="0"/>
        </w:rPr>
      </w:pPr>
      <w:r>
        <w:rPr>
          <w:snapToGrid w:val="0"/>
        </w:rPr>
        <w:tab/>
        <w:t>(1)</w:t>
      </w:r>
      <w:r>
        <w:rPr>
          <w:snapToGrid w:val="0"/>
        </w:rPr>
        <w:tab/>
        <w:t>A person who —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 xml:space="preserve">[Section 44 amended by No. 23 of 1966 s. 9; No. 51 of 1967 s. 2; No. 87 of 1970 s. 4; No. 43 of 1978 s. 6; No. 48 of 1995 s. 21.] </w:t>
      </w:r>
    </w:p>
    <w:p>
      <w:pPr>
        <w:pStyle w:val="Heading5"/>
        <w:rPr>
          <w:snapToGrid w:val="0"/>
        </w:rPr>
      </w:pPr>
      <w:bookmarkStart w:id="54" w:name="_Toc389745345"/>
      <w:r>
        <w:rPr>
          <w:rStyle w:val="CharSectno"/>
        </w:rPr>
        <w:t>45</w:t>
      </w:r>
      <w:r>
        <w:rPr>
          <w:snapToGrid w:val="0"/>
        </w:rPr>
        <w:t>.</w:t>
      </w:r>
      <w:r>
        <w:rPr>
          <w:snapToGrid w:val="0"/>
        </w:rPr>
        <w:tab/>
        <w:t>Interpretation of “corresponding law”</w:t>
      </w:r>
      <w:bookmarkEnd w:id="54"/>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55" w:name="_Toc389745346"/>
      <w:r>
        <w:rPr>
          <w:rStyle w:val="CharPartNo"/>
        </w:rPr>
        <w:t>Part V</w:t>
      </w:r>
      <w:r>
        <w:rPr>
          <w:rStyle w:val="CharDivNo"/>
        </w:rPr>
        <w:t> </w:t>
      </w:r>
      <w:r>
        <w:t>—</w:t>
      </w:r>
      <w:r>
        <w:rPr>
          <w:rStyle w:val="CharDivText"/>
        </w:rPr>
        <w:t> </w:t>
      </w:r>
      <w:r>
        <w:rPr>
          <w:rStyle w:val="CharPartText"/>
        </w:rPr>
        <w:t>Miscellaneous provisions</w:t>
      </w:r>
      <w:bookmarkEnd w:id="55"/>
      <w:r>
        <w:rPr>
          <w:rStyle w:val="CharPartText"/>
        </w:rPr>
        <w:t xml:space="preserve"> </w:t>
      </w:r>
    </w:p>
    <w:p>
      <w:pPr>
        <w:pStyle w:val="Heading5"/>
        <w:spacing w:before="240"/>
        <w:rPr>
          <w:snapToGrid w:val="0"/>
        </w:rPr>
      </w:pPr>
      <w:bookmarkStart w:id="56" w:name="_Toc389745347"/>
      <w:r>
        <w:rPr>
          <w:rStyle w:val="CharSectno"/>
        </w:rPr>
        <w:t>46</w:t>
      </w:r>
      <w:r>
        <w:rPr>
          <w:snapToGrid w:val="0"/>
        </w:rPr>
        <w:t>.</w:t>
      </w:r>
      <w:r>
        <w:rPr>
          <w:snapToGrid w:val="0"/>
        </w:rPr>
        <w:tab/>
        <w:t>Containers of poisons to be marked or labelled</w:t>
      </w:r>
      <w:bookmarkEnd w:id="56"/>
      <w:r>
        <w:rPr>
          <w:snapToGrid w:val="0"/>
        </w:rPr>
        <w:t xml:space="preserve"> </w:t>
      </w:r>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 xml:space="preserve">[Section 46 amended by No. 48 of 1995 s. 23 and 39.] </w:t>
      </w:r>
    </w:p>
    <w:p>
      <w:pPr>
        <w:pStyle w:val="Heading5"/>
        <w:spacing w:before="240"/>
        <w:rPr>
          <w:snapToGrid w:val="0"/>
        </w:rPr>
      </w:pPr>
      <w:bookmarkStart w:id="57" w:name="_Toc389745348"/>
      <w:r>
        <w:rPr>
          <w:rStyle w:val="CharSectno"/>
        </w:rPr>
        <w:t>47</w:t>
      </w:r>
      <w:r>
        <w:rPr>
          <w:snapToGrid w:val="0"/>
        </w:rPr>
        <w:t>.</w:t>
      </w:r>
      <w:r>
        <w:rPr>
          <w:snapToGrid w:val="0"/>
        </w:rPr>
        <w:tab/>
        <w:t>Medicines for internal use not to be sold in certain packages or containers</w:t>
      </w:r>
      <w:bookmarkEnd w:id="57"/>
      <w:r>
        <w:rPr>
          <w:snapToGrid w:val="0"/>
        </w:rPr>
        <w:t xml:space="preserve"> </w:t>
      </w:r>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 xml:space="preserve">[Section 47 amended by No. 48 of 1995 s. 24.] </w:t>
      </w:r>
    </w:p>
    <w:p>
      <w:pPr>
        <w:pStyle w:val="Heading5"/>
        <w:spacing w:before="240"/>
        <w:rPr>
          <w:snapToGrid w:val="0"/>
        </w:rPr>
      </w:pPr>
      <w:bookmarkStart w:id="58" w:name="_Toc389745349"/>
      <w:r>
        <w:rPr>
          <w:rStyle w:val="CharSectno"/>
        </w:rPr>
        <w:t>48</w:t>
      </w:r>
      <w:r>
        <w:rPr>
          <w:snapToGrid w:val="0"/>
        </w:rPr>
        <w:t>.</w:t>
      </w:r>
      <w:r>
        <w:rPr>
          <w:snapToGrid w:val="0"/>
        </w:rPr>
        <w:tab/>
        <w:t>Prohibition against hawking, etc.</w:t>
      </w:r>
      <w:bookmarkEnd w:id="58"/>
      <w:r>
        <w:rPr>
          <w:snapToGrid w:val="0"/>
        </w:rPr>
        <w:t xml:space="preserve"> </w:t>
      </w:r>
    </w:p>
    <w:p>
      <w:pPr>
        <w:pStyle w:val="Subsection"/>
        <w:spacing w:before="180"/>
        <w:rPr>
          <w:snapToGrid w:val="0"/>
        </w:rPr>
      </w:pPr>
      <w:r>
        <w:rPr>
          <w:snapToGrid w:val="0"/>
        </w:rPr>
        <w:tab/>
      </w:r>
      <w:r>
        <w:rPr>
          <w:snapToGrid w:val="0"/>
        </w:rPr>
        <w:tab/>
        <w:t>A person shall not —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 xml:space="preserve">[Section 48 amended by No. 23 of 1966 s. 10; No. 28 of 1984 s. 92; No. 12 of 1994 s. 10; No. 48 of 1995 s. 25.] </w:t>
      </w:r>
    </w:p>
    <w:p>
      <w:pPr>
        <w:pStyle w:val="Heading5"/>
        <w:rPr>
          <w:snapToGrid w:val="0"/>
        </w:rPr>
      </w:pPr>
      <w:bookmarkStart w:id="59" w:name="_Toc389745350"/>
      <w:r>
        <w:rPr>
          <w:rStyle w:val="CharSectno"/>
        </w:rPr>
        <w:t>49</w:t>
      </w:r>
      <w:r>
        <w:rPr>
          <w:snapToGrid w:val="0"/>
        </w:rPr>
        <w:t>.</w:t>
      </w:r>
      <w:r>
        <w:rPr>
          <w:snapToGrid w:val="0"/>
        </w:rPr>
        <w:tab/>
        <w:t>Prohibition against selling by automatic machines</w:t>
      </w:r>
      <w:bookmarkEnd w:id="59"/>
      <w:r>
        <w:rPr>
          <w:snapToGrid w:val="0"/>
        </w:rPr>
        <w:t xml:space="preserve"> </w:t>
      </w:r>
    </w:p>
    <w:p>
      <w:pPr>
        <w:pStyle w:val="Subsection"/>
        <w:keepNext/>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60" w:name="_Toc389745351"/>
      <w:r>
        <w:rPr>
          <w:rStyle w:val="CharSectno"/>
        </w:rPr>
        <w:t>50</w:t>
      </w:r>
      <w:r>
        <w:rPr>
          <w:snapToGrid w:val="0"/>
        </w:rPr>
        <w:t>.</w:t>
      </w:r>
      <w:r>
        <w:rPr>
          <w:snapToGrid w:val="0"/>
        </w:rPr>
        <w:tab/>
        <w:t>Leaving poisons unlabelled an offence</w:t>
      </w:r>
      <w:bookmarkEnd w:id="60"/>
      <w:r>
        <w:rPr>
          <w:snapToGrid w:val="0"/>
        </w:rPr>
        <w:t xml:space="preserve"> </w:t>
      </w:r>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 xml:space="preserve">[Section 50 amended by No. 23 of 1966 s. 12; No. 28 of 1984 s. 92; No. 12 of 1994 s. 10; No. 48 of 1995 s. 27; No. 28 of 2006 s. 282.] </w:t>
      </w:r>
    </w:p>
    <w:p>
      <w:pPr>
        <w:pStyle w:val="Ednotesection"/>
      </w:pPr>
      <w:r>
        <w:t>[</w:t>
      </w:r>
      <w:r>
        <w:rPr>
          <w:b/>
        </w:rPr>
        <w:t>51.</w:t>
      </w:r>
      <w:r>
        <w:tab/>
        <w:t xml:space="preserve">Repealed by No. 48 of 1995 s. 28.] </w:t>
      </w:r>
    </w:p>
    <w:p>
      <w:pPr>
        <w:pStyle w:val="Heading2"/>
      </w:pPr>
      <w:bookmarkStart w:id="61" w:name="_Toc389745352"/>
      <w:r>
        <w:rPr>
          <w:rStyle w:val="CharPartNo"/>
        </w:rPr>
        <w:t>Part VI</w:t>
      </w:r>
      <w:r>
        <w:rPr>
          <w:rStyle w:val="CharDivNo"/>
        </w:rPr>
        <w:t> </w:t>
      </w:r>
      <w:r>
        <w:t>—</w:t>
      </w:r>
      <w:r>
        <w:rPr>
          <w:rStyle w:val="CharDivText"/>
        </w:rPr>
        <w:t> </w:t>
      </w:r>
      <w:r>
        <w:rPr>
          <w:rStyle w:val="CharPartText"/>
        </w:rPr>
        <w:t>Supplementary provisions</w:t>
      </w:r>
      <w:bookmarkEnd w:id="61"/>
      <w:r>
        <w:rPr>
          <w:rStyle w:val="CharPartText"/>
        </w:rPr>
        <w:t xml:space="preserve"> </w:t>
      </w:r>
    </w:p>
    <w:p>
      <w:pPr>
        <w:pStyle w:val="Heading5"/>
        <w:spacing w:before="180"/>
        <w:rPr>
          <w:snapToGrid w:val="0"/>
        </w:rPr>
      </w:pPr>
      <w:bookmarkStart w:id="62" w:name="_Toc389745353"/>
      <w:r>
        <w:rPr>
          <w:rStyle w:val="CharSectno"/>
        </w:rPr>
        <w:t>52</w:t>
      </w:r>
      <w:r>
        <w:rPr>
          <w:snapToGrid w:val="0"/>
        </w:rPr>
        <w:t>.</w:t>
      </w:r>
      <w:r>
        <w:rPr>
          <w:snapToGrid w:val="0"/>
        </w:rPr>
        <w:tab/>
        <w:t>Orders in Council may be cancelled or amended</w:t>
      </w:r>
      <w:bookmarkEnd w:id="62"/>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63" w:name="_Toc389745354"/>
      <w:r>
        <w:rPr>
          <w:rStyle w:val="CharSectno"/>
        </w:rPr>
        <w:t>52A</w:t>
      </w:r>
      <w:r>
        <w:rPr>
          <w:snapToGrid w:val="0"/>
        </w:rPr>
        <w:t>.</w:t>
      </w:r>
      <w:r>
        <w:rPr>
          <w:snapToGrid w:val="0"/>
        </w:rPr>
        <w:tab/>
        <w:t>Minister may declare a person to be an authorised officer</w:t>
      </w:r>
      <w:bookmarkEnd w:id="63"/>
      <w:r>
        <w:rPr>
          <w:snapToGrid w:val="0"/>
        </w:rPr>
        <w:t xml:space="preserve"> </w:t>
      </w:r>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spacing w:before="180"/>
        <w:rPr>
          <w:snapToGrid w:val="0"/>
        </w:rPr>
      </w:pPr>
      <w:bookmarkStart w:id="64" w:name="_Toc389745355"/>
      <w:r>
        <w:rPr>
          <w:rStyle w:val="CharSectno"/>
        </w:rPr>
        <w:t>53</w:t>
      </w:r>
      <w:r>
        <w:rPr>
          <w:snapToGrid w:val="0"/>
        </w:rPr>
        <w:t>.</w:t>
      </w:r>
      <w:r>
        <w:rPr>
          <w:snapToGrid w:val="0"/>
        </w:rPr>
        <w:tab/>
        <w:t>Apprehension of offenders</w:t>
      </w:r>
      <w:bookmarkEnd w:id="64"/>
      <w:r>
        <w:rPr>
          <w:snapToGrid w:val="0"/>
        </w:rPr>
        <w:t xml:space="preserve"> </w:t>
      </w:r>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 xml:space="preserve">[Section 53 amended by No. 23 of 1966 s. 13; No. 48 of 1995 s. 30; No. 59 of 2006 s. 73.] </w:t>
      </w:r>
    </w:p>
    <w:p>
      <w:pPr>
        <w:pStyle w:val="Heading5"/>
        <w:rPr>
          <w:snapToGrid w:val="0"/>
        </w:rPr>
      </w:pPr>
      <w:bookmarkStart w:id="65" w:name="_Toc389745356"/>
      <w:r>
        <w:rPr>
          <w:rStyle w:val="CharSectno"/>
        </w:rPr>
        <w:t>54</w:t>
      </w:r>
      <w:r>
        <w:rPr>
          <w:snapToGrid w:val="0"/>
        </w:rPr>
        <w:t>.</w:t>
      </w:r>
      <w:r>
        <w:rPr>
          <w:snapToGrid w:val="0"/>
        </w:rPr>
        <w:tab/>
        <w:t>Routine inspection</w:t>
      </w:r>
      <w:bookmarkEnd w:id="65"/>
      <w:r>
        <w:rPr>
          <w:snapToGrid w:val="0"/>
        </w:rPr>
        <w:t xml:space="preserve"> </w:t>
      </w:r>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 </w:t>
      </w:r>
    </w:p>
    <w:p>
      <w:pPr>
        <w:pStyle w:val="Indenta"/>
        <w:keepNext/>
        <w:spacing w:before="90"/>
        <w:rPr>
          <w:snapToGrid w:val="0"/>
        </w:rPr>
      </w:pPr>
      <w:r>
        <w:rPr>
          <w:snapToGrid w:val="0"/>
        </w:rPr>
        <w:tab/>
        <w:t>(a)</w:t>
      </w:r>
      <w:r>
        <w:rPr>
          <w:snapToGrid w:val="0"/>
        </w:rPr>
        <w:tab/>
        <w:t>enter upon —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66" w:name="_Toc389745357"/>
      <w:r>
        <w:rPr>
          <w:rStyle w:val="CharSectno"/>
        </w:rPr>
        <w:t>55</w:t>
      </w:r>
      <w:r>
        <w:rPr>
          <w:snapToGrid w:val="0"/>
        </w:rPr>
        <w:t>.</w:t>
      </w:r>
      <w:r>
        <w:rPr>
          <w:snapToGrid w:val="0"/>
        </w:rPr>
        <w:tab/>
        <w:t>Powers in respect of premises, vehicles or vessels if offence suspected of being committed</w:t>
      </w:r>
      <w:bookmarkEnd w:id="66"/>
      <w:r>
        <w:rPr>
          <w:snapToGrid w:val="0"/>
        </w:rPr>
        <w:t xml:space="preserve"> </w:t>
      </w:r>
    </w:p>
    <w:p>
      <w:pPr>
        <w:pStyle w:val="Subsection"/>
        <w:keepNext/>
        <w:keepLines/>
        <w:rPr>
          <w:snapToGrid w:val="0"/>
        </w:rPr>
      </w:pPr>
      <w:r>
        <w:rPr>
          <w:snapToGrid w:val="0"/>
        </w:rPr>
        <w:tab/>
        <w:t>(1)</w:t>
      </w:r>
      <w:r>
        <w:rPr>
          <w:snapToGrid w:val="0"/>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67" w:name="_Toc389745358"/>
      <w:r>
        <w:rPr>
          <w:rStyle w:val="CharSectno"/>
        </w:rPr>
        <w:t>55A</w:t>
      </w:r>
      <w:r>
        <w:rPr>
          <w:snapToGrid w:val="0"/>
        </w:rPr>
        <w:t>.</w:t>
      </w:r>
      <w:r>
        <w:rPr>
          <w:snapToGrid w:val="0"/>
        </w:rPr>
        <w:tab/>
        <w:t>Warrants</w:t>
      </w:r>
      <w:bookmarkEnd w:id="67"/>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68" w:name="_Toc389745359"/>
      <w:r>
        <w:rPr>
          <w:rStyle w:val="CharSectno"/>
        </w:rPr>
        <w:t>55B</w:t>
      </w:r>
      <w:r>
        <w:rPr>
          <w:snapToGrid w:val="0"/>
        </w:rPr>
        <w:t>.</w:t>
      </w:r>
      <w:r>
        <w:rPr>
          <w:snapToGrid w:val="0"/>
        </w:rPr>
        <w:tab/>
        <w:t>Person not to hinder or obstruct authorised officer</w:t>
      </w:r>
      <w:bookmarkEnd w:id="68"/>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69" w:name="_Toc389745360"/>
      <w:r>
        <w:rPr>
          <w:rStyle w:val="CharSectno"/>
        </w:rPr>
        <w:t>55C</w:t>
      </w:r>
      <w:r>
        <w:rPr>
          <w:snapToGrid w:val="0"/>
        </w:rPr>
        <w:t>.</w:t>
      </w:r>
      <w:r>
        <w:rPr>
          <w:snapToGrid w:val="0"/>
        </w:rPr>
        <w:tab/>
        <w:t xml:space="preserve">Sections 54 to 55A do not derogate from the </w:t>
      </w:r>
      <w:r>
        <w:rPr>
          <w:i/>
          <w:snapToGrid w:val="0"/>
        </w:rPr>
        <w:t>Misuse of Drugs Act 1981</w:t>
      </w:r>
      <w:bookmarkEnd w:id="69"/>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70" w:name="_Toc389745361"/>
      <w:r>
        <w:rPr>
          <w:rStyle w:val="CharSectno"/>
        </w:rPr>
        <w:t>55D</w:t>
      </w:r>
      <w:r>
        <w:rPr>
          <w:snapToGrid w:val="0"/>
        </w:rPr>
        <w:t>.</w:t>
      </w:r>
      <w:r>
        <w:rPr>
          <w:snapToGrid w:val="0"/>
        </w:rPr>
        <w:tab/>
        <w:t>Order for forfeiture</w:t>
      </w:r>
      <w:bookmarkEnd w:id="70"/>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71" w:name="_Toc389745362"/>
      <w:r>
        <w:rPr>
          <w:rStyle w:val="CharSectno"/>
        </w:rPr>
        <w:t>55E</w:t>
      </w:r>
      <w:r>
        <w:rPr>
          <w:snapToGrid w:val="0"/>
        </w:rPr>
        <w:t>.</w:t>
      </w:r>
      <w:r>
        <w:rPr>
          <w:snapToGrid w:val="0"/>
        </w:rPr>
        <w:tab/>
        <w:t>Powers to quarantine or destroy poisons in certain circumstances</w:t>
      </w:r>
      <w:bookmarkEnd w:id="71"/>
      <w:r>
        <w:rPr>
          <w:snapToGrid w:val="0"/>
        </w:rPr>
        <w:t xml:space="preserve"> </w:t>
      </w:r>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 xml:space="preserve">[Section 55E inserted by No. 48 of 1995 s. 31; amended by No. 28 of 2006 s. 281.] </w:t>
      </w:r>
    </w:p>
    <w:p>
      <w:pPr>
        <w:pStyle w:val="Heading5"/>
        <w:rPr>
          <w:snapToGrid w:val="0"/>
        </w:rPr>
      </w:pPr>
      <w:bookmarkStart w:id="72" w:name="_Toc389745363"/>
      <w:r>
        <w:rPr>
          <w:rStyle w:val="CharSectno"/>
        </w:rPr>
        <w:t>56</w:t>
      </w:r>
      <w:r>
        <w:rPr>
          <w:snapToGrid w:val="0"/>
        </w:rPr>
        <w:t>.</w:t>
      </w:r>
      <w:r>
        <w:rPr>
          <w:snapToGrid w:val="0"/>
        </w:rPr>
        <w:tab/>
        <w:t>Sales by employees, etc.</w:t>
      </w:r>
      <w:bookmarkEnd w:id="72"/>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73" w:name="_Toc389745364"/>
      <w:r>
        <w:rPr>
          <w:rStyle w:val="CharSectno"/>
        </w:rPr>
        <w:t>57</w:t>
      </w:r>
      <w:r>
        <w:rPr>
          <w:snapToGrid w:val="0"/>
        </w:rPr>
        <w:t>.</w:t>
      </w:r>
      <w:r>
        <w:rPr>
          <w:snapToGrid w:val="0"/>
        </w:rPr>
        <w:tab/>
        <w:t>Persons deemed to have sold poisons</w:t>
      </w:r>
      <w:bookmarkEnd w:id="73"/>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74" w:name="_Toc389745365"/>
      <w:r>
        <w:rPr>
          <w:rStyle w:val="CharSectno"/>
        </w:rPr>
        <w:t>58</w:t>
      </w:r>
      <w:r>
        <w:rPr>
          <w:snapToGrid w:val="0"/>
        </w:rPr>
        <w:t>.</w:t>
      </w:r>
      <w:r>
        <w:rPr>
          <w:snapToGrid w:val="0"/>
        </w:rPr>
        <w:tab/>
        <w:t>Evidence on prosecutions</w:t>
      </w:r>
      <w:bookmarkEnd w:id="74"/>
      <w:r>
        <w:rPr>
          <w:snapToGrid w:val="0"/>
        </w:rPr>
        <w:t xml:space="preserve"> </w:t>
      </w:r>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 xml:space="preserve">[Section 58 amended by No. 48 of 1995 s. 33 and 39.] </w:t>
      </w:r>
    </w:p>
    <w:p>
      <w:pPr>
        <w:pStyle w:val="Heading5"/>
        <w:rPr>
          <w:snapToGrid w:val="0"/>
        </w:rPr>
      </w:pPr>
      <w:bookmarkStart w:id="75" w:name="_Toc389745366"/>
      <w:r>
        <w:rPr>
          <w:rStyle w:val="CharSectno"/>
        </w:rPr>
        <w:t>59</w:t>
      </w:r>
      <w:r>
        <w:rPr>
          <w:snapToGrid w:val="0"/>
        </w:rPr>
        <w:t>.</w:t>
      </w:r>
      <w:r>
        <w:rPr>
          <w:snapToGrid w:val="0"/>
        </w:rPr>
        <w:tab/>
        <w:t>Publication of list of licensed persons</w:t>
      </w:r>
      <w:bookmarkEnd w:id="75"/>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 xml:space="preserve">[Section 59 amended by No. 28 of 1984 s. 92; No. 12 of 1994 s. 10; No. 28 of 2006 s. 282.] </w:t>
      </w:r>
    </w:p>
    <w:p>
      <w:pPr>
        <w:pStyle w:val="Heading5"/>
        <w:rPr>
          <w:snapToGrid w:val="0"/>
        </w:rPr>
      </w:pPr>
      <w:bookmarkStart w:id="76" w:name="_Toc389745367"/>
      <w:r>
        <w:rPr>
          <w:rStyle w:val="CharSectno"/>
        </w:rPr>
        <w:t>60</w:t>
      </w:r>
      <w:r>
        <w:rPr>
          <w:snapToGrid w:val="0"/>
        </w:rPr>
        <w:t>.</w:t>
      </w:r>
      <w:r>
        <w:rPr>
          <w:snapToGrid w:val="0"/>
        </w:rPr>
        <w:tab/>
        <w:t>Proof of certificate of analysts</w:t>
      </w:r>
      <w:bookmarkEnd w:id="76"/>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77" w:name="_Toc389745368"/>
      <w:r>
        <w:rPr>
          <w:rStyle w:val="CharSectno"/>
        </w:rPr>
        <w:t>61</w:t>
      </w:r>
      <w:r>
        <w:rPr>
          <w:snapToGrid w:val="0"/>
        </w:rPr>
        <w:t>.</w:t>
      </w:r>
      <w:r>
        <w:rPr>
          <w:snapToGrid w:val="0"/>
        </w:rPr>
        <w:tab/>
        <w:t>Evidence of qualifications</w:t>
      </w:r>
      <w:bookmarkEnd w:id="77"/>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 xml:space="preserve">in the case of a medical practitioner, by the registrar of the Medical Board constituted under the </w:t>
      </w:r>
      <w:r>
        <w:rPr>
          <w:i/>
          <w:snapToGrid w:val="0"/>
        </w:rPr>
        <w:t>Medical Act 1894</w:t>
      </w:r>
      <w:r>
        <w:rPr>
          <w:snapToGrid w:val="0"/>
        </w:rPr>
        <w:t>;</w:t>
      </w:r>
    </w:p>
    <w:p>
      <w:pPr>
        <w:pStyle w:val="Indenti"/>
      </w:pPr>
      <w:r>
        <w:tab/>
        <w:t>(ia)</w:t>
      </w:r>
      <w:r>
        <w:tab/>
        <w:t xml:space="preserve">in the case of a nurse practitioner, by the registrar of the Nurses and Midwives Board of Western Australia established under the </w:t>
      </w:r>
      <w:r>
        <w:rPr>
          <w:i/>
        </w:rPr>
        <w:t>Nurses and Midwives Act 2006</w:t>
      </w:r>
      <w:r>
        <w:rPr>
          <w:iCs/>
        </w:rP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 xml:space="preserve">[Section 61 amended by No. 28 of 1984 s. 92; No. 12 of 1994 s. 10; No. 9 of 2003 s. 38; No. 84 of 2004 s. 82; No. 28 of 2006 s. 282; No. 50 of 2006 s. 114.] </w:t>
      </w:r>
    </w:p>
    <w:p>
      <w:pPr>
        <w:pStyle w:val="Heading5"/>
        <w:rPr>
          <w:snapToGrid w:val="0"/>
        </w:rPr>
      </w:pPr>
      <w:bookmarkStart w:id="78" w:name="_Toc389745369"/>
      <w:r>
        <w:rPr>
          <w:rStyle w:val="CharSectno"/>
        </w:rPr>
        <w:t>61A</w:t>
      </w:r>
      <w:r>
        <w:rPr>
          <w:snapToGrid w:val="0"/>
        </w:rPr>
        <w:t>.</w:t>
      </w:r>
      <w:r>
        <w:rPr>
          <w:snapToGrid w:val="0"/>
        </w:rPr>
        <w:tab/>
        <w:t>Evidence of approval</w:t>
      </w:r>
      <w:bookmarkEnd w:id="78"/>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 xml:space="preserve">[Section 61A inserted by No. 12 of 1994 s. 8; amended by No. 28 of 2006 s. 282.] </w:t>
      </w:r>
    </w:p>
    <w:p>
      <w:pPr>
        <w:pStyle w:val="Heading5"/>
        <w:rPr>
          <w:snapToGrid w:val="0"/>
        </w:rPr>
      </w:pPr>
      <w:bookmarkStart w:id="79" w:name="_Toc389745370"/>
      <w:r>
        <w:rPr>
          <w:rStyle w:val="CharSectno"/>
        </w:rPr>
        <w:t>61B</w:t>
      </w:r>
      <w:r>
        <w:rPr>
          <w:snapToGrid w:val="0"/>
        </w:rPr>
        <w:t>.</w:t>
      </w:r>
      <w:r>
        <w:rPr>
          <w:snapToGrid w:val="0"/>
        </w:rPr>
        <w:tab/>
        <w:t>Evidence of contents of standard</w:t>
      </w:r>
      <w:bookmarkEnd w:id="79"/>
      <w:r>
        <w:rPr>
          <w:snapToGrid w:val="0"/>
        </w:rPr>
        <w:t xml:space="preserve"> </w:t>
      </w:r>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 xml:space="preserve">[Section 61B inserted by No. 48 of 1995 s. 34; amended by No. 28 of 2006 s. 282.] </w:t>
      </w:r>
    </w:p>
    <w:p>
      <w:pPr>
        <w:pStyle w:val="Heading5"/>
        <w:rPr>
          <w:snapToGrid w:val="0"/>
        </w:rPr>
      </w:pPr>
      <w:bookmarkStart w:id="80" w:name="_Toc389745371"/>
      <w:r>
        <w:rPr>
          <w:rStyle w:val="CharSectno"/>
        </w:rPr>
        <w:t>62</w:t>
      </w:r>
      <w:r>
        <w:rPr>
          <w:snapToGrid w:val="0"/>
        </w:rPr>
        <w:t>.</w:t>
      </w:r>
      <w:r>
        <w:rPr>
          <w:snapToGrid w:val="0"/>
        </w:rPr>
        <w:tab/>
        <w:t>General penalty</w:t>
      </w:r>
      <w:bookmarkEnd w:id="80"/>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81" w:name="_Toc389745372"/>
      <w:r>
        <w:rPr>
          <w:rStyle w:val="CharSectno"/>
        </w:rPr>
        <w:t>63</w:t>
      </w:r>
      <w:r>
        <w:rPr>
          <w:snapToGrid w:val="0"/>
        </w:rPr>
        <w:t>.</w:t>
      </w:r>
      <w:r>
        <w:rPr>
          <w:snapToGrid w:val="0"/>
        </w:rPr>
        <w:tab/>
        <w:t>Protection from liability</w:t>
      </w:r>
      <w:bookmarkEnd w:id="81"/>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 xml:space="preserve">[Section 63 amended by No. 28 of 1984 s. 92; No. 12 of 1994 s. 10; No. 48 of 1995 s. 36; No. 28 of 2006 s. 282.] </w:t>
      </w:r>
    </w:p>
    <w:p>
      <w:pPr>
        <w:pStyle w:val="Heading5"/>
        <w:rPr>
          <w:snapToGrid w:val="0"/>
        </w:rPr>
      </w:pPr>
      <w:bookmarkStart w:id="82" w:name="_Toc389745373"/>
      <w:r>
        <w:rPr>
          <w:rStyle w:val="CharSectno"/>
        </w:rPr>
        <w:t>64</w:t>
      </w:r>
      <w:r>
        <w:rPr>
          <w:snapToGrid w:val="0"/>
        </w:rPr>
        <w:t>.</w:t>
      </w:r>
      <w:r>
        <w:rPr>
          <w:snapToGrid w:val="0"/>
        </w:rPr>
        <w:tab/>
        <w:t>Regulations</w:t>
      </w:r>
      <w:bookmarkEnd w:id="82"/>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 xml:space="preserve">[Section 64 amended by No. 23 of 1966 s. 17; No. 6 of 1969 s. 8; No. 43 of 1978 s. 7; No. 57 of 1981 s. 21; No. 28 of 1984 s. 92; No. 12 of 1994 s. 9 and 10; No. 48 of 1995 s. 37 and 39; No. 9 of 2003 s. 39; No. 28 of 2006 s. 282.] </w:t>
      </w:r>
    </w:p>
    <w:p>
      <w:pPr>
        <w:pStyle w:val="Heading5"/>
        <w:rPr>
          <w:snapToGrid w:val="0"/>
        </w:rPr>
      </w:pPr>
      <w:bookmarkStart w:id="83" w:name="_Toc389745374"/>
      <w:r>
        <w:rPr>
          <w:rStyle w:val="CharSectno"/>
        </w:rPr>
        <w:t>64A</w:t>
      </w:r>
      <w:r>
        <w:rPr>
          <w:snapToGrid w:val="0"/>
        </w:rPr>
        <w:t>.</w:t>
      </w:r>
      <w:r>
        <w:rPr>
          <w:snapToGrid w:val="0"/>
        </w:rPr>
        <w:tab/>
        <w:t>Regulations may adopt standards</w:t>
      </w:r>
      <w:bookmarkEnd w:id="83"/>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84" w:name="_Toc389745375"/>
      <w:r>
        <w:rPr>
          <w:rStyle w:val="CharSectno"/>
        </w:rPr>
        <w:t>64B</w:t>
      </w:r>
      <w:r>
        <w:rPr>
          <w:snapToGrid w:val="0"/>
        </w:rPr>
        <w:t>.</w:t>
      </w:r>
      <w:r>
        <w:rPr>
          <w:snapToGrid w:val="0"/>
        </w:rPr>
        <w:tab/>
        <w:t>Copies of standards to be kept and made available to public</w:t>
      </w:r>
      <w:bookmarkEnd w:id="84"/>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 xml:space="preserve">[Section 64B inserted by No. 48 of 1995 s. 38; amended by No. 28 of 2006 s. 282.] </w:t>
      </w:r>
    </w:p>
    <w:p>
      <w:pPr>
        <w:sectPr>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pPr>
        <w:pStyle w:val="yScheduleHeading"/>
      </w:pPr>
      <w:bookmarkStart w:id="85" w:name="_Toc389745376"/>
      <w:r>
        <w:rPr>
          <w:rStyle w:val="CharSchNo"/>
        </w:rPr>
        <w:t>Appendix A</w:t>
      </w:r>
      <w:bookmarkEnd w:id="85"/>
      <w:r>
        <w:rPr>
          <w:rStyle w:val="CharSchText"/>
        </w:rPr>
        <w:t xml:space="preserve"> </w:t>
      </w:r>
    </w:p>
    <w:p>
      <w:pPr>
        <w:pStyle w:val="yFootnotesection"/>
        <w:ind w:firstLine="0"/>
      </w:pPr>
      <w:r>
        <w:t>[Heading inserted by No. 48 of 1995 s. 40.]</w:t>
      </w:r>
    </w:p>
    <w:p>
      <w:pPr>
        <w:pStyle w:val="yHeading5"/>
        <w:outlineLvl w:val="9"/>
        <w:rPr>
          <w:snapToGrid w:val="0"/>
        </w:rPr>
      </w:pPr>
      <w:bookmarkStart w:id="86" w:name="_Toc389745377"/>
      <w:r>
        <w:rPr>
          <w:rStyle w:val="CharSClsNo"/>
        </w:rPr>
        <w:t>1</w:t>
      </w:r>
      <w:r>
        <w:rPr>
          <w:snapToGrid w:val="0"/>
        </w:rPr>
        <w:t>.</w:t>
      </w:r>
      <w:r>
        <w:rPr>
          <w:snapToGrid w:val="0"/>
        </w:rPr>
        <w:tab/>
        <w:t>Interpretation</w:t>
      </w:r>
      <w:bookmarkEnd w:id="86"/>
      <w:r>
        <w:rPr>
          <w:snapToGrid w:val="0"/>
        </w:rPr>
        <w:t xml:space="preserve"> </w:t>
      </w:r>
    </w:p>
    <w:p>
      <w:pPr>
        <w:pStyle w:val="ySubsection"/>
        <w:spacing w:before="200"/>
        <w:rPr>
          <w:snapToGrid w:val="0"/>
        </w:rPr>
      </w:pPr>
      <w:r>
        <w:rPr>
          <w:snapToGrid w:val="0"/>
        </w:rPr>
        <w:tab/>
        <w:t>(1)</w:t>
      </w:r>
      <w:r>
        <w:rPr>
          <w:snapToGrid w:val="0"/>
        </w:rPr>
        <w:tab/>
      </w:r>
      <w:r>
        <w:t xml:space="preserve">In this Appendix, </w:t>
      </w:r>
      <w:r>
        <w:rPr>
          <w:rStyle w:val="CharDefText"/>
        </w:rPr>
        <w:t>SUSDP</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Pr>
      <w:bookmarkStart w:id="87" w:name="_Toc389745378"/>
      <w:r>
        <w:t>Schedule 1</w:t>
      </w:r>
      <w:bookmarkEnd w:id="87"/>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Pr>
      <w:bookmarkStart w:id="88" w:name="_Toc389745379"/>
      <w:r>
        <w:t>Schedule 2</w:t>
      </w:r>
      <w:bookmarkEnd w:id="88"/>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Pr>
      <w:bookmarkStart w:id="89" w:name="_Toc389745380"/>
      <w:r>
        <w:t>Schedule 3</w:t>
      </w:r>
      <w:bookmarkEnd w:id="89"/>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pPr>
        <w:pStyle w:val="yScheduleHeading"/>
      </w:pPr>
      <w:bookmarkStart w:id="90" w:name="_Toc389745381"/>
      <w:r>
        <w:t>Schedule 4</w:t>
      </w:r>
      <w:bookmarkEnd w:id="90"/>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Pr>
      <w:bookmarkStart w:id="91" w:name="_Toc389745382"/>
      <w:r>
        <w:t>Schedule 5</w:t>
      </w:r>
      <w:bookmarkEnd w:id="91"/>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Pr>
      <w:bookmarkStart w:id="92" w:name="_Toc389745383"/>
      <w:r>
        <w:t>Schedule 6</w:t>
      </w:r>
      <w:bookmarkEnd w:id="92"/>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Pr>
      <w:bookmarkStart w:id="93" w:name="_Toc389745384"/>
      <w:r>
        <w:t>Schedule 7</w:t>
      </w:r>
      <w:bookmarkEnd w:id="93"/>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Pr>
      <w:bookmarkStart w:id="94" w:name="_Toc389745385"/>
      <w:r>
        <w:t>Schedule 8</w:t>
      </w:r>
      <w:bookmarkEnd w:id="94"/>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95" w:name="_Toc389745386"/>
      <w:r>
        <w:t>Schedule 9</w:t>
      </w:r>
      <w:bookmarkEnd w:id="95"/>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96" w:name="_Toc389745387"/>
      <w:r>
        <w:rPr>
          <w:rStyle w:val="CharSchNo"/>
        </w:rPr>
        <w:t>Appendix B</w:t>
      </w:r>
      <w:bookmarkEnd w:id="96"/>
    </w:p>
    <w:p>
      <w:pPr>
        <w:pStyle w:val="yShoulderClause"/>
        <w:rPr>
          <w:snapToGrid w:val="0"/>
        </w:rPr>
      </w:pPr>
      <w:r>
        <w:rPr>
          <w:snapToGrid w:val="0"/>
        </w:rPr>
        <w:t>[Section 45]</w:t>
      </w:r>
    </w:p>
    <w:p>
      <w:pPr>
        <w:pStyle w:val="yFootnotesection"/>
      </w:pPr>
      <w:r>
        <w:tab/>
        <w:t xml:space="preserve">[Heading inserted by No. 48 of 1995 s. 41.] </w:t>
      </w:r>
    </w:p>
    <w:p>
      <w:pPr>
        <w:pStyle w:val="yHeading2"/>
        <w:outlineLvl w:val="9"/>
      </w:pPr>
      <w:bookmarkStart w:id="97" w:name="_Toc389745388"/>
      <w:r>
        <w:t>Conventions</w:t>
      </w:r>
      <w:bookmarkEnd w:id="97"/>
    </w:p>
    <w:p>
      <w:pPr>
        <w:pStyle w:val="yFootnotesection"/>
      </w:pPr>
      <w:r>
        <w:tab/>
        <w:t xml:space="preserve">[Heading inserted by No. 48 of 1995 s. 41.] </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 xml:space="preserve">[Appendix C repealed by No. 48 of 1995 s. 42.] </w:t>
      </w:r>
    </w:p>
    <w:p>
      <w:pPr>
        <w:sectPr>
          <w:headerReference w:type="even" r:id="rId29"/>
          <w:headerReference w:type="default" r:id="rId30"/>
          <w:pgSz w:w="11906" w:h="16838" w:code="9"/>
          <w:pgMar w:top="2376" w:right="2405" w:bottom="3542" w:left="2405" w:header="706" w:footer="3380" w:gutter="0"/>
          <w:cols w:space="720"/>
          <w:noEndnote/>
          <w:docGrid w:linePitch="326"/>
        </w:sectPr>
      </w:pPr>
    </w:p>
    <w:p>
      <w:pPr>
        <w:pStyle w:val="nHeading2"/>
      </w:pPr>
      <w:bookmarkStart w:id="98" w:name="_Toc389745389"/>
      <w:r>
        <w:t>Notes</w:t>
      </w:r>
      <w:bookmarkEnd w:id="98"/>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99" w:name="_Toc389745390"/>
      <w:r>
        <w:rPr>
          <w:snapToGrid w:val="0"/>
        </w:rPr>
        <w:t>Compilation table</w:t>
      </w:r>
      <w:bookmarkEnd w:id="99"/>
    </w:p>
    <w:tbl>
      <w:tblPr>
        <w:tblW w:w="7099" w:type="dxa"/>
        <w:tblInd w:w="28" w:type="dxa"/>
        <w:tblLayout w:type="fixed"/>
        <w:tblCellMar>
          <w:left w:w="56" w:type="dxa"/>
          <w:right w:w="56" w:type="dxa"/>
        </w:tblCellMar>
        <w:tblLook w:val="0000" w:firstRow="0" w:lastRow="0" w:firstColumn="0" w:lastColumn="0" w:noHBand="0" w:noVBand="0"/>
      </w:tblPr>
      <w:tblGrid>
        <w:gridCol w:w="8"/>
        <w:gridCol w:w="2252"/>
        <w:gridCol w:w="16"/>
        <w:gridCol w:w="1117"/>
        <w:gridCol w:w="17"/>
        <w:gridCol w:w="1117"/>
        <w:gridCol w:w="20"/>
        <w:gridCol w:w="2552"/>
      </w:tblGrid>
      <w:tr>
        <w:trPr>
          <w:cantSplit/>
          <w:tblHeader/>
        </w:trPr>
        <w:tc>
          <w:tcPr>
            <w:tcW w:w="2260" w:type="dxa"/>
            <w:gridSpan w:val="2"/>
            <w:tcBorders>
              <w:top w:val="single" w:sz="8" w:space="0" w:color="auto"/>
              <w:bottom w:val="single" w:sz="8" w:space="0" w:color="auto"/>
            </w:tcBorders>
          </w:tcPr>
          <w:p>
            <w:pPr>
              <w:pStyle w:val="nTable"/>
              <w:spacing w:after="40"/>
              <w:rPr>
                <w:b/>
                <w:sz w:val="19"/>
              </w:rPr>
            </w:pPr>
            <w:r>
              <w:rPr>
                <w:b/>
                <w:sz w:val="19"/>
              </w:rPr>
              <w:t>Short title</w:t>
            </w:r>
          </w:p>
        </w:tc>
        <w:tc>
          <w:tcPr>
            <w:tcW w:w="1133" w:type="dxa"/>
            <w:gridSpan w:val="2"/>
            <w:tcBorders>
              <w:top w:val="single" w:sz="8" w:space="0" w:color="auto"/>
              <w:bottom w:val="single" w:sz="8" w:space="0" w:color="auto"/>
            </w:tcBorders>
          </w:tcPr>
          <w:p>
            <w:pPr>
              <w:pStyle w:val="nTable"/>
              <w:spacing w:after="40"/>
              <w:rPr>
                <w:b/>
                <w:sz w:val="19"/>
              </w:rPr>
            </w:pPr>
            <w:r>
              <w:rPr>
                <w:b/>
                <w:sz w:val="19"/>
              </w:rPr>
              <w:t>Number and year</w:t>
            </w:r>
          </w:p>
        </w:tc>
        <w:tc>
          <w:tcPr>
            <w:tcW w:w="1134" w:type="dxa"/>
            <w:gridSpan w:val="2"/>
            <w:tcBorders>
              <w:top w:val="single" w:sz="8" w:space="0" w:color="auto"/>
              <w:bottom w:val="single" w:sz="8" w:space="0" w:color="auto"/>
            </w:tcBorders>
          </w:tcPr>
          <w:p>
            <w:pPr>
              <w:pStyle w:val="nTable"/>
              <w:spacing w:after="40"/>
              <w:rPr>
                <w:b/>
                <w:sz w:val="19"/>
              </w:rPr>
            </w:pPr>
            <w:r>
              <w:rPr>
                <w:b/>
                <w:sz w:val="19"/>
              </w:rPr>
              <w:t>Assent</w:t>
            </w:r>
          </w:p>
        </w:tc>
        <w:tc>
          <w:tcPr>
            <w:tcW w:w="2570"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0" w:type="dxa"/>
            <w:gridSpan w:val="2"/>
            <w:tcBorders>
              <w:top w:val="single" w:sz="8" w:space="0" w:color="auto"/>
            </w:tcBorders>
          </w:tcPr>
          <w:p>
            <w:pPr>
              <w:pStyle w:val="nTable"/>
              <w:spacing w:after="40"/>
              <w:rPr>
                <w:sz w:val="19"/>
              </w:rPr>
            </w:pPr>
            <w:r>
              <w:rPr>
                <w:i/>
                <w:sz w:val="19"/>
              </w:rPr>
              <w:t>Poisons Act 1964</w:t>
            </w:r>
          </w:p>
        </w:tc>
        <w:tc>
          <w:tcPr>
            <w:tcW w:w="1133" w:type="dxa"/>
            <w:gridSpan w:val="2"/>
            <w:tcBorders>
              <w:top w:val="single" w:sz="8" w:space="0" w:color="auto"/>
            </w:tcBorders>
          </w:tcPr>
          <w:p>
            <w:pPr>
              <w:pStyle w:val="nTable"/>
              <w:spacing w:after="40"/>
              <w:rPr>
                <w:sz w:val="19"/>
              </w:rPr>
            </w:pPr>
            <w:r>
              <w:rPr>
                <w:sz w:val="19"/>
              </w:rPr>
              <w:t>70 of 1964 (13 Eliz. II No. 70)</w:t>
            </w:r>
          </w:p>
        </w:tc>
        <w:tc>
          <w:tcPr>
            <w:tcW w:w="1134" w:type="dxa"/>
            <w:gridSpan w:val="2"/>
            <w:tcBorders>
              <w:top w:val="single" w:sz="8" w:space="0" w:color="auto"/>
            </w:tcBorders>
          </w:tcPr>
          <w:p>
            <w:pPr>
              <w:pStyle w:val="nTable"/>
              <w:spacing w:after="40"/>
              <w:rPr>
                <w:sz w:val="19"/>
              </w:rPr>
            </w:pPr>
            <w:r>
              <w:rPr>
                <w:sz w:val="19"/>
              </w:rPr>
              <w:t>11 Dec 1964</w:t>
            </w:r>
          </w:p>
        </w:tc>
        <w:tc>
          <w:tcPr>
            <w:tcW w:w="2570" w:type="dxa"/>
            <w:gridSpan w:val="2"/>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cantSplit/>
        </w:trPr>
        <w:tc>
          <w:tcPr>
            <w:tcW w:w="2260" w:type="dxa"/>
            <w:gridSpan w:val="2"/>
          </w:tcPr>
          <w:p>
            <w:pPr>
              <w:pStyle w:val="nTable"/>
              <w:spacing w:after="40"/>
              <w:rPr>
                <w:sz w:val="19"/>
              </w:rPr>
            </w:pPr>
            <w:r>
              <w:rPr>
                <w:i/>
                <w:sz w:val="19"/>
              </w:rPr>
              <w:t>Poisons Act Amendment Act 1966</w:t>
            </w:r>
          </w:p>
        </w:tc>
        <w:tc>
          <w:tcPr>
            <w:tcW w:w="1133" w:type="dxa"/>
            <w:gridSpan w:val="2"/>
          </w:tcPr>
          <w:p>
            <w:pPr>
              <w:pStyle w:val="nTable"/>
              <w:spacing w:after="40"/>
              <w:rPr>
                <w:sz w:val="19"/>
              </w:rPr>
            </w:pPr>
            <w:r>
              <w:rPr>
                <w:sz w:val="19"/>
              </w:rPr>
              <w:t>23 of 1966</w:t>
            </w:r>
          </w:p>
        </w:tc>
        <w:tc>
          <w:tcPr>
            <w:tcW w:w="1134" w:type="dxa"/>
            <w:gridSpan w:val="2"/>
          </w:tcPr>
          <w:p>
            <w:pPr>
              <w:pStyle w:val="nTable"/>
              <w:spacing w:after="40"/>
              <w:rPr>
                <w:sz w:val="19"/>
              </w:rPr>
            </w:pPr>
            <w:r>
              <w:rPr>
                <w:sz w:val="19"/>
              </w:rPr>
              <w:t>27 Oct 1966</w:t>
            </w:r>
          </w:p>
        </w:tc>
        <w:tc>
          <w:tcPr>
            <w:tcW w:w="2570" w:type="dxa"/>
            <w:gridSpan w:val="2"/>
          </w:tcPr>
          <w:p>
            <w:pPr>
              <w:pStyle w:val="nTable"/>
              <w:spacing w:after="40"/>
              <w:rPr>
                <w:sz w:val="19"/>
              </w:rPr>
            </w:pPr>
            <w:r>
              <w:rPr>
                <w:sz w:val="19"/>
              </w:rPr>
              <w:t>27 Oct 1966</w:t>
            </w:r>
          </w:p>
        </w:tc>
      </w:tr>
      <w:tr>
        <w:trPr>
          <w:cantSplit/>
        </w:trPr>
        <w:tc>
          <w:tcPr>
            <w:tcW w:w="2260" w:type="dxa"/>
            <w:gridSpan w:val="2"/>
          </w:tcPr>
          <w:p>
            <w:pPr>
              <w:pStyle w:val="nTable"/>
              <w:spacing w:after="40"/>
              <w:rPr>
                <w:sz w:val="19"/>
              </w:rPr>
            </w:pPr>
            <w:r>
              <w:rPr>
                <w:i/>
                <w:sz w:val="19"/>
              </w:rPr>
              <w:t>Poisons Act Amendment Act 1967</w:t>
            </w:r>
          </w:p>
        </w:tc>
        <w:tc>
          <w:tcPr>
            <w:tcW w:w="1133" w:type="dxa"/>
            <w:gridSpan w:val="2"/>
          </w:tcPr>
          <w:p>
            <w:pPr>
              <w:pStyle w:val="nTable"/>
              <w:spacing w:after="40"/>
              <w:rPr>
                <w:sz w:val="19"/>
              </w:rPr>
            </w:pPr>
            <w:r>
              <w:rPr>
                <w:sz w:val="19"/>
              </w:rPr>
              <w:t>28 of 1967</w:t>
            </w:r>
          </w:p>
        </w:tc>
        <w:tc>
          <w:tcPr>
            <w:tcW w:w="1134" w:type="dxa"/>
            <w:gridSpan w:val="2"/>
          </w:tcPr>
          <w:p>
            <w:pPr>
              <w:pStyle w:val="nTable"/>
              <w:spacing w:after="40"/>
              <w:rPr>
                <w:sz w:val="19"/>
              </w:rPr>
            </w:pPr>
            <w:r>
              <w:rPr>
                <w:sz w:val="19"/>
              </w:rPr>
              <w:t>17 Nov 1967</w:t>
            </w:r>
          </w:p>
        </w:tc>
        <w:tc>
          <w:tcPr>
            <w:tcW w:w="2570" w:type="dxa"/>
            <w:gridSpan w:val="2"/>
          </w:tcPr>
          <w:p>
            <w:pPr>
              <w:pStyle w:val="nTable"/>
              <w:spacing w:after="40"/>
              <w:rPr>
                <w:sz w:val="19"/>
              </w:rPr>
            </w:pPr>
            <w:r>
              <w:rPr>
                <w:sz w:val="19"/>
              </w:rPr>
              <w:t>17 Nov 1967</w:t>
            </w:r>
          </w:p>
        </w:tc>
      </w:tr>
      <w:tr>
        <w:trPr>
          <w:cantSplit/>
        </w:trPr>
        <w:tc>
          <w:tcPr>
            <w:tcW w:w="2260" w:type="dxa"/>
            <w:gridSpan w:val="2"/>
          </w:tcPr>
          <w:p>
            <w:pPr>
              <w:pStyle w:val="nTable"/>
              <w:spacing w:after="40"/>
              <w:rPr>
                <w:sz w:val="19"/>
              </w:rPr>
            </w:pPr>
            <w:r>
              <w:rPr>
                <w:i/>
                <w:sz w:val="19"/>
              </w:rPr>
              <w:t>Poisons Act Amendment Act (No. 2) 1967</w:t>
            </w:r>
          </w:p>
        </w:tc>
        <w:tc>
          <w:tcPr>
            <w:tcW w:w="1133" w:type="dxa"/>
            <w:gridSpan w:val="2"/>
          </w:tcPr>
          <w:p>
            <w:pPr>
              <w:pStyle w:val="nTable"/>
              <w:spacing w:after="40"/>
              <w:rPr>
                <w:sz w:val="19"/>
              </w:rPr>
            </w:pPr>
            <w:r>
              <w:rPr>
                <w:sz w:val="19"/>
              </w:rPr>
              <w:t>51 of 1967</w:t>
            </w:r>
          </w:p>
        </w:tc>
        <w:tc>
          <w:tcPr>
            <w:tcW w:w="1134" w:type="dxa"/>
            <w:gridSpan w:val="2"/>
          </w:tcPr>
          <w:p>
            <w:pPr>
              <w:pStyle w:val="nTable"/>
              <w:spacing w:after="40"/>
              <w:rPr>
                <w:sz w:val="19"/>
              </w:rPr>
            </w:pPr>
            <w:r>
              <w:rPr>
                <w:sz w:val="19"/>
              </w:rPr>
              <w:t>5 Dec 1967</w:t>
            </w:r>
          </w:p>
        </w:tc>
        <w:tc>
          <w:tcPr>
            <w:tcW w:w="2570" w:type="dxa"/>
            <w:gridSpan w:val="2"/>
          </w:tcPr>
          <w:p>
            <w:pPr>
              <w:pStyle w:val="nTable"/>
              <w:spacing w:after="40"/>
              <w:rPr>
                <w:sz w:val="19"/>
              </w:rPr>
            </w:pPr>
            <w:r>
              <w:rPr>
                <w:sz w:val="19"/>
              </w:rPr>
              <w:t>5 Dec 1967</w:t>
            </w:r>
          </w:p>
        </w:tc>
      </w:tr>
      <w:tr>
        <w:trPr>
          <w:cantSplit/>
        </w:trPr>
        <w:tc>
          <w:tcPr>
            <w:tcW w:w="2260" w:type="dxa"/>
            <w:gridSpan w:val="2"/>
          </w:tcPr>
          <w:p>
            <w:pPr>
              <w:pStyle w:val="nTable"/>
              <w:spacing w:after="40"/>
              <w:rPr>
                <w:sz w:val="19"/>
              </w:rPr>
            </w:pPr>
            <w:r>
              <w:rPr>
                <w:i/>
                <w:sz w:val="19"/>
              </w:rPr>
              <w:t>Poisons Act Amendment Act 1969</w:t>
            </w:r>
          </w:p>
        </w:tc>
        <w:tc>
          <w:tcPr>
            <w:tcW w:w="1133" w:type="dxa"/>
            <w:gridSpan w:val="2"/>
          </w:tcPr>
          <w:p>
            <w:pPr>
              <w:pStyle w:val="nTable"/>
              <w:spacing w:after="40"/>
              <w:rPr>
                <w:sz w:val="19"/>
              </w:rPr>
            </w:pPr>
            <w:r>
              <w:rPr>
                <w:sz w:val="19"/>
              </w:rPr>
              <w:t>6 of 1969</w:t>
            </w:r>
          </w:p>
        </w:tc>
        <w:tc>
          <w:tcPr>
            <w:tcW w:w="1134" w:type="dxa"/>
            <w:gridSpan w:val="2"/>
          </w:tcPr>
          <w:p>
            <w:pPr>
              <w:pStyle w:val="nTable"/>
              <w:spacing w:after="40"/>
              <w:rPr>
                <w:sz w:val="19"/>
              </w:rPr>
            </w:pPr>
            <w:r>
              <w:rPr>
                <w:sz w:val="19"/>
              </w:rPr>
              <w:t>21 Apr 1969</w:t>
            </w:r>
          </w:p>
        </w:tc>
        <w:tc>
          <w:tcPr>
            <w:tcW w:w="2570" w:type="dxa"/>
            <w:gridSpan w:val="2"/>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cantSplit/>
        </w:trPr>
        <w:tc>
          <w:tcPr>
            <w:tcW w:w="2260" w:type="dxa"/>
            <w:gridSpan w:val="2"/>
          </w:tcPr>
          <w:p>
            <w:pPr>
              <w:pStyle w:val="nTable"/>
              <w:spacing w:after="40"/>
              <w:rPr>
                <w:sz w:val="19"/>
              </w:rPr>
            </w:pPr>
            <w:r>
              <w:rPr>
                <w:i/>
                <w:sz w:val="19"/>
              </w:rPr>
              <w:t>Poisons Act Amendment Act 1970</w:t>
            </w:r>
          </w:p>
        </w:tc>
        <w:tc>
          <w:tcPr>
            <w:tcW w:w="1133" w:type="dxa"/>
            <w:gridSpan w:val="2"/>
          </w:tcPr>
          <w:p>
            <w:pPr>
              <w:pStyle w:val="nTable"/>
              <w:spacing w:after="40"/>
              <w:rPr>
                <w:sz w:val="19"/>
              </w:rPr>
            </w:pPr>
            <w:r>
              <w:rPr>
                <w:sz w:val="19"/>
              </w:rPr>
              <w:t>87 of 1970</w:t>
            </w:r>
          </w:p>
        </w:tc>
        <w:tc>
          <w:tcPr>
            <w:tcW w:w="1134" w:type="dxa"/>
            <w:gridSpan w:val="2"/>
          </w:tcPr>
          <w:p>
            <w:pPr>
              <w:pStyle w:val="nTable"/>
              <w:spacing w:after="40"/>
              <w:rPr>
                <w:sz w:val="19"/>
              </w:rPr>
            </w:pPr>
            <w:r>
              <w:rPr>
                <w:sz w:val="19"/>
              </w:rPr>
              <w:t>30 Nov 1970</w:t>
            </w:r>
          </w:p>
        </w:tc>
        <w:tc>
          <w:tcPr>
            <w:tcW w:w="2570" w:type="dxa"/>
            <w:gridSpan w:val="2"/>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cantSplit/>
        </w:trPr>
        <w:tc>
          <w:tcPr>
            <w:tcW w:w="7097" w:type="dxa"/>
            <w:gridSpan w:val="8"/>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cantSplit/>
        </w:trPr>
        <w:tc>
          <w:tcPr>
            <w:tcW w:w="2260" w:type="dxa"/>
            <w:gridSpan w:val="2"/>
          </w:tcPr>
          <w:p>
            <w:pPr>
              <w:pStyle w:val="nTable"/>
              <w:spacing w:after="40"/>
              <w:rPr>
                <w:sz w:val="19"/>
              </w:rPr>
            </w:pPr>
            <w:r>
              <w:rPr>
                <w:i/>
                <w:sz w:val="19"/>
              </w:rPr>
              <w:t>Poisons Act Amendment Act 1978</w:t>
            </w:r>
          </w:p>
        </w:tc>
        <w:tc>
          <w:tcPr>
            <w:tcW w:w="1133" w:type="dxa"/>
            <w:gridSpan w:val="2"/>
          </w:tcPr>
          <w:p>
            <w:pPr>
              <w:pStyle w:val="nTable"/>
              <w:spacing w:after="40"/>
              <w:rPr>
                <w:sz w:val="19"/>
              </w:rPr>
            </w:pPr>
            <w:r>
              <w:rPr>
                <w:sz w:val="19"/>
              </w:rPr>
              <w:t>43 of 1978</w:t>
            </w:r>
          </w:p>
        </w:tc>
        <w:tc>
          <w:tcPr>
            <w:tcW w:w="1134" w:type="dxa"/>
            <w:gridSpan w:val="2"/>
          </w:tcPr>
          <w:p>
            <w:pPr>
              <w:pStyle w:val="nTable"/>
              <w:spacing w:after="40"/>
              <w:rPr>
                <w:sz w:val="19"/>
              </w:rPr>
            </w:pPr>
            <w:r>
              <w:rPr>
                <w:sz w:val="19"/>
              </w:rPr>
              <w:t>29 Aug 1978</w:t>
            </w:r>
          </w:p>
        </w:tc>
        <w:tc>
          <w:tcPr>
            <w:tcW w:w="2570" w:type="dxa"/>
            <w:gridSpan w:val="2"/>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cantSplit/>
        </w:trPr>
        <w:tc>
          <w:tcPr>
            <w:tcW w:w="2260" w:type="dxa"/>
            <w:gridSpan w:val="2"/>
          </w:tcPr>
          <w:p>
            <w:pPr>
              <w:pStyle w:val="nTable"/>
              <w:spacing w:after="40"/>
              <w:rPr>
                <w:sz w:val="19"/>
              </w:rPr>
            </w:pPr>
            <w:r>
              <w:rPr>
                <w:i/>
                <w:sz w:val="19"/>
              </w:rPr>
              <w:t>Acts Amendment (Misuse of Drugs) Act 1981</w:t>
            </w:r>
            <w:r>
              <w:rPr>
                <w:sz w:val="19"/>
              </w:rPr>
              <w:t xml:space="preserve"> Pt. IV</w:t>
            </w:r>
          </w:p>
        </w:tc>
        <w:tc>
          <w:tcPr>
            <w:tcW w:w="1133" w:type="dxa"/>
            <w:gridSpan w:val="2"/>
          </w:tcPr>
          <w:p>
            <w:pPr>
              <w:pStyle w:val="nTable"/>
              <w:keepNext/>
              <w:spacing w:after="40"/>
              <w:rPr>
                <w:sz w:val="19"/>
              </w:rPr>
            </w:pPr>
            <w:r>
              <w:rPr>
                <w:sz w:val="19"/>
              </w:rPr>
              <w:t>57 of 1981</w:t>
            </w:r>
          </w:p>
        </w:tc>
        <w:tc>
          <w:tcPr>
            <w:tcW w:w="1134" w:type="dxa"/>
            <w:gridSpan w:val="2"/>
          </w:tcPr>
          <w:p>
            <w:pPr>
              <w:pStyle w:val="nTable"/>
              <w:spacing w:after="40"/>
              <w:rPr>
                <w:sz w:val="19"/>
              </w:rPr>
            </w:pPr>
            <w:r>
              <w:rPr>
                <w:sz w:val="19"/>
              </w:rPr>
              <w:t>13 Oct 1981</w:t>
            </w:r>
          </w:p>
        </w:tc>
        <w:tc>
          <w:tcPr>
            <w:tcW w:w="2570" w:type="dxa"/>
            <w:gridSpan w:val="2"/>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cantSplit/>
        </w:trPr>
        <w:tc>
          <w:tcPr>
            <w:tcW w:w="2260" w:type="dxa"/>
            <w:gridSpan w:val="2"/>
          </w:tcPr>
          <w:p>
            <w:pPr>
              <w:pStyle w:val="nTable"/>
              <w:spacing w:after="40"/>
              <w:rPr>
                <w:sz w:val="19"/>
              </w:rPr>
            </w:pPr>
            <w:r>
              <w:rPr>
                <w:i/>
                <w:sz w:val="19"/>
              </w:rPr>
              <w:t>Acts Amendment (Statutory Designations) and Validation Act 1981</w:t>
            </w:r>
            <w:r>
              <w:rPr>
                <w:sz w:val="19"/>
              </w:rPr>
              <w:t xml:space="preserve"> s. 4</w:t>
            </w:r>
          </w:p>
        </w:tc>
        <w:tc>
          <w:tcPr>
            <w:tcW w:w="1133" w:type="dxa"/>
            <w:gridSpan w:val="2"/>
          </w:tcPr>
          <w:p>
            <w:pPr>
              <w:pStyle w:val="nTable"/>
              <w:keepNext/>
              <w:keepLines/>
              <w:spacing w:after="40"/>
              <w:rPr>
                <w:sz w:val="19"/>
              </w:rPr>
            </w:pPr>
            <w:r>
              <w:rPr>
                <w:sz w:val="19"/>
              </w:rPr>
              <w:t>63 of 1981</w:t>
            </w:r>
          </w:p>
        </w:tc>
        <w:tc>
          <w:tcPr>
            <w:tcW w:w="1134" w:type="dxa"/>
            <w:gridSpan w:val="2"/>
          </w:tcPr>
          <w:p>
            <w:pPr>
              <w:pStyle w:val="nTable"/>
              <w:spacing w:after="40"/>
              <w:rPr>
                <w:sz w:val="19"/>
              </w:rPr>
            </w:pPr>
            <w:r>
              <w:rPr>
                <w:sz w:val="19"/>
              </w:rPr>
              <w:t>13 Oct 1981</w:t>
            </w:r>
          </w:p>
        </w:tc>
        <w:tc>
          <w:tcPr>
            <w:tcW w:w="2570" w:type="dxa"/>
            <w:gridSpan w:val="2"/>
          </w:tcPr>
          <w:p>
            <w:pPr>
              <w:pStyle w:val="nTable"/>
              <w:spacing w:after="40"/>
              <w:rPr>
                <w:sz w:val="19"/>
              </w:rPr>
            </w:pPr>
            <w:r>
              <w:rPr>
                <w:sz w:val="19"/>
              </w:rPr>
              <w:t>13 Oct 1981</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cantSplit/>
        </w:trPr>
        <w:tc>
          <w:tcPr>
            <w:tcW w:w="2260" w:type="dxa"/>
            <w:gridSpan w:val="2"/>
          </w:tcPr>
          <w:p>
            <w:pPr>
              <w:pStyle w:val="nTable"/>
              <w:spacing w:after="40"/>
              <w:rPr>
                <w:sz w:val="19"/>
              </w:rPr>
            </w:pPr>
            <w:r>
              <w:rPr>
                <w:i/>
                <w:sz w:val="19"/>
              </w:rPr>
              <w:t>Health Legislation Amendment Act 1984</w:t>
            </w:r>
            <w:r>
              <w:rPr>
                <w:sz w:val="19"/>
              </w:rPr>
              <w:t xml:space="preserve"> Pt. XX</w:t>
            </w:r>
          </w:p>
        </w:tc>
        <w:tc>
          <w:tcPr>
            <w:tcW w:w="1133" w:type="dxa"/>
            <w:gridSpan w:val="2"/>
          </w:tcPr>
          <w:p>
            <w:pPr>
              <w:pStyle w:val="nTable"/>
              <w:spacing w:after="40"/>
              <w:rPr>
                <w:sz w:val="19"/>
              </w:rPr>
            </w:pPr>
            <w:r>
              <w:rPr>
                <w:sz w:val="19"/>
              </w:rPr>
              <w:t>28 of 1984</w:t>
            </w:r>
          </w:p>
        </w:tc>
        <w:tc>
          <w:tcPr>
            <w:tcW w:w="1134" w:type="dxa"/>
            <w:gridSpan w:val="2"/>
          </w:tcPr>
          <w:p>
            <w:pPr>
              <w:pStyle w:val="nTable"/>
              <w:spacing w:after="40"/>
              <w:rPr>
                <w:sz w:val="19"/>
              </w:rPr>
            </w:pPr>
            <w:r>
              <w:rPr>
                <w:sz w:val="19"/>
              </w:rPr>
              <w:t>31 May 1984</w:t>
            </w:r>
          </w:p>
        </w:tc>
        <w:tc>
          <w:tcPr>
            <w:tcW w:w="2570" w:type="dxa"/>
            <w:gridSpan w:val="2"/>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2260" w:type="dxa"/>
            <w:gridSpan w:val="2"/>
          </w:tcPr>
          <w:p>
            <w:pPr>
              <w:pStyle w:val="nTable"/>
              <w:keepNext/>
              <w:spacing w:after="40"/>
              <w:rPr>
                <w:sz w:val="19"/>
              </w:rPr>
            </w:pPr>
            <w:r>
              <w:rPr>
                <w:i/>
                <w:sz w:val="19"/>
              </w:rPr>
              <w:t>Poisons Amendment Act 1994</w:t>
            </w:r>
          </w:p>
        </w:tc>
        <w:tc>
          <w:tcPr>
            <w:tcW w:w="1133" w:type="dxa"/>
            <w:gridSpan w:val="2"/>
          </w:tcPr>
          <w:p>
            <w:pPr>
              <w:pStyle w:val="nTable"/>
              <w:keepNext/>
              <w:spacing w:after="40"/>
              <w:rPr>
                <w:sz w:val="19"/>
              </w:rPr>
            </w:pPr>
            <w:r>
              <w:rPr>
                <w:sz w:val="19"/>
              </w:rPr>
              <w:t>12 of 1994</w:t>
            </w:r>
          </w:p>
        </w:tc>
        <w:tc>
          <w:tcPr>
            <w:tcW w:w="1134" w:type="dxa"/>
            <w:gridSpan w:val="2"/>
          </w:tcPr>
          <w:p>
            <w:pPr>
              <w:pStyle w:val="nTable"/>
              <w:keepNext/>
              <w:spacing w:after="40"/>
              <w:rPr>
                <w:sz w:val="19"/>
              </w:rPr>
            </w:pPr>
            <w:r>
              <w:rPr>
                <w:sz w:val="19"/>
              </w:rPr>
              <w:t>15 Apr 1994</w:t>
            </w:r>
          </w:p>
        </w:tc>
        <w:tc>
          <w:tcPr>
            <w:tcW w:w="2570" w:type="dxa"/>
            <w:gridSpan w:val="2"/>
          </w:tcPr>
          <w:p>
            <w:pPr>
              <w:pStyle w:val="nTable"/>
              <w:keepNext/>
              <w:spacing w:after="40"/>
              <w:rPr>
                <w:sz w:val="19"/>
              </w:rPr>
            </w:pPr>
            <w:r>
              <w:rPr>
                <w:sz w:val="19"/>
              </w:rPr>
              <w:t xml:space="preserve">27 May 1994 (see s. 2 and </w:t>
            </w:r>
            <w:r>
              <w:rPr>
                <w:i/>
                <w:sz w:val="19"/>
              </w:rPr>
              <w:t>Gazette</w:t>
            </w:r>
            <w:r>
              <w:rPr>
                <w:sz w:val="19"/>
              </w:rPr>
              <w:t xml:space="preserve"> 27 May 1994 p. 2205)</w:t>
            </w:r>
          </w:p>
        </w:tc>
      </w:tr>
      <w:tr>
        <w:trPr>
          <w:cantSplit/>
        </w:trPr>
        <w:tc>
          <w:tcPr>
            <w:tcW w:w="2260" w:type="dxa"/>
            <w:gridSpan w:val="2"/>
          </w:tcPr>
          <w:p>
            <w:pPr>
              <w:pStyle w:val="nTable"/>
              <w:spacing w:after="40"/>
              <w:rPr>
                <w:sz w:val="19"/>
              </w:rPr>
            </w:pPr>
            <w:r>
              <w:rPr>
                <w:i/>
                <w:sz w:val="19"/>
              </w:rPr>
              <w:t>Acts Amendment (Public Sector Management) Act 1994</w:t>
            </w:r>
            <w:r>
              <w:rPr>
                <w:sz w:val="19"/>
              </w:rPr>
              <w:t xml:space="preserve"> s. 3(2)</w:t>
            </w:r>
          </w:p>
        </w:tc>
        <w:tc>
          <w:tcPr>
            <w:tcW w:w="1133" w:type="dxa"/>
            <w:gridSpan w:val="2"/>
          </w:tcPr>
          <w:p>
            <w:pPr>
              <w:pStyle w:val="nTable"/>
              <w:spacing w:after="40"/>
              <w:rPr>
                <w:sz w:val="19"/>
              </w:rPr>
            </w:pPr>
            <w:r>
              <w:rPr>
                <w:sz w:val="19"/>
              </w:rPr>
              <w:t>32 of 1994</w:t>
            </w:r>
          </w:p>
        </w:tc>
        <w:tc>
          <w:tcPr>
            <w:tcW w:w="1134" w:type="dxa"/>
            <w:gridSpan w:val="2"/>
          </w:tcPr>
          <w:p>
            <w:pPr>
              <w:pStyle w:val="nTable"/>
              <w:spacing w:after="40"/>
              <w:rPr>
                <w:sz w:val="19"/>
              </w:rPr>
            </w:pPr>
            <w:r>
              <w:rPr>
                <w:sz w:val="19"/>
              </w:rPr>
              <w:t>29 Jun 1994</w:t>
            </w:r>
          </w:p>
        </w:tc>
        <w:tc>
          <w:tcPr>
            <w:tcW w:w="2570" w:type="dxa"/>
            <w:gridSpan w:val="2"/>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0" w:type="dxa"/>
            <w:gridSpan w:val="2"/>
          </w:tcPr>
          <w:p>
            <w:pPr>
              <w:pStyle w:val="nTable"/>
              <w:spacing w:after="40"/>
              <w:rPr>
                <w:sz w:val="19"/>
              </w:rPr>
            </w:pPr>
            <w:r>
              <w:rPr>
                <w:i/>
                <w:sz w:val="19"/>
              </w:rPr>
              <w:t>Poisons Amendment Act 1995</w:t>
            </w:r>
          </w:p>
        </w:tc>
        <w:tc>
          <w:tcPr>
            <w:tcW w:w="1133" w:type="dxa"/>
            <w:gridSpan w:val="2"/>
          </w:tcPr>
          <w:p>
            <w:pPr>
              <w:pStyle w:val="nTable"/>
              <w:spacing w:after="40"/>
              <w:rPr>
                <w:sz w:val="19"/>
              </w:rPr>
            </w:pPr>
            <w:r>
              <w:rPr>
                <w:sz w:val="19"/>
              </w:rPr>
              <w:t>48 of 1995</w:t>
            </w:r>
          </w:p>
        </w:tc>
        <w:tc>
          <w:tcPr>
            <w:tcW w:w="1134" w:type="dxa"/>
            <w:gridSpan w:val="2"/>
          </w:tcPr>
          <w:p>
            <w:pPr>
              <w:pStyle w:val="nTable"/>
              <w:spacing w:after="40"/>
              <w:rPr>
                <w:sz w:val="19"/>
              </w:rPr>
            </w:pPr>
            <w:r>
              <w:rPr>
                <w:sz w:val="19"/>
              </w:rPr>
              <w:t>6 Nov 1995</w:t>
            </w:r>
          </w:p>
        </w:tc>
        <w:tc>
          <w:tcPr>
            <w:tcW w:w="2570" w:type="dxa"/>
            <w:gridSpan w:val="2"/>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cantSplit/>
        </w:trPr>
        <w:tc>
          <w:tcPr>
            <w:tcW w:w="4527" w:type="dxa"/>
            <w:gridSpan w:val="6"/>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70" w:type="dxa"/>
            <w:gridSpan w:val="2"/>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60" w:type="dxa"/>
            <w:gridSpan w:val="2"/>
          </w:tcPr>
          <w:p>
            <w:pPr>
              <w:pStyle w:val="nTable"/>
              <w:spacing w:after="40"/>
              <w:rPr>
                <w:sz w:val="19"/>
              </w:rPr>
            </w:pPr>
            <w:r>
              <w:rPr>
                <w:i/>
                <w:sz w:val="19"/>
              </w:rPr>
              <w:t>Local Government (Consequential Amendments) Act 1996</w:t>
            </w:r>
            <w:r>
              <w:rPr>
                <w:sz w:val="19"/>
              </w:rPr>
              <w:t xml:space="preserve"> s. 4</w:t>
            </w:r>
          </w:p>
        </w:tc>
        <w:tc>
          <w:tcPr>
            <w:tcW w:w="1133" w:type="dxa"/>
            <w:gridSpan w:val="2"/>
          </w:tcPr>
          <w:p>
            <w:pPr>
              <w:pStyle w:val="nTable"/>
              <w:keepNext/>
              <w:spacing w:after="40"/>
              <w:rPr>
                <w:sz w:val="19"/>
              </w:rPr>
            </w:pPr>
            <w:r>
              <w:rPr>
                <w:sz w:val="19"/>
              </w:rPr>
              <w:t>14 of 1996</w:t>
            </w:r>
          </w:p>
        </w:tc>
        <w:tc>
          <w:tcPr>
            <w:tcW w:w="1134" w:type="dxa"/>
            <w:gridSpan w:val="2"/>
          </w:tcPr>
          <w:p>
            <w:pPr>
              <w:pStyle w:val="nTable"/>
              <w:spacing w:after="40"/>
              <w:rPr>
                <w:sz w:val="19"/>
              </w:rPr>
            </w:pPr>
            <w:r>
              <w:rPr>
                <w:sz w:val="19"/>
              </w:rPr>
              <w:t>28 Jun 1996</w:t>
            </w:r>
          </w:p>
        </w:tc>
        <w:tc>
          <w:tcPr>
            <w:tcW w:w="2570" w:type="dxa"/>
            <w:gridSpan w:val="2"/>
          </w:tcPr>
          <w:p>
            <w:pPr>
              <w:pStyle w:val="nTable"/>
              <w:spacing w:after="40"/>
              <w:rPr>
                <w:sz w:val="19"/>
              </w:rPr>
            </w:pPr>
            <w:r>
              <w:rPr>
                <w:sz w:val="19"/>
              </w:rPr>
              <w:t>1 Jul 1996 (see s. 2)</w:t>
            </w:r>
          </w:p>
        </w:tc>
      </w:tr>
      <w:tr>
        <w:trPr>
          <w:cantSplit/>
        </w:trPr>
        <w:tc>
          <w:tcPr>
            <w:tcW w:w="4527" w:type="dxa"/>
            <w:gridSpan w:val="6"/>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70" w:type="dxa"/>
            <w:gridSpan w:val="2"/>
          </w:tcPr>
          <w:p>
            <w:pPr>
              <w:pStyle w:val="nTable"/>
              <w:spacing w:after="40"/>
              <w:rPr>
                <w:sz w:val="19"/>
              </w:rPr>
            </w:pPr>
            <w:r>
              <w:rPr>
                <w:sz w:val="19"/>
              </w:rPr>
              <w:t>24 Sep 1996 (see cl. 2)</w:t>
            </w:r>
          </w:p>
        </w:tc>
      </w:tr>
      <w:tr>
        <w:trPr>
          <w:cantSplit/>
        </w:trPr>
        <w:tc>
          <w:tcPr>
            <w:tcW w:w="4527" w:type="dxa"/>
            <w:gridSpan w:val="6"/>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70" w:type="dxa"/>
            <w:gridSpan w:val="2"/>
          </w:tcPr>
          <w:p>
            <w:pPr>
              <w:pStyle w:val="nTable"/>
              <w:spacing w:after="40"/>
              <w:rPr>
                <w:sz w:val="19"/>
              </w:rPr>
            </w:pPr>
            <w:r>
              <w:rPr>
                <w:sz w:val="19"/>
              </w:rPr>
              <w:t>10 Feb 1998 (see cl. 2)</w:t>
            </w:r>
          </w:p>
        </w:tc>
      </w:tr>
      <w:tr>
        <w:trPr>
          <w:cantSplit/>
        </w:trPr>
        <w:tc>
          <w:tcPr>
            <w:tcW w:w="2260" w:type="dxa"/>
            <w:gridSpan w:val="2"/>
          </w:tcPr>
          <w:p>
            <w:pPr>
              <w:pStyle w:val="nTable"/>
              <w:spacing w:after="40"/>
              <w:rPr>
                <w:sz w:val="19"/>
              </w:rPr>
            </w:pPr>
            <w:r>
              <w:rPr>
                <w:i/>
                <w:sz w:val="19"/>
              </w:rPr>
              <w:t>Statutes (Repeals and Minor Amendments) Act (No. 2) 1998</w:t>
            </w:r>
            <w:r>
              <w:rPr>
                <w:sz w:val="19"/>
              </w:rPr>
              <w:t xml:space="preserve"> s. 76</w:t>
            </w:r>
          </w:p>
        </w:tc>
        <w:tc>
          <w:tcPr>
            <w:tcW w:w="1133" w:type="dxa"/>
            <w:gridSpan w:val="2"/>
          </w:tcPr>
          <w:p>
            <w:pPr>
              <w:pStyle w:val="nTable"/>
              <w:keepNext/>
              <w:spacing w:after="40"/>
              <w:rPr>
                <w:sz w:val="19"/>
              </w:rPr>
            </w:pPr>
            <w:r>
              <w:rPr>
                <w:sz w:val="19"/>
              </w:rPr>
              <w:t>10 of 1998</w:t>
            </w:r>
          </w:p>
        </w:tc>
        <w:tc>
          <w:tcPr>
            <w:tcW w:w="1134" w:type="dxa"/>
            <w:gridSpan w:val="2"/>
          </w:tcPr>
          <w:p>
            <w:pPr>
              <w:pStyle w:val="nTable"/>
              <w:spacing w:after="40"/>
              <w:rPr>
                <w:sz w:val="19"/>
              </w:rPr>
            </w:pPr>
            <w:r>
              <w:rPr>
                <w:sz w:val="19"/>
              </w:rPr>
              <w:t>30 Apr 1998</w:t>
            </w:r>
          </w:p>
        </w:tc>
        <w:tc>
          <w:tcPr>
            <w:tcW w:w="2570" w:type="dxa"/>
            <w:gridSpan w:val="2"/>
          </w:tcPr>
          <w:p>
            <w:pPr>
              <w:pStyle w:val="nTable"/>
              <w:spacing w:after="40"/>
              <w:rPr>
                <w:sz w:val="19"/>
              </w:rPr>
            </w:pPr>
            <w:r>
              <w:rPr>
                <w:sz w:val="19"/>
              </w:rPr>
              <w:t>30 Apr 1998 (see s. 2(1))</w:t>
            </w:r>
          </w:p>
        </w:tc>
      </w:tr>
      <w:tr>
        <w:trPr>
          <w:cantSplit/>
        </w:trPr>
        <w:tc>
          <w:tcPr>
            <w:tcW w:w="4527" w:type="dxa"/>
            <w:gridSpan w:val="6"/>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70" w:type="dxa"/>
            <w:gridSpan w:val="2"/>
          </w:tcPr>
          <w:p>
            <w:pPr>
              <w:pStyle w:val="nTable"/>
              <w:spacing w:after="40"/>
              <w:rPr>
                <w:sz w:val="19"/>
              </w:rPr>
            </w:pPr>
            <w:r>
              <w:rPr>
                <w:sz w:val="19"/>
              </w:rPr>
              <w:t>22 Sep 1998 (see cl. 2)</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60" w:type="dxa"/>
            <w:gridSpan w:val="2"/>
          </w:tcPr>
          <w:p>
            <w:pPr>
              <w:pStyle w:val="nTable"/>
              <w:spacing w:after="40"/>
              <w:rPr>
                <w:sz w:val="19"/>
              </w:rPr>
            </w:pPr>
            <w:r>
              <w:rPr>
                <w:i/>
                <w:sz w:val="19"/>
              </w:rPr>
              <w:t>Acts Amendment and Repeal (Financial Sector Reform) Act 1999</w:t>
            </w:r>
            <w:r>
              <w:rPr>
                <w:sz w:val="19"/>
              </w:rPr>
              <w:t xml:space="preserve"> s. 96</w:t>
            </w:r>
          </w:p>
        </w:tc>
        <w:tc>
          <w:tcPr>
            <w:tcW w:w="1133" w:type="dxa"/>
            <w:gridSpan w:val="2"/>
          </w:tcPr>
          <w:p>
            <w:pPr>
              <w:pStyle w:val="nTable"/>
              <w:keepNext/>
              <w:spacing w:after="40"/>
              <w:rPr>
                <w:sz w:val="19"/>
              </w:rPr>
            </w:pPr>
            <w:r>
              <w:rPr>
                <w:sz w:val="19"/>
              </w:rPr>
              <w:t>26 of 1999</w:t>
            </w:r>
          </w:p>
        </w:tc>
        <w:tc>
          <w:tcPr>
            <w:tcW w:w="1134" w:type="dxa"/>
            <w:gridSpan w:val="2"/>
          </w:tcPr>
          <w:p>
            <w:pPr>
              <w:pStyle w:val="nTable"/>
              <w:spacing w:after="40"/>
              <w:rPr>
                <w:sz w:val="19"/>
              </w:rPr>
            </w:pPr>
            <w:r>
              <w:rPr>
                <w:sz w:val="19"/>
              </w:rPr>
              <w:t>29 Jun 1999</w:t>
            </w:r>
          </w:p>
        </w:tc>
        <w:tc>
          <w:tcPr>
            <w:tcW w:w="2570" w:type="dxa"/>
            <w:gridSpan w:val="2"/>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27" w:type="dxa"/>
            <w:gridSpan w:val="6"/>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70" w:type="dxa"/>
            <w:gridSpan w:val="2"/>
          </w:tcPr>
          <w:p>
            <w:pPr>
              <w:pStyle w:val="nTable"/>
              <w:spacing w:after="40"/>
              <w:rPr>
                <w:sz w:val="19"/>
              </w:rPr>
            </w:pPr>
            <w:r>
              <w:rPr>
                <w:sz w:val="19"/>
              </w:rPr>
              <w:t>8 Oct 1999</w:t>
            </w:r>
          </w:p>
        </w:tc>
      </w:tr>
      <w:tr>
        <w:trPr>
          <w:cantSplit/>
        </w:trPr>
        <w:tc>
          <w:tcPr>
            <w:tcW w:w="4527" w:type="dxa"/>
            <w:gridSpan w:val="6"/>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70" w:type="dxa"/>
            <w:gridSpan w:val="2"/>
          </w:tcPr>
          <w:p>
            <w:pPr>
              <w:pStyle w:val="nTable"/>
              <w:spacing w:after="40"/>
              <w:rPr>
                <w:sz w:val="19"/>
              </w:rPr>
            </w:pPr>
            <w:r>
              <w:rPr>
                <w:sz w:val="19"/>
              </w:rPr>
              <w:t>14 Sep 2001</w:t>
            </w:r>
          </w:p>
        </w:tc>
      </w:tr>
      <w:tr>
        <w:trPr>
          <w:cantSplit/>
        </w:trPr>
        <w:tc>
          <w:tcPr>
            <w:tcW w:w="4527" w:type="dxa"/>
            <w:gridSpan w:val="6"/>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70" w:type="dxa"/>
            <w:gridSpan w:val="2"/>
          </w:tcPr>
          <w:p>
            <w:pPr>
              <w:pStyle w:val="nTable"/>
              <w:spacing w:after="40"/>
              <w:rPr>
                <w:sz w:val="19"/>
              </w:rPr>
            </w:pPr>
            <w:r>
              <w:rPr>
                <w:sz w:val="19"/>
              </w:rPr>
              <w:t>8 Nov 2002 (see cl. 2)</w:t>
            </w:r>
          </w:p>
        </w:tc>
      </w:tr>
      <w:tr>
        <w:trPr>
          <w:cantSplit/>
        </w:trPr>
        <w:tc>
          <w:tcPr>
            <w:tcW w:w="2260" w:type="dxa"/>
            <w:gridSpan w:val="2"/>
          </w:tcPr>
          <w:p>
            <w:pPr>
              <w:pStyle w:val="nTable"/>
              <w:spacing w:after="40"/>
              <w:rPr>
                <w:i/>
                <w:sz w:val="19"/>
              </w:rPr>
            </w:pPr>
            <w:r>
              <w:rPr>
                <w:i/>
                <w:sz w:val="19"/>
              </w:rPr>
              <w:t>Nurses Amendment Act 2003</w:t>
            </w:r>
            <w:r>
              <w:rPr>
                <w:sz w:val="19"/>
              </w:rPr>
              <w:t xml:space="preserve"> Pt. 3 Div. 4</w:t>
            </w:r>
          </w:p>
        </w:tc>
        <w:tc>
          <w:tcPr>
            <w:tcW w:w="1133" w:type="dxa"/>
            <w:gridSpan w:val="2"/>
          </w:tcPr>
          <w:p>
            <w:pPr>
              <w:pStyle w:val="nTable"/>
              <w:keepNext/>
              <w:spacing w:after="40"/>
              <w:rPr>
                <w:sz w:val="19"/>
              </w:rPr>
            </w:pPr>
            <w:r>
              <w:rPr>
                <w:sz w:val="19"/>
              </w:rPr>
              <w:t>9 of 2003</w:t>
            </w:r>
          </w:p>
        </w:tc>
        <w:tc>
          <w:tcPr>
            <w:tcW w:w="1134" w:type="dxa"/>
            <w:gridSpan w:val="2"/>
          </w:tcPr>
          <w:p>
            <w:pPr>
              <w:pStyle w:val="nTable"/>
              <w:spacing w:after="40"/>
              <w:rPr>
                <w:sz w:val="19"/>
              </w:rPr>
            </w:pPr>
            <w:r>
              <w:rPr>
                <w:sz w:val="19"/>
              </w:rPr>
              <w:t>9 Apr 2003</w:t>
            </w:r>
          </w:p>
        </w:tc>
        <w:tc>
          <w:tcPr>
            <w:tcW w:w="2570" w:type="dxa"/>
            <w:gridSpan w:val="2"/>
          </w:tcPr>
          <w:p>
            <w:pPr>
              <w:pStyle w:val="nTable"/>
              <w:spacing w:after="40"/>
              <w:rPr>
                <w:sz w:val="19"/>
              </w:rPr>
            </w:pPr>
            <w:r>
              <w:rPr>
                <w:sz w:val="19"/>
              </w:rPr>
              <w:t>9 Apr 2003 (see s. 2)</w:t>
            </w:r>
          </w:p>
        </w:tc>
      </w:tr>
      <w:tr>
        <w:trPr>
          <w:cantSplit/>
        </w:trPr>
        <w:tc>
          <w:tcPr>
            <w:tcW w:w="2260" w:type="dxa"/>
            <w:gridSpan w:val="2"/>
          </w:tcPr>
          <w:p>
            <w:pPr>
              <w:pStyle w:val="nTable"/>
              <w:spacing w:after="40"/>
              <w:rPr>
                <w:i/>
                <w:sz w:val="19"/>
              </w:rPr>
            </w:pPr>
            <w:r>
              <w:rPr>
                <w:i/>
                <w:sz w:val="19"/>
              </w:rPr>
              <w:t xml:space="preserve">Sentencing Legislation Amendment and Repeal Act 2003 </w:t>
            </w:r>
            <w:r>
              <w:rPr>
                <w:sz w:val="19"/>
              </w:rPr>
              <w:t>s. 84</w:t>
            </w:r>
          </w:p>
        </w:tc>
        <w:tc>
          <w:tcPr>
            <w:tcW w:w="1133" w:type="dxa"/>
            <w:gridSpan w:val="2"/>
          </w:tcPr>
          <w:p>
            <w:pPr>
              <w:pStyle w:val="nTable"/>
              <w:keepNext/>
              <w:spacing w:after="40"/>
              <w:rPr>
                <w:sz w:val="19"/>
              </w:rPr>
            </w:pPr>
            <w:r>
              <w:rPr>
                <w:sz w:val="19"/>
              </w:rPr>
              <w:t>50 of 2003</w:t>
            </w:r>
          </w:p>
        </w:tc>
        <w:tc>
          <w:tcPr>
            <w:tcW w:w="1134" w:type="dxa"/>
            <w:gridSpan w:val="2"/>
          </w:tcPr>
          <w:p>
            <w:pPr>
              <w:pStyle w:val="nTable"/>
              <w:spacing w:after="40"/>
              <w:rPr>
                <w:sz w:val="19"/>
              </w:rPr>
            </w:pPr>
            <w:r>
              <w:rPr>
                <w:sz w:val="19"/>
              </w:rPr>
              <w:t>9 Jul 2003</w:t>
            </w:r>
          </w:p>
        </w:tc>
        <w:tc>
          <w:tcPr>
            <w:tcW w:w="2570" w:type="dxa"/>
            <w:gridSpan w:val="2"/>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27" w:type="dxa"/>
            <w:gridSpan w:val="6"/>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70" w:type="dxa"/>
            <w:gridSpan w:val="2"/>
          </w:tcPr>
          <w:p>
            <w:pPr>
              <w:pStyle w:val="nTable"/>
              <w:spacing w:after="40"/>
              <w:rPr>
                <w:sz w:val="19"/>
              </w:rPr>
            </w:pPr>
            <w:r>
              <w:rPr>
                <w:sz w:val="19"/>
              </w:rPr>
              <w:t>10 Oct 2003 (see cl. 2)</w:t>
            </w:r>
          </w:p>
        </w:tc>
      </w:tr>
      <w:tr>
        <w:trPr>
          <w:cantSplit/>
        </w:trPr>
        <w:tc>
          <w:tcPr>
            <w:tcW w:w="4527" w:type="dxa"/>
            <w:gridSpan w:val="6"/>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70" w:type="dxa"/>
            <w:gridSpan w:val="2"/>
          </w:tcPr>
          <w:p>
            <w:pPr>
              <w:pStyle w:val="nTable"/>
              <w:spacing w:after="40"/>
              <w:rPr>
                <w:sz w:val="19"/>
              </w:rPr>
            </w:pPr>
            <w:r>
              <w:rPr>
                <w:sz w:val="19"/>
              </w:rPr>
              <w:t>1 Jan 2004 (see cl. 2)</w:t>
            </w:r>
          </w:p>
        </w:tc>
      </w:tr>
      <w:tr>
        <w:trPr>
          <w:gridBefore w:val="1"/>
          <w:wBefore w:w="8" w:type="dxa"/>
          <w:cantSplit/>
        </w:trPr>
        <w:tc>
          <w:tcPr>
            <w:tcW w:w="2268" w:type="dxa"/>
            <w:gridSpan w:val="2"/>
          </w:tcPr>
          <w:p>
            <w:pPr>
              <w:pStyle w:val="nTable"/>
              <w:spacing w:after="40"/>
              <w:rPr>
                <w:sz w:val="19"/>
              </w:rPr>
            </w:pPr>
            <w:r>
              <w:rPr>
                <w:i/>
                <w:sz w:val="19"/>
              </w:rPr>
              <w:t>Industrial Hemp Act 2004</w:t>
            </w:r>
            <w:r>
              <w:rPr>
                <w:sz w:val="19"/>
              </w:rPr>
              <w:t xml:space="preserve"> Pt. 8</w:t>
            </w:r>
          </w:p>
        </w:tc>
        <w:tc>
          <w:tcPr>
            <w:tcW w:w="1134" w:type="dxa"/>
            <w:gridSpan w:val="2"/>
          </w:tcPr>
          <w:p>
            <w:pPr>
              <w:pStyle w:val="nTable"/>
              <w:keepNext/>
              <w:spacing w:after="40"/>
              <w:rPr>
                <w:sz w:val="19"/>
              </w:rPr>
            </w:pPr>
            <w:r>
              <w:rPr>
                <w:sz w:val="19"/>
              </w:rPr>
              <w:t>1 of 2004</w:t>
            </w:r>
          </w:p>
        </w:tc>
        <w:tc>
          <w:tcPr>
            <w:tcW w:w="1137" w:type="dxa"/>
            <w:gridSpan w:val="2"/>
          </w:tcPr>
          <w:p>
            <w:pPr>
              <w:pStyle w:val="nTable"/>
              <w:spacing w:after="40"/>
              <w:rPr>
                <w:sz w:val="19"/>
              </w:rPr>
            </w:pPr>
            <w:r>
              <w:rPr>
                <w:sz w:val="19"/>
              </w:rPr>
              <w:t>12 Mar 2004</w:t>
            </w:r>
          </w:p>
        </w:tc>
        <w:tc>
          <w:tcPr>
            <w:tcW w:w="2552"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Before w:val="1"/>
          <w:wBefore w:w="8" w:type="dxa"/>
          <w:cantSplit/>
        </w:trPr>
        <w:tc>
          <w:tcPr>
            <w:tcW w:w="7091" w:type="dxa"/>
            <w:gridSpan w:val="7"/>
          </w:tcPr>
          <w:p>
            <w:pPr>
              <w:pStyle w:val="nTable"/>
              <w:spacing w:after="40"/>
              <w:rPr>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 </w:t>
            </w:r>
            <w:r>
              <w:rPr>
                <w:snapToGrid w:val="0"/>
                <w:sz w:val="19"/>
                <w:vertAlign w:val="superscript"/>
              </w:rPr>
              <w:t>6</w:t>
            </w:r>
          </w:p>
        </w:tc>
        <w:tc>
          <w:tcPr>
            <w:tcW w:w="1134" w:type="dxa"/>
            <w:gridSpan w:val="2"/>
            <w:tcBorders>
              <w:top w:val="nil"/>
              <w:bottom w:val="nil"/>
            </w:tcBorders>
          </w:tcPr>
          <w:p>
            <w:pPr>
              <w:pStyle w:val="nTable"/>
              <w:spacing w:after="40"/>
              <w:rPr>
                <w:snapToGrid w:val="0"/>
                <w:sz w:val="19"/>
              </w:rPr>
            </w:pPr>
            <w:r>
              <w:rPr>
                <w:snapToGrid w:val="0"/>
                <w:sz w:val="19"/>
              </w:rPr>
              <w:t>59 of 2004 (as amended by No. 2 of 2008 s. 77(13))</w:t>
            </w:r>
          </w:p>
        </w:tc>
        <w:tc>
          <w:tcPr>
            <w:tcW w:w="1137" w:type="dxa"/>
            <w:gridSpan w:val="2"/>
            <w:tcBorders>
              <w:top w:val="nil"/>
              <w:bottom w:val="nil"/>
            </w:tcBorders>
          </w:tcPr>
          <w:p>
            <w:pPr>
              <w:pStyle w:val="nTable"/>
              <w:spacing w:after="40"/>
              <w:rPr>
                <w:sz w:val="19"/>
              </w:rPr>
            </w:pPr>
            <w:r>
              <w:rPr>
                <w:sz w:val="19"/>
              </w:rPr>
              <w:t>23 Nov 2004</w:t>
            </w:r>
          </w:p>
        </w:tc>
        <w:tc>
          <w:tcPr>
            <w:tcW w:w="2552" w:type="dxa"/>
            <w:tcBorders>
              <w:top w:val="nil"/>
              <w:bottom w:val="nil"/>
            </w:tcBorders>
          </w:tcPr>
          <w:p>
            <w:pPr>
              <w:pStyle w:val="nTable"/>
              <w:spacing w:after="40"/>
              <w:rPr>
                <w:snapToGrid w:val="0"/>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3</w:t>
            </w:r>
          </w:p>
        </w:tc>
        <w:tc>
          <w:tcPr>
            <w:tcW w:w="1134" w:type="dxa"/>
            <w:gridSpan w:val="2"/>
            <w:tcBorders>
              <w:top w:val="nil"/>
              <w:bottom w:val="nil"/>
            </w:tcBorders>
          </w:tcPr>
          <w:p>
            <w:pPr>
              <w:pStyle w:val="nTable"/>
              <w:spacing w:after="40"/>
              <w:rPr>
                <w:sz w:val="19"/>
              </w:rPr>
            </w:pPr>
            <w:r>
              <w:rPr>
                <w:sz w:val="19"/>
              </w:rPr>
              <w:t>55 of 2004</w:t>
            </w:r>
          </w:p>
        </w:tc>
        <w:tc>
          <w:tcPr>
            <w:tcW w:w="1137" w:type="dxa"/>
            <w:gridSpan w:val="2"/>
            <w:tcBorders>
              <w:top w:val="nil"/>
              <w:bottom w:val="nil"/>
            </w:tcBorders>
          </w:tcPr>
          <w:p>
            <w:pPr>
              <w:pStyle w:val="nTable"/>
              <w:spacing w:after="40"/>
              <w:rPr>
                <w:sz w:val="19"/>
              </w:rPr>
            </w:pPr>
            <w:r>
              <w:rPr>
                <w:sz w:val="19"/>
              </w:rPr>
              <w:t>24 Nov 2004</w:t>
            </w:r>
          </w:p>
        </w:tc>
        <w:tc>
          <w:tcPr>
            <w:tcW w:w="2552" w:type="dxa"/>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4" w:type="dxa"/>
            <w:gridSpan w:val="2"/>
            <w:tcBorders>
              <w:top w:val="nil"/>
              <w:bottom w:val="nil"/>
            </w:tcBorders>
          </w:tcPr>
          <w:p>
            <w:pPr>
              <w:pStyle w:val="nTable"/>
              <w:spacing w:after="40"/>
              <w:rPr>
                <w:sz w:val="19"/>
              </w:rPr>
            </w:pPr>
            <w:r>
              <w:rPr>
                <w:snapToGrid w:val="0"/>
                <w:sz w:val="19"/>
              </w:rPr>
              <w:t>84 of 2004</w:t>
            </w:r>
          </w:p>
        </w:tc>
        <w:tc>
          <w:tcPr>
            <w:tcW w:w="1137" w:type="dxa"/>
            <w:gridSpan w:val="2"/>
            <w:tcBorders>
              <w:top w:val="nil"/>
              <w:bottom w:val="nil"/>
            </w:tcBorders>
          </w:tcPr>
          <w:p>
            <w:pPr>
              <w:pStyle w:val="nTable"/>
              <w:spacing w:after="40"/>
              <w:rPr>
                <w:sz w:val="19"/>
              </w:rPr>
            </w:pPr>
            <w:r>
              <w:rPr>
                <w:sz w:val="19"/>
              </w:rPr>
              <w:t>16 Dec 2004</w:t>
            </w:r>
          </w:p>
        </w:tc>
        <w:tc>
          <w:tcPr>
            <w:tcW w:w="2552" w:type="dxa"/>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gridBefore w:val="1"/>
          <w:wBefore w:w="8" w:type="dxa"/>
          <w:cantSplit/>
        </w:trPr>
        <w:tc>
          <w:tcPr>
            <w:tcW w:w="2268" w:type="dxa"/>
            <w:gridSpan w:val="2"/>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4, 5</w:t>
            </w:r>
          </w:p>
        </w:tc>
        <w:tc>
          <w:tcPr>
            <w:tcW w:w="1134" w:type="dxa"/>
            <w:gridSpan w:val="2"/>
          </w:tcPr>
          <w:p>
            <w:pPr>
              <w:pStyle w:val="nTable"/>
              <w:spacing w:after="40"/>
              <w:rPr>
                <w:snapToGrid w:val="0"/>
                <w:sz w:val="19"/>
              </w:rPr>
            </w:pPr>
            <w:r>
              <w:rPr>
                <w:snapToGrid w:val="0"/>
                <w:sz w:val="19"/>
              </w:rPr>
              <w:t>28 of 2006</w:t>
            </w:r>
          </w:p>
        </w:tc>
        <w:tc>
          <w:tcPr>
            <w:tcW w:w="1137" w:type="dxa"/>
            <w:gridSpan w:val="2"/>
          </w:tcPr>
          <w:p>
            <w:pPr>
              <w:pStyle w:val="nTable"/>
              <w:spacing w:after="40"/>
              <w:rPr>
                <w:sz w:val="19"/>
              </w:rPr>
            </w:pPr>
            <w:r>
              <w:rPr>
                <w:sz w:val="19"/>
              </w:rPr>
              <w:t>26 Jun 2006</w:t>
            </w:r>
          </w:p>
        </w:tc>
        <w:tc>
          <w:tcPr>
            <w:tcW w:w="2552" w:type="dxa"/>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Before w:val="1"/>
          <w:wBefore w:w="8" w:type="dxa"/>
          <w:cantSplit/>
        </w:trPr>
        <w:tc>
          <w:tcPr>
            <w:tcW w:w="7091" w:type="dxa"/>
            <w:gridSpan w:val="7"/>
          </w:tcPr>
          <w:p>
            <w:pPr>
              <w:pStyle w:val="nTable"/>
              <w:spacing w:after="40"/>
              <w:rPr>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Before w:val="1"/>
          <w:wBefore w:w="8" w:type="dxa"/>
          <w:cantSplit/>
        </w:trPr>
        <w:tc>
          <w:tcPr>
            <w:tcW w:w="2268" w:type="dxa"/>
            <w:gridSpan w:val="2"/>
          </w:tcPr>
          <w:p>
            <w:pPr>
              <w:pStyle w:val="nTable"/>
              <w:spacing w:after="40"/>
              <w:ind w:left="-28"/>
              <w:rPr>
                <w:snapToGrid w:val="0"/>
                <w:sz w:val="19"/>
                <w:vertAlign w:val="superscript"/>
              </w:rPr>
            </w:pPr>
            <w:r>
              <w:rPr>
                <w:i/>
                <w:snapToGrid w:val="0"/>
                <w:sz w:val="19"/>
              </w:rPr>
              <w:t>Criminal Investigation (Consequential Provisions) Act 2006</w:t>
            </w:r>
            <w:r>
              <w:rPr>
                <w:iCs/>
                <w:snapToGrid w:val="0"/>
                <w:sz w:val="19"/>
              </w:rPr>
              <w:t xml:space="preserve"> s. 73</w:t>
            </w:r>
          </w:p>
        </w:tc>
        <w:tc>
          <w:tcPr>
            <w:tcW w:w="1134" w:type="dxa"/>
            <w:gridSpan w:val="2"/>
          </w:tcPr>
          <w:p>
            <w:pPr>
              <w:pStyle w:val="nTable"/>
              <w:spacing w:after="40"/>
              <w:rPr>
                <w:snapToGrid w:val="0"/>
                <w:sz w:val="19"/>
              </w:rPr>
            </w:pPr>
            <w:r>
              <w:rPr>
                <w:snapToGrid w:val="0"/>
                <w:sz w:val="19"/>
              </w:rPr>
              <w:t>59 of 2006</w:t>
            </w:r>
          </w:p>
        </w:tc>
        <w:tc>
          <w:tcPr>
            <w:tcW w:w="1137" w:type="dxa"/>
            <w:gridSpan w:val="2"/>
          </w:tcPr>
          <w:p>
            <w:pPr>
              <w:pStyle w:val="nTable"/>
              <w:spacing w:after="40"/>
              <w:rPr>
                <w:sz w:val="19"/>
              </w:rPr>
            </w:pPr>
            <w:r>
              <w:rPr>
                <w:sz w:val="19"/>
              </w:rPr>
              <w:t>16 Nov 2006</w:t>
            </w:r>
          </w:p>
        </w:tc>
        <w:tc>
          <w:tcPr>
            <w:tcW w:w="2552" w:type="dxa"/>
          </w:tcPr>
          <w:p>
            <w:pPr>
              <w:pStyle w:val="nTable"/>
              <w:spacing w:after="40"/>
              <w:rPr>
                <w:sz w:val="19"/>
              </w:rPr>
            </w:pPr>
            <w:r>
              <w:rPr>
                <w:snapToGrid w:val="0"/>
                <w:sz w:val="19"/>
              </w:rPr>
              <w:t xml:space="preserve">1 Jul 2007 (see s. 2 and </w:t>
            </w:r>
            <w:r>
              <w:rPr>
                <w:i/>
                <w:iCs/>
                <w:snapToGrid w:val="0"/>
                <w:sz w:val="19"/>
              </w:rPr>
              <w:t>Gazette</w:t>
            </w:r>
            <w:r>
              <w:rPr>
                <w:snapToGrid w:val="0"/>
                <w:sz w:val="19"/>
              </w:rPr>
              <w:t xml:space="preserve"> 22 Jun 2007 p. 2838)</w:t>
            </w:r>
          </w:p>
        </w:tc>
      </w:tr>
      <w:tr>
        <w:trPr>
          <w:gridBefore w:val="1"/>
          <w:wBefore w:w="8" w:type="dxa"/>
          <w:cantSplit/>
        </w:trPr>
        <w:tc>
          <w:tcPr>
            <w:tcW w:w="2268" w:type="dxa"/>
            <w:gridSpan w:val="2"/>
          </w:tcPr>
          <w:p>
            <w:pPr>
              <w:pStyle w:val="nTable"/>
              <w:spacing w:after="40"/>
              <w:ind w:left="-28"/>
              <w:rPr>
                <w:iCs/>
                <w:snapToGrid w:val="0"/>
                <w:sz w:val="19"/>
              </w:rPr>
            </w:pPr>
            <w:r>
              <w:rPr>
                <w:i/>
                <w:snapToGrid w:val="0"/>
                <w:sz w:val="19"/>
              </w:rPr>
              <w:t>Chemistry Centre (WA) Act 2007</w:t>
            </w:r>
            <w:r>
              <w:rPr>
                <w:iCs/>
                <w:snapToGrid w:val="0"/>
                <w:sz w:val="19"/>
              </w:rPr>
              <w:t xml:space="preserve"> s. 43</w:t>
            </w:r>
          </w:p>
        </w:tc>
        <w:tc>
          <w:tcPr>
            <w:tcW w:w="1134" w:type="dxa"/>
            <w:gridSpan w:val="2"/>
          </w:tcPr>
          <w:p>
            <w:pPr>
              <w:pStyle w:val="nTable"/>
              <w:spacing w:after="40"/>
              <w:rPr>
                <w:snapToGrid w:val="0"/>
                <w:sz w:val="19"/>
              </w:rPr>
            </w:pPr>
            <w:r>
              <w:rPr>
                <w:snapToGrid w:val="0"/>
                <w:sz w:val="19"/>
              </w:rPr>
              <w:t>10 of 2007</w:t>
            </w:r>
          </w:p>
        </w:tc>
        <w:tc>
          <w:tcPr>
            <w:tcW w:w="1137" w:type="dxa"/>
            <w:gridSpan w:val="2"/>
          </w:tcPr>
          <w:p>
            <w:pPr>
              <w:pStyle w:val="nTable"/>
              <w:spacing w:after="40"/>
              <w:rPr>
                <w:sz w:val="19"/>
              </w:rPr>
            </w:pPr>
            <w:r>
              <w:rPr>
                <w:sz w:val="19"/>
              </w:rPr>
              <w:t>29 Jun 2007</w:t>
            </w:r>
          </w:p>
        </w:tc>
        <w:tc>
          <w:tcPr>
            <w:tcW w:w="2552" w:type="dxa"/>
          </w:tcPr>
          <w:p>
            <w:pPr>
              <w:pStyle w:val="nTable"/>
              <w:spacing w:after="40"/>
              <w:rPr>
                <w:snapToGrid w:val="0"/>
                <w:sz w:val="19"/>
              </w:rPr>
            </w:pPr>
            <w:r>
              <w:rPr>
                <w:snapToGrid w:val="0"/>
                <w:sz w:val="19"/>
              </w:rPr>
              <w:t xml:space="preserve">1 Aug 2007 (see s. 2 and </w:t>
            </w:r>
            <w:r>
              <w:rPr>
                <w:i/>
                <w:iCs/>
                <w:snapToGrid w:val="0"/>
                <w:sz w:val="19"/>
              </w:rPr>
              <w:t>Gazette</w:t>
            </w:r>
            <w:r>
              <w:rPr>
                <w:snapToGrid w:val="0"/>
                <w:sz w:val="19"/>
              </w:rPr>
              <w:t xml:space="preserve"> 27 Jul 2007 p. 3735)</w:t>
            </w:r>
          </w:p>
        </w:tc>
      </w:tr>
      <w:tr>
        <w:trPr>
          <w:gridBefore w:val="1"/>
          <w:wBefore w:w="8" w:type="dxa"/>
          <w:cantSplit/>
        </w:trPr>
        <w:tc>
          <w:tcPr>
            <w:tcW w:w="2268" w:type="dxa"/>
            <w:gridSpan w:val="2"/>
            <w:tcBorders>
              <w:bottom w:val="single" w:sz="4" w:space="0" w:color="auto"/>
            </w:tcBorders>
          </w:tcPr>
          <w:p>
            <w:pPr>
              <w:pStyle w:val="nTable"/>
              <w:spacing w:after="40"/>
              <w:ind w:left="-28"/>
              <w:rPr>
                <w:i/>
                <w:snapToGrid w:val="0"/>
                <w:sz w:val="19"/>
              </w:rPr>
            </w:pPr>
            <w:r>
              <w:rPr>
                <w:i/>
                <w:snapToGrid w:val="0"/>
                <w:sz w:val="19"/>
              </w:rPr>
              <w:t>Nurses and Midwives Act 2006</w:t>
            </w:r>
            <w:r>
              <w:rPr>
                <w:snapToGrid w:val="0"/>
                <w:sz w:val="19"/>
              </w:rPr>
              <w:t xml:space="preserve"> s. 114</w:t>
            </w:r>
          </w:p>
        </w:tc>
        <w:tc>
          <w:tcPr>
            <w:tcW w:w="1134" w:type="dxa"/>
            <w:gridSpan w:val="2"/>
            <w:tcBorders>
              <w:bottom w:val="single" w:sz="4" w:space="0" w:color="auto"/>
            </w:tcBorders>
          </w:tcPr>
          <w:p>
            <w:pPr>
              <w:pStyle w:val="nTable"/>
              <w:spacing w:after="40"/>
              <w:rPr>
                <w:snapToGrid w:val="0"/>
                <w:sz w:val="19"/>
              </w:rPr>
            </w:pPr>
            <w:r>
              <w:rPr>
                <w:snapToGrid w:val="0"/>
                <w:sz w:val="19"/>
              </w:rPr>
              <w:t>50 of 2006</w:t>
            </w:r>
          </w:p>
        </w:tc>
        <w:tc>
          <w:tcPr>
            <w:tcW w:w="1137" w:type="dxa"/>
            <w:gridSpan w:val="2"/>
            <w:tcBorders>
              <w:bottom w:val="single" w:sz="4" w:space="0" w:color="auto"/>
            </w:tcBorders>
          </w:tcPr>
          <w:p>
            <w:pPr>
              <w:pStyle w:val="nTable"/>
              <w:spacing w:after="40"/>
              <w:rPr>
                <w:sz w:val="19"/>
              </w:rPr>
            </w:pPr>
            <w:r>
              <w:rPr>
                <w:sz w:val="19"/>
              </w:rPr>
              <w:t>6 Oct 2006</w:t>
            </w:r>
          </w:p>
        </w:tc>
        <w:tc>
          <w:tcPr>
            <w:tcW w:w="2552" w:type="dxa"/>
            <w:tcBorders>
              <w:bottom w:val="single" w:sz="4" w:space="0" w:color="auto"/>
            </w:tcBorders>
          </w:tcPr>
          <w:p>
            <w:pPr>
              <w:pStyle w:val="nTable"/>
              <w:spacing w:after="40"/>
              <w:rPr>
                <w:snapToGrid w:val="0"/>
                <w:sz w:val="19"/>
              </w:rPr>
            </w:pPr>
            <w:r>
              <w:rPr>
                <w:snapToGrid w:val="0"/>
                <w:sz w:val="19"/>
              </w:rPr>
              <w:t xml:space="preserve">19 Sep 2007 (see s. 2 and </w:t>
            </w:r>
            <w:r>
              <w:rPr>
                <w:i/>
                <w:iCs/>
                <w:snapToGrid w:val="0"/>
                <w:sz w:val="19"/>
              </w:rPr>
              <w:t>Gazette</w:t>
            </w:r>
            <w:r>
              <w:rPr>
                <w:snapToGrid w:val="0"/>
                <w:sz w:val="19"/>
              </w:rPr>
              <w:t xml:space="preserve"> 18 Sep 2007 p. 4711)</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00" w:name="_Toc389745391"/>
      <w:r>
        <w:rPr>
          <w:snapToGrid w:val="0"/>
        </w:rPr>
        <w:t>Provisions that have not come into operation</w:t>
      </w:r>
      <w:bookmarkEnd w:id="100"/>
    </w:p>
    <w:tbl>
      <w:tblPr>
        <w:tblW w:w="7080" w:type="dxa"/>
        <w:tblInd w:w="17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23"/>
        <w:gridCol w:w="1112"/>
        <w:gridCol w:w="1225"/>
        <w:gridCol w:w="2520"/>
      </w:tblGrid>
      <w:tr>
        <w:tc>
          <w:tcPr>
            <w:tcW w:w="2223" w:type="dxa"/>
            <w:tcBorders>
              <w:top w:val="single" w:sz="8" w:space="0" w:color="auto"/>
              <w:bottom w:val="single" w:sz="4" w:space="0" w:color="auto"/>
            </w:tcBorders>
          </w:tcPr>
          <w:p>
            <w:pPr>
              <w:pStyle w:val="nTable"/>
              <w:spacing w:after="40"/>
              <w:rPr>
                <w:b/>
                <w:snapToGrid w:val="0"/>
                <w:sz w:val="19"/>
              </w:rPr>
            </w:pPr>
            <w:r>
              <w:rPr>
                <w:b/>
                <w:snapToGrid w:val="0"/>
                <w:sz w:val="19"/>
              </w:rPr>
              <w:t>Short title</w:t>
            </w:r>
          </w:p>
        </w:tc>
        <w:tc>
          <w:tcPr>
            <w:tcW w:w="1112" w:type="dxa"/>
            <w:tcBorders>
              <w:top w:val="single" w:sz="8" w:space="0" w:color="auto"/>
              <w:bottom w:val="single" w:sz="4" w:space="0" w:color="auto"/>
            </w:tcBorders>
          </w:tcPr>
          <w:p>
            <w:pPr>
              <w:pStyle w:val="nTable"/>
              <w:spacing w:after="40"/>
              <w:rPr>
                <w:b/>
                <w:snapToGrid w:val="0"/>
                <w:sz w:val="19"/>
              </w:rPr>
            </w:pPr>
            <w:r>
              <w:rPr>
                <w:b/>
                <w:snapToGrid w:val="0"/>
                <w:sz w:val="19"/>
              </w:rPr>
              <w:t>Number and year</w:t>
            </w:r>
          </w:p>
        </w:tc>
        <w:tc>
          <w:tcPr>
            <w:tcW w:w="1225" w:type="dxa"/>
            <w:tcBorders>
              <w:top w:val="single" w:sz="8" w:space="0" w:color="auto"/>
              <w:bottom w:val="single" w:sz="4" w:space="0" w:color="auto"/>
            </w:tcBorders>
          </w:tcPr>
          <w:p>
            <w:pPr>
              <w:pStyle w:val="nTable"/>
              <w:spacing w:after="40"/>
              <w:rPr>
                <w:b/>
                <w:snapToGrid w:val="0"/>
                <w:sz w:val="19"/>
              </w:rPr>
            </w:pPr>
            <w:r>
              <w:rPr>
                <w:b/>
                <w:snapToGrid w:val="0"/>
                <w:sz w:val="19"/>
              </w:rPr>
              <w:t>Assent</w:t>
            </w:r>
          </w:p>
        </w:tc>
        <w:tc>
          <w:tcPr>
            <w:tcW w:w="2520" w:type="dxa"/>
            <w:tcBorders>
              <w:top w:val="single" w:sz="8" w:space="0" w:color="auto"/>
              <w:bottom w:val="single" w:sz="4" w:space="0" w:color="auto"/>
            </w:tcBorders>
          </w:tcPr>
          <w:p>
            <w:pPr>
              <w:pStyle w:val="nTable"/>
              <w:spacing w:after="40"/>
              <w:rPr>
                <w:b/>
                <w:snapToGrid w:val="0"/>
                <w:sz w:val="19"/>
              </w:rPr>
            </w:pPr>
            <w:r>
              <w:rPr>
                <w:b/>
                <w:snapToGrid w:val="0"/>
                <w:sz w:val="19"/>
              </w:rPr>
              <w:t>Commencement</w:t>
            </w:r>
          </w:p>
        </w:tc>
      </w:tr>
      <w:tr>
        <w:tblPrEx>
          <w:tblBorders>
            <w:top w:val="none" w:sz="0" w:space="0" w:color="auto"/>
            <w:bottom w:val="none" w:sz="0" w:space="0" w:color="auto"/>
            <w:insideH w:val="none" w:sz="0" w:space="0" w:color="auto"/>
          </w:tblBorders>
        </w:tblPrEx>
        <w:tc>
          <w:tcPr>
            <w:tcW w:w="2223" w:type="dxa"/>
            <w:tcBorders>
              <w:top w:val="single" w:sz="4" w:space="0" w:color="auto"/>
            </w:tcBorders>
          </w:tcPr>
          <w:p>
            <w:pPr>
              <w:pStyle w:val="nTable"/>
              <w:spacing w:before="100"/>
              <w:rPr>
                <w:i/>
                <w:iCs/>
                <w:snapToGrid w:val="0"/>
                <w:sz w:val="19"/>
                <w:vertAlign w:val="superscript"/>
              </w:rPr>
            </w:pPr>
            <w:r>
              <w:rPr>
                <w:i/>
                <w:snapToGrid w:val="0"/>
                <w:sz w:val="19"/>
              </w:rPr>
              <w:t>Biosecurity and Agriculture Management (Repeal and Consequential Provisions) Act 2007</w:t>
            </w:r>
            <w:r>
              <w:rPr>
                <w:iCs/>
                <w:snapToGrid w:val="0"/>
                <w:sz w:val="19"/>
              </w:rPr>
              <w:t xml:space="preserve"> s. 93 </w:t>
            </w:r>
            <w:r>
              <w:rPr>
                <w:iCs/>
                <w:snapToGrid w:val="0"/>
                <w:sz w:val="19"/>
                <w:vertAlign w:val="superscript"/>
              </w:rPr>
              <w:t>8</w:t>
            </w:r>
          </w:p>
        </w:tc>
        <w:tc>
          <w:tcPr>
            <w:tcW w:w="1112" w:type="dxa"/>
            <w:tcBorders>
              <w:top w:val="single" w:sz="4" w:space="0" w:color="auto"/>
            </w:tcBorders>
          </w:tcPr>
          <w:p>
            <w:pPr>
              <w:pStyle w:val="nTable"/>
              <w:spacing w:before="100"/>
              <w:rPr>
                <w:snapToGrid w:val="0"/>
                <w:sz w:val="19"/>
              </w:rPr>
            </w:pPr>
            <w:r>
              <w:rPr>
                <w:snapToGrid w:val="0"/>
                <w:sz w:val="19"/>
              </w:rPr>
              <w:t>24 of 2007</w:t>
            </w:r>
          </w:p>
        </w:tc>
        <w:tc>
          <w:tcPr>
            <w:tcW w:w="1225" w:type="dxa"/>
            <w:tcBorders>
              <w:top w:val="single" w:sz="4" w:space="0" w:color="auto"/>
            </w:tcBorders>
          </w:tcPr>
          <w:p>
            <w:pPr>
              <w:pStyle w:val="nTable"/>
              <w:spacing w:before="100"/>
              <w:rPr>
                <w:sz w:val="19"/>
              </w:rPr>
            </w:pPr>
            <w:r>
              <w:rPr>
                <w:snapToGrid w:val="0"/>
                <w:sz w:val="19"/>
              </w:rPr>
              <w:t>12 Oct 2007</w:t>
            </w:r>
          </w:p>
        </w:tc>
        <w:tc>
          <w:tcPr>
            <w:tcW w:w="2520" w:type="dxa"/>
            <w:tcBorders>
              <w:top w:val="single" w:sz="4" w:space="0" w:color="auto"/>
            </w:tcBorders>
          </w:tcPr>
          <w:p>
            <w:pPr>
              <w:pStyle w:val="nTable"/>
              <w:spacing w:before="100"/>
              <w:rPr>
                <w:snapToGrid w:val="0"/>
                <w:sz w:val="19"/>
              </w:rPr>
            </w:pPr>
            <w:r>
              <w:rPr>
                <w:snapToGrid w:val="0"/>
                <w:sz w:val="19"/>
              </w:rPr>
              <w:t>To be proclaimed (s. 2(2))</w:t>
            </w:r>
          </w:p>
        </w:tc>
      </w:tr>
      <w:tr>
        <w:tblPrEx>
          <w:tblBorders>
            <w:top w:val="none" w:sz="0" w:space="0" w:color="auto"/>
            <w:bottom w:val="none" w:sz="0" w:space="0" w:color="auto"/>
            <w:insideH w:val="none" w:sz="0" w:space="0" w:color="auto"/>
          </w:tblBorders>
        </w:tblPrEx>
        <w:tc>
          <w:tcPr>
            <w:tcW w:w="2223" w:type="dxa"/>
            <w:tcBorders>
              <w:bottom w:val="single" w:sz="4" w:space="0" w:color="auto"/>
            </w:tcBorders>
          </w:tcPr>
          <w:p>
            <w:pPr>
              <w:pStyle w:val="nTable"/>
              <w:spacing w:before="100"/>
              <w:rPr>
                <w:i/>
                <w:snapToGrid w:val="0"/>
                <w:sz w:val="19"/>
                <w:vertAlign w:val="superscript"/>
              </w:rPr>
            </w:pPr>
            <w:r>
              <w:rPr>
                <w:i/>
                <w:snapToGrid w:val="0"/>
              </w:rPr>
              <w:t>Medical Practitioners Act 2008</w:t>
            </w:r>
            <w:r>
              <w:rPr>
                <w:iCs/>
                <w:snapToGrid w:val="0"/>
              </w:rPr>
              <w:t xml:space="preserve"> s. 162 </w:t>
            </w:r>
            <w:r>
              <w:rPr>
                <w:iCs/>
                <w:snapToGrid w:val="0"/>
                <w:vertAlign w:val="superscript"/>
              </w:rPr>
              <w:t>9</w:t>
            </w:r>
          </w:p>
        </w:tc>
        <w:tc>
          <w:tcPr>
            <w:tcW w:w="1112" w:type="dxa"/>
            <w:tcBorders>
              <w:bottom w:val="single" w:sz="4" w:space="0" w:color="auto"/>
            </w:tcBorders>
          </w:tcPr>
          <w:p>
            <w:pPr>
              <w:pStyle w:val="nTable"/>
              <w:spacing w:before="100"/>
              <w:rPr>
                <w:snapToGrid w:val="0"/>
                <w:sz w:val="19"/>
              </w:rPr>
            </w:pPr>
            <w:r>
              <w:rPr>
                <w:sz w:val="19"/>
              </w:rPr>
              <w:t>22 of 2008</w:t>
            </w:r>
          </w:p>
        </w:tc>
        <w:tc>
          <w:tcPr>
            <w:tcW w:w="1225" w:type="dxa"/>
            <w:tcBorders>
              <w:bottom w:val="single" w:sz="4" w:space="0" w:color="auto"/>
            </w:tcBorders>
          </w:tcPr>
          <w:p>
            <w:pPr>
              <w:pStyle w:val="nTable"/>
              <w:spacing w:before="100"/>
              <w:rPr>
                <w:snapToGrid w:val="0"/>
                <w:sz w:val="19"/>
              </w:rPr>
            </w:pPr>
            <w:r>
              <w:rPr>
                <w:sz w:val="19"/>
              </w:rPr>
              <w:t>27 May 2008</w:t>
            </w:r>
          </w:p>
        </w:tc>
        <w:tc>
          <w:tcPr>
            <w:tcW w:w="2520" w:type="dxa"/>
            <w:tcBorders>
              <w:bottom w:val="single" w:sz="4" w:space="0" w:color="auto"/>
            </w:tcBorders>
          </w:tcPr>
          <w:p>
            <w:pPr>
              <w:pStyle w:val="nTable"/>
              <w:spacing w:before="100"/>
              <w:rPr>
                <w:snapToGrid w:val="0"/>
                <w:sz w:val="19"/>
              </w:rPr>
            </w:pPr>
            <w:r>
              <w:rPr>
                <w:sz w:val="19"/>
              </w:rPr>
              <w:t>To be proclaimed (see s. 2)</w:t>
            </w:r>
          </w:p>
        </w:tc>
      </w:tr>
    </w:tbl>
    <w:p>
      <w:pPr>
        <w:pStyle w:val="nSubsection"/>
        <w:keepLines/>
        <w:spacing w:before="160"/>
      </w:pPr>
      <w:r>
        <w:rPr>
          <w:vertAlign w:val="superscript"/>
        </w:rPr>
        <w:t>2</w:t>
      </w:r>
      <w:r>
        <w:rPr>
          <w:vertAlign w:val="superscript"/>
        </w:rPr>
        <w:tab/>
      </w:r>
      <w:r>
        <w:t xml:space="preserve">Under the </w:t>
      </w:r>
      <w:r>
        <w:rPr>
          <w:i/>
        </w:rPr>
        <w:t>Alteration of Statutory Designations Order 2006</w:t>
      </w:r>
      <w:r>
        <w:t>, a reference to the department of the Public Service with the designation “Department of Agriculture” is, unless the contrary intention appears or the context of the reference otherwise requires, to be read and construed as a reference to the department of the Public Service with the designation “Department of Agriculture and Food”.  At the time of this compilation the Minister is known as the Minister for Agriculture and Food.</w:t>
      </w:r>
    </w:p>
    <w:p>
      <w:pPr>
        <w:pStyle w:val="nSubsection"/>
        <w:keepLines/>
        <w:spacing w:before="120"/>
        <w:rPr>
          <w:snapToGrid w:val="0"/>
          <w:vertAlign w:val="superscript"/>
        </w:rPr>
      </w:pPr>
      <w:r>
        <w:rPr>
          <w:vertAlign w:val="superscript"/>
        </w:rPr>
        <w:t>3</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4</w:t>
      </w:r>
      <w:r>
        <w:tab/>
        <w:t>The</w:t>
      </w:r>
      <w:r>
        <w:rPr>
          <w:i/>
          <w:snapToGrid w:val="0"/>
          <w:sz w:val="19"/>
        </w:rPr>
        <w:t xml:space="preserve"> Machinery of Government (Miscellaneous Amendments) Act 2006</w:t>
      </w:r>
      <w:r>
        <w:rPr>
          <w:snapToGrid w:val="0"/>
          <w:sz w:val="19"/>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 xml:space="preserve">In this section —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pPr>
      <w:r>
        <w:rPr>
          <w:snapToGrid w:val="0"/>
          <w:vertAlign w:val="superscript"/>
        </w:rPr>
        <w:t>5</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nSubsection"/>
        <w:keepNext/>
        <w:rPr>
          <w:snapToGrid w:val="0"/>
        </w:rPr>
      </w:pPr>
      <w:r>
        <w:rPr>
          <w:snapToGrid w:val="0"/>
          <w:vertAlign w:val="superscript"/>
        </w:rPr>
        <w:t>6</w:t>
      </w:r>
      <w:r>
        <w:rPr>
          <w:snapToGrid w:val="0"/>
        </w:rPr>
        <w:tab/>
        <w:t xml:space="preserve">The </w:t>
      </w:r>
      <w:r>
        <w:rPr>
          <w:i/>
          <w:snapToGrid w:val="0"/>
        </w:rPr>
        <w:t>Courts Legislation Amendment and Repeal Act 2004</w:t>
      </w:r>
      <w:r>
        <w:rPr>
          <w:snapToGrid w:val="0"/>
        </w:rPr>
        <w:t xml:space="preserve"> Sch. 2 cl. 40 was repealed by the </w:t>
      </w:r>
      <w:r>
        <w:rPr>
          <w:i/>
          <w:iCs/>
          <w:snapToGrid w:val="0"/>
        </w:rPr>
        <w:t>Criminal Law and Evidence Amendment Act 2008</w:t>
      </w:r>
      <w:r>
        <w:rPr>
          <w:snapToGrid w:val="0"/>
        </w:rPr>
        <w:t xml:space="preserve"> s. 77(13).</w:t>
      </w:r>
    </w:p>
    <w:p>
      <w:pPr>
        <w:pStyle w:val="nSubsection"/>
        <w:keepLines/>
        <w:rPr>
          <w:snapToGrid w:val="0"/>
        </w:rPr>
      </w:pPr>
      <w:r>
        <w:rPr>
          <w:snapToGrid w:val="0"/>
          <w:vertAlign w:val="superscript"/>
        </w:rPr>
        <w:t>7</w:t>
      </w:r>
      <w:r>
        <w:rPr>
          <w:snapToGrid w:val="0"/>
        </w:rPr>
        <w:tab/>
        <w:t>Footnote no longer applicable.</w:t>
      </w:r>
    </w:p>
    <w:p>
      <w:pPr>
        <w:pStyle w:val="nSubsection"/>
        <w:keepLines/>
        <w:rPr>
          <w:snapToGrid w:val="0"/>
        </w:rPr>
      </w:pPr>
      <w:bookmarkStart w:id="101" w:name="AutoSch"/>
      <w:bookmarkEnd w:id="101"/>
      <w:r>
        <w:rPr>
          <w:snapToGrid w:val="0"/>
          <w:vertAlign w:val="superscript"/>
        </w:rPr>
        <w:t>8</w:t>
      </w:r>
      <w:r>
        <w:rPr>
          <w:snapToGrid w:val="0"/>
        </w:rPr>
        <w:tab/>
      </w:r>
      <w:r>
        <w:t xml:space="preserve">On the date as at which this compilation was prepared, </w:t>
      </w:r>
      <w:r>
        <w:rPr>
          <w:snapToGrid w:val="0"/>
        </w:rPr>
        <w:t xml:space="preserve">the </w:t>
      </w:r>
      <w:r>
        <w:rPr>
          <w:i/>
          <w:snapToGrid w:val="0"/>
        </w:rPr>
        <w:t>Biosecurity and Agriculture Management (Repeal and Consequential Provisions) Act 2007</w:t>
      </w:r>
      <w:r>
        <w:rPr>
          <w:iCs/>
          <w:snapToGrid w:val="0"/>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r>
        <w:rPr>
          <w:rStyle w:val="CharSectno"/>
        </w:rPr>
        <w:t>93</w:t>
      </w:r>
      <w:r>
        <w:t>.</w:t>
      </w:r>
      <w:r>
        <w:tab/>
      </w:r>
      <w:r>
        <w:rPr>
          <w:i/>
          <w:iCs/>
        </w:rPr>
        <w:t>Poisons Act 1964</w:t>
      </w:r>
      <w:r>
        <w:t xml:space="preserve"> amended</w:t>
      </w:r>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xml:space="preserve">” and inserting instead — </w:t>
      </w:r>
    </w:p>
    <w:p>
      <w:pPr>
        <w:pStyle w:val="MiscOpen"/>
        <w:keepNext w:val="0"/>
        <w:keepLines w:val="0"/>
        <w:ind w:left="1622"/>
      </w:pPr>
      <w:r>
        <w:t xml:space="preserve">“    </w:t>
      </w:r>
    </w:p>
    <w:p>
      <w:pPr>
        <w:pStyle w:val="nzIndenta"/>
      </w:pPr>
      <w:r>
        <w:tab/>
      </w:r>
      <w:r>
        <w:tab/>
        <w:t xml:space="preserve">under the </w:t>
      </w:r>
      <w:r>
        <w:rPr>
          <w:i/>
          <w:iCs/>
        </w:rPr>
        <w:t>Biosecurity and Agriculture Management Act 2007</w:t>
      </w:r>
    </w:p>
    <w:p>
      <w:pPr>
        <w:pStyle w:val="MiscClose"/>
        <w:keepLines w:val="0"/>
      </w:pPr>
      <w:r>
        <w:t xml:space="preserve">    ”.</w:t>
      </w:r>
    </w:p>
    <w:p>
      <w:pPr>
        <w:pStyle w:val="MiscClose"/>
      </w:pPr>
      <w:r>
        <w:t>”.</w:t>
      </w:r>
    </w:p>
    <w:p>
      <w:pPr>
        <w:pStyle w:val="nSubsection"/>
        <w:keepLines/>
        <w:rPr>
          <w:snapToGrid w:val="0"/>
        </w:rPr>
      </w:pPr>
      <w:r>
        <w:rPr>
          <w:snapToGrid w:val="0"/>
          <w:vertAlign w:val="superscript"/>
        </w:rPr>
        <w:t>9</w:t>
      </w:r>
      <w:r>
        <w:rPr>
          <w:snapToGrid w:val="0"/>
          <w:vertAlign w:val="superscript"/>
        </w:rPr>
        <w:tab/>
      </w:r>
      <w:r>
        <w:t xml:space="preserve">On the date as at which this compilation was prepared, </w:t>
      </w:r>
      <w:r>
        <w:rPr>
          <w:snapToGrid w:val="0"/>
        </w:rPr>
        <w:t xml:space="preserve">the </w:t>
      </w:r>
      <w:r>
        <w:rPr>
          <w:i/>
          <w:snapToGrid w:val="0"/>
        </w:rPr>
        <w:t>Medical Practitioners Act 2008</w:t>
      </w:r>
      <w:r>
        <w:rPr>
          <w:iCs/>
          <w:snapToGrid w:val="0"/>
        </w:rPr>
        <w:t xml:space="preserve"> s. 162, which gives effect to Sch. 3 cl. 46, </w:t>
      </w:r>
      <w:r>
        <w:rPr>
          <w:snapToGrid w:val="0"/>
        </w:rPr>
        <w:t>had not come into operation.  It reads as follows:</w:t>
      </w:r>
    </w:p>
    <w:p>
      <w:pPr>
        <w:pStyle w:val="MiscOpen"/>
      </w:pPr>
      <w:r>
        <w:t>“</w:t>
      </w:r>
    </w:p>
    <w:p>
      <w:pPr>
        <w:pStyle w:val="nzHeading5"/>
      </w:pPr>
      <w:r>
        <w:rPr>
          <w:rStyle w:val="CharSectno"/>
        </w:rPr>
        <w:t>162</w:t>
      </w:r>
      <w:r>
        <w:t>.</w:t>
      </w:r>
      <w:r>
        <w:tab/>
        <w:t>Consequential amendments</w:t>
      </w:r>
    </w:p>
    <w:p>
      <w:pPr>
        <w:pStyle w:val="nzSubsection"/>
      </w:pPr>
      <w:r>
        <w:tab/>
      </w:r>
      <w:r>
        <w:tab/>
        <w:t>Schedule 3 sets out consequential amendments.</w:t>
      </w:r>
    </w:p>
    <w:p>
      <w:pPr>
        <w:pStyle w:val="MiscClose"/>
      </w:pPr>
      <w:r>
        <w:t>”.</w:t>
      </w:r>
    </w:p>
    <w:p>
      <w:pPr>
        <w:pStyle w:val="nzSubsection"/>
      </w:pPr>
      <w:r>
        <w:t>Schedule 3 cl. 46 reads as follows:</w:t>
      </w:r>
    </w:p>
    <w:p>
      <w:pPr>
        <w:pStyle w:val="MiscOpen"/>
      </w:pPr>
      <w:r>
        <w:t>“</w:t>
      </w:r>
    </w:p>
    <w:p>
      <w:pPr>
        <w:pStyle w:val="nzHeading2"/>
      </w:pPr>
      <w:r>
        <w:rPr>
          <w:rStyle w:val="CharSchNo"/>
        </w:rPr>
        <w:t>Schedule 3</w:t>
      </w:r>
      <w:r>
        <w:t> — </w:t>
      </w:r>
      <w:r>
        <w:rPr>
          <w:rStyle w:val="CharSchText"/>
        </w:rPr>
        <w:t>Consequential amendments</w:t>
      </w:r>
    </w:p>
    <w:p>
      <w:pPr>
        <w:pStyle w:val="nzHeading5"/>
      </w:pPr>
      <w:r>
        <w:rPr>
          <w:rStyle w:val="CharSClsNo"/>
        </w:rPr>
        <w:t>46</w:t>
      </w:r>
      <w:r>
        <w:t>.</w:t>
      </w:r>
      <w:r>
        <w:tab/>
      </w:r>
      <w:r>
        <w:rPr>
          <w:i/>
          <w:iCs/>
        </w:rPr>
        <w:t>Poisons Act 1964</w:t>
      </w:r>
      <w:r>
        <w:t xml:space="preserve"> amended</w:t>
      </w:r>
    </w:p>
    <w:p>
      <w:pPr>
        <w:pStyle w:val="nzSubsection"/>
      </w:pPr>
      <w:r>
        <w:tab/>
        <w:t>(1)</w:t>
      </w:r>
      <w:r>
        <w:tab/>
        <w:t xml:space="preserve">The amendments in this clause are to the </w:t>
      </w:r>
      <w:r>
        <w:rPr>
          <w:i/>
        </w:rPr>
        <w:t>Poisons Act 1964</w:t>
      </w:r>
      <w:r>
        <w:t>.</w:t>
      </w:r>
    </w:p>
    <w:p>
      <w:pPr>
        <w:pStyle w:val="nzSubsection"/>
      </w:pPr>
      <w:r>
        <w:tab/>
        <w:t>(2)</w:t>
      </w:r>
      <w:r>
        <w:tab/>
        <w:t>Section 5(1) is amended in the definition of “medical practitioner” by deleting “</w:t>
      </w:r>
      <w:r>
        <w:rPr>
          <w:i/>
          <w:iCs/>
        </w:rPr>
        <w:t>Medical Act 1894</w:t>
      </w:r>
      <w:r>
        <w:t xml:space="preserve">” and inserting instead — </w:t>
      </w:r>
    </w:p>
    <w:p>
      <w:pPr>
        <w:pStyle w:val="nzSubsection"/>
      </w:pPr>
      <w:r>
        <w:tab/>
      </w:r>
      <w:r>
        <w:tab/>
        <w:t xml:space="preserve">“    </w:t>
      </w:r>
      <w:r>
        <w:rPr>
          <w:i/>
        </w:rPr>
        <w:t>Medical Practitioners Act 2008</w:t>
      </w:r>
      <w:r>
        <w:t xml:space="preserve">    ”.</w:t>
      </w:r>
    </w:p>
    <w:p>
      <w:pPr>
        <w:pStyle w:val="nzSubsection"/>
      </w:pPr>
      <w:r>
        <w:tab/>
        <w:t>(3)</w:t>
      </w:r>
      <w:r>
        <w:tab/>
        <w:t xml:space="preserve">Section 61(b)(i) is amended by deleting “constituted under the </w:t>
      </w:r>
      <w:r>
        <w:rPr>
          <w:i/>
          <w:iCs/>
        </w:rPr>
        <w:t>Medical Act 1894</w:t>
      </w:r>
      <w:r>
        <w:t xml:space="preserve">;” and inserting instead — </w:t>
      </w:r>
    </w:p>
    <w:p>
      <w:pPr>
        <w:pStyle w:val="MiscOpen"/>
        <w:tabs>
          <w:tab w:val="clear" w:pos="893"/>
        </w:tabs>
        <w:ind w:left="480"/>
      </w:pPr>
      <w:r>
        <w:t xml:space="preserve">“    </w:t>
      </w:r>
    </w:p>
    <w:p>
      <w:pPr>
        <w:pStyle w:val="zIndenta"/>
        <w:rPr>
          <w:sz w:val="20"/>
        </w:rPr>
      </w:pPr>
      <w:r>
        <w:rPr>
          <w:sz w:val="20"/>
        </w:rPr>
        <w:tab/>
      </w:r>
      <w:r>
        <w:rPr>
          <w:sz w:val="20"/>
        </w:rPr>
        <w:tab/>
        <w:t xml:space="preserve">of Western Australia established under the </w:t>
      </w:r>
      <w:r>
        <w:rPr>
          <w:i/>
          <w:iCs/>
          <w:sz w:val="20"/>
        </w:rPr>
        <w:t>Medical Practitioners Act 2008</w:t>
      </w:r>
      <w:r>
        <w:rPr>
          <w:iCs/>
          <w:sz w:val="20"/>
        </w:rPr>
        <w:t>;</w:t>
      </w:r>
    </w:p>
    <w:p>
      <w:pPr>
        <w:pStyle w:val="MiscClose"/>
      </w:pPr>
      <w:r>
        <w:t xml:space="preserve">    ”.</w:t>
      </w:r>
    </w:p>
    <w:p>
      <w:pPr>
        <w:pStyle w:val="MiscClose"/>
      </w:pPr>
      <w:r>
        <w:t>”.</w:t>
      </w:r>
    </w:p>
    <w:p/>
    <w:p>
      <w:pPr>
        <w:sectPr>
          <w:headerReference w:type="even" r:id="rId31"/>
          <w:headerReference w:type="default" r:id="rId32"/>
          <w:headerReference w:type="first" r:id="rId33"/>
          <w:pgSz w:w="11906" w:h="16838" w:code="9"/>
          <w:pgMar w:top="2376" w:right="2405" w:bottom="3542" w:left="2405" w:header="706" w:footer="3380" w:gutter="0"/>
          <w:cols w:space="720"/>
          <w:noEndnote/>
          <w:docGrid w:linePitch="326"/>
        </w:sectPr>
      </w:pPr>
    </w:p>
    <w:p/>
    <w:sectPr>
      <w:headerReference w:type="even" r:id="rId34"/>
      <w:headerReference w:type="default" r:id="rId35"/>
      <w:headerReference w:type="first" r:id="rId36"/>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07-j0-05</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27 May 2008</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27 May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07-j0-05</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27 May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07-j0-05</w:t>
    </w:r>
    <w:r>
      <w:rPr>
        <w:rFonts w:ascii="Arial" w:hAnsi="Arial" w:cs="Arial"/>
        <w:sz w:val="20"/>
      </w:rPr>
      <w:fldChar w:fldCharType="end"/>
    </w:r>
    <w:r>
      <w:rPr>
        <w:rFonts w:ascii="Arial" w:hAnsi="Arial" w:cs="Arial"/>
        <w:sz w:val="20"/>
      </w:rPr>
      <w:tab/>
    </w:r>
  </w:p>
  <w:p>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07-j0-05</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27 May 2008</w:t>
    </w:r>
    <w:r>
      <w:rPr>
        <w:rFonts w:ascii="Arial" w:hAnsi="Arial" w:cs="Arial"/>
        <w:sz w:val="20"/>
      </w:rPr>
      <w:fldChar w:fldCharType="end"/>
    </w:r>
  </w:p>
  <w:p>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27 May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07-j0-05</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27 May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07-j0-05</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rStyle w:val="PageNumbe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70</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07-j0-05</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27 May 2008</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27 May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07-j0-05</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69</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27 May 2008</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07-j0-05</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rStyle w:val="PageNumbe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fldSimple w:instr=" STYLEREF CharPartText ">
            <w:r>
              <w:rPr>
                <w:noProof/>
              </w:rPr>
              <w:t>Introductory provisions</w:t>
            </w:r>
          </w:fldSimple>
        </w:p>
      </w:tc>
      <w:tc>
        <w:tcPr>
          <w:tcW w:w="1521" w:type="dxa"/>
        </w:tcPr>
        <w:p>
          <w:pPr>
            <w:pStyle w:val="HeaderNumberRight"/>
            <w:ind w:right="17"/>
          </w:pPr>
          <w:fldSimple w:instr=" STYLEREF CharPartNo ">
            <w:r>
              <w:rPr>
                <w:noProof/>
              </w:rPr>
              <w:t>Part I</w:t>
            </w:r>
          </w:fldSimple>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5"/>
  </w:num>
  <w:num w:numId="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05151101"/>
    <w:docVar w:name="WAFER_20140605151101" w:val="RemoveTocBookmarks,RemoveUnusedBookmarks,RemoveLanguageTags,UsedStyles,ResetPageSize"/>
    <w:docVar w:name="WAFER_20140605151101_GUID" w:val="699fe3df-979b-4c04-b24b-2f020da71a5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7.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36" Type="http://schemas.openxmlformats.org/officeDocument/2006/relationships/header" Target="header20.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header" Target="header1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76</Pages>
  <Words>16851</Words>
  <Characters>78868</Characters>
  <Application>Microsoft Office Word</Application>
  <DocSecurity>0</DocSecurity>
  <Lines>2190</Lines>
  <Paragraphs>1259</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94460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1964 - 07-j0-05</dc:title>
  <dc:subject/>
  <dc:creator/>
  <cp:keywords/>
  <dc:description/>
  <cp:lastModifiedBy>svcMRProcess</cp:lastModifiedBy>
  <cp:revision>4</cp:revision>
  <cp:lastPrinted>2006-09-06T01:41:00Z</cp:lastPrinted>
  <dcterms:created xsi:type="dcterms:W3CDTF">2018-09-06T20:27:00Z</dcterms:created>
  <dcterms:modified xsi:type="dcterms:W3CDTF">2018-09-06T20:27:00Z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20080527</vt:lpwstr>
  </property>
  <property fmtid="{D5CDD505-2E9C-101B-9397-08002B2CF9AE}" pid="4" name="DocumentType">
    <vt:lpwstr>Act</vt:lpwstr>
  </property>
  <property fmtid="{D5CDD505-2E9C-101B-9397-08002B2CF9AE}" pid="5" name="OwlsUID">
    <vt:i4>614</vt:i4>
  </property>
  <property fmtid="{D5CDD505-2E9C-101B-9397-08002B2CF9AE}" pid="6" name="ReprintNo">
    <vt:lpwstr>7</vt:lpwstr>
  </property>
  <property fmtid="{D5CDD505-2E9C-101B-9397-08002B2CF9AE}" pid="7" name="AsAtDate">
    <vt:lpwstr>27 May 2008</vt:lpwstr>
  </property>
  <property fmtid="{D5CDD505-2E9C-101B-9397-08002B2CF9AE}" pid="8" name="Suffix">
    <vt:lpwstr>07-j0-05</vt:lpwstr>
  </property>
</Properties>
</file>