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Human Tissue and Transplant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Tissue and Transplant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_Toc199817112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_Toc199817113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_Toc199817114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Designated officers</w:t>
      </w:r>
      <w:r>
        <w:tab/>
      </w:r>
      <w:r>
        <w:fldChar w:fldCharType="begin"/>
      </w:r>
      <w:r>
        <w:instrText xml:space="preserve"> PAGEREF _Toc199817115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Delegation by designated officers</w:t>
      </w:r>
      <w:r>
        <w:tab/>
      </w:r>
      <w:r>
        <w:fldChar w:fldCharType="begin"/>
      </w:r>
      <w:r>
        <w:instrText xml:space="preserve"> PAGEREF _Toc199817116 \h </w:instrText>
      </w:r>
      <w:r>
        <w:fldChar w:fldCharType="separate"/>
      </w:r>
      <w:r>
        <w:t>6</w:t>
      </w:r>
      <w:r>
        <w:fldChar w:fldCharType="end"/>
      </w:r>
    </w:p>
    <w:p>
      <w:pPr>
        <w:pStyle w:val="TOC2"/>
        <w:tabs>
          <w:tab w:val="right" w:leader="dot" w:pos="7086"/>
        </w:tabs>
        <w:rPr>
          <w:b w:val="0"/>
          <w:sz w:val="24"/>
          <w:szCs w:val="24"/>
        </w:rPr>
      </w:pPr>
      <w:r>
        <w:rPr>
          <w:szCs w:val="30"/>
        </w:rPr>
        <w:t>Part II — Donations of tissue by living persons</w:t>
      </w:r>
    </w:p>
    <w:p>
      <w:pPr>
        <w:pStyle w:val="TOC4"/>
        <w:tabs>
          <w:tab w:val="right" w:leader="dot" w:pos="7086"/>
        </w:tabs>
        <w:rPr>
          <w:b w:val="0"/>
          <w:sz w:val="24"/>
          <w:szCs w:val="24"/>
        </w:rPr>
      </w:pPr>
      <w:r>
        <w:rPr>
          <w:szCs w:val="26"/>
        </w:rPr>
        <w:t>Division 1</w:t>
      </w:r>
      <w:r>
        <w:rPr>
          <w:snapToGrid w:val="0"/>
          <w:szCs w:val="26"/>
        </w:rPr>
        <w:t> — </w:t>
      </w:r>
      <w:r>
        <w:rPr>
          <w:szCs w:val="26"/>
        </w:rPr>
        <w:t>Exclusion of certain tissue</w:t>
      </w:r>
    </w:p>
    <w:p>
      <w:pPr>
        <w:pStyle w:val="TOC8"/>
        <w:rPr>
          <w:sz w:val="24"/>
          <w:szCs w:val="24"/>
        </w:rPr>
      </w:pPr>
      <w:r>
        <w:rPr>
          <w:szCs w:val="24"/>
        </w:rPr>
        <w:t>6</w:t>
      </w:r>
      <w:r>
        <w:rPr>
          <w:snapToGrid w:val="0"/>
          <w:szCs w:val="24"/>
        </w:rPr>
        <w:t>.</w:t>
      </w:r>
      <w:r>
        <w:rPr>
          <w:snapToGrid w:val="0"/>
          <w:szCs w:val="24"/>
        </w:rPr>
        <w:tab/>
        <w:t>Interpretation</w:t>
      </w:r>
      <w:r>
        <w:tab/>
      </w:r>
      <w:r>
        <w:fldChar w:fldCharType="begin"/>
      </w:r>
      <w:r>
        <w:instrText xml:space="preserve"> PAGEREF _Toc199817119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Donations by adults</w:t>
      </w:r>
    </w:p>
    <w:p>
      <w:pPr>
        <w:pStyle w:val="TOC8"/>
        <w:rPr>
          <w:sz w:val="24"/>
          <w:szCs w:val="24"/>
        </w:rPr>
      </w:pPr>
      <w:r>
        <w:rPr>
          <w:szCs w:val="24"/>
        </w:rPr>
        <w:t>7</w:t>
      </w:r>
      <w:r>
        <w:rPr>
          <w:snapToGrid w:val="0"/>
          <w:szCs w:val="24"/>
        </w:rPr>
        <w:t>.</w:t>
      </w:r>
      <w:r>
        <w:rPr>
          <w:snapToGrid w:val="0"/>
          <w:szCs w:val="24"/>
        </w:rPr>
        <w:tab/>
        <w:t>Blood transfusions not subject to this Division</w:t>
      </w:r>
      <w:r>
        <w:tab/>
      </w:r>
      <w:r>
        <w:fldChar w:fldCharType="begin"/>
      </w:r>
      <w:r>
        <w:instrText xml:space="preserve"> PAGEREF _Toc199817121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Consent to removal of regenerative tissue</w:t>
      </w:r>
      <w:r>
        <w:tab/>
      </w:r>
      <w:r>
        <w:fldChar w:fldCharType="begin"/>
      </w:r>
      <w:r>
        <w:instrText xml:space="preserve"> PAGEREF _Toc199817122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Consent to removal of non</w:t>
      </w:r>
      <w:r>
        <w:rPr>
          <w:snapToGrid w:val="0"/>
          <w:szCs w:val="24"/>
        </w:rPr>
        <w:noBreakHyphen/>
        <w:t>regenerative tissue</w:t>
      </w:r>
      <w:r>
        <w:tab/>
      </w:r>
      <w:r>
        <w:fldChar w:fldCharType="begin"/>
      </w:r>
      <w:r>
        <w:instrText xml:space="preserve"> PAGEREF _Toc199817123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Donations from children</w:t>
      </w:r>
    </w:p>
    <w:p>
      <w:pPr>
        <w:pStyle w:val="TOC8"/>
        <w:rPr>
          <w:sz w:val="24"/>
          <w:szCs w:val="24"/>
        </w:rPr>
      </w:pPr>
      <w:r>
        <w:rPr>
          <w:szCs w:val="24"/>
        </w:rPr>
        <w:t>10</w:t>
      </w:r>
      <w:r>
        <w:rPr>
          <w:snapToGrid w:val="0"/>
          <w:szCs w:val="24"/>
        </w:rPr>
        <w:t>.</w:t>
      </w:r>
      <w:r>
        <w:rPr>
          <w:snapToGrid w:val="0"/>
          <w:szCs w:val="24"/>
        </w:rPr>
        <w:tab/>
        <w:t>Blood transfusions not subject to this Division</w:t>
      </w:r>
      <w:r>
        <w:tab/>
      </w:r>
      <w:r>
        <w:fldChar w:fldCharType="begin"/>
      </w:r>
      <w:r>
        <w:instrText xml:space="preserve"> PAGEREF _Toc199817125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References to parents</w:t>
      </w:r>
      <w:r>
        <w:tab/>
      </w:r>
      <w:r>
        <w:fldChar w:fldCharType="begin"/>
      </w:r>
      <w:r>
        <w:instrText xml:space="preserve"> PAGEREF _Toc199817126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General prohibition of removal of tissue from children</w:t>
      </w:r>
      <w:r>
        <w:tab/>
      </w:r>
      <w:r>
        <w:fldChar w:fldCharType="begin"/>
      </w:r>
      <w:r>
        <w:instrText xml:space="preserve"> PAGEREF _Toc199817127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Parent may consent to removal of regenerative tissue from a child</w:t>
      </w:r>
      <w:r>
        <w:tab/>
      </w:r>
      <w:r>
        <w:fldChar w:fldCharType="begin"/>
      </w:r>
      <w:r>
        <w:instrText xml:space="preserve"> PAGEREF _Toc199817128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Revocation of consent</w:t>
      </w:r>
      <w:r>
        <w:tab/>
      </w:r>
      <w:r>
        <w:fldChar w:fldCharType="begin"/>
      </w:r>
      <w:r>
        <w:instrText xml:space="preserve"> PAGEREF _Toc199817129 \h </w:instrText>
      </w:r>
      <w:r>
        <w:fldChar w:fldCharType="separate"/>
      </w:r>
      <w:r>
        <w:t>10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Effect of consents and authorities</w:t>
      </w:r>
    </w:p>
    <w:p>
      <w:pPr>
        <w:pStyle w:val="TOC8"/>
        <w:rPr>
          <w:sz w:val="24"/>
          <w:szCs w:val="24"/>
        </w:rPr>
      </w:pPr>
      <w:r>
        <w:rPr>
          <w:szCs w:val="24"/>
        </w:rPr>
        <w:t>15</w:t>
      </w:r>
      <w:r>
        <w:rPr>
          <w:snapToGrid w:val="0"/>
          <w:szCs w:val="24"/>
        </w:rPr>
        <w:t>.</w:t>
      </w:r>
      <w:r>
        <w:rPr>
          <w:snapToGrid w:val="0"/>
          <w:szCs w:val="24"/>
        </w:rPr>
        <w:tab/>
        <w:t>Consents under section 8</w:t>
      </w:r>
      <w:r>
        <w:tab/>
      </w:r>
      <w:r>
        <w:fldChar w:fldCharType="begin"/>
      </w:r>
      <w:r>
        <w:instrText xml:space="preserve"> PAGEREF _Toc199817131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Consents under section 9</w:t>
      </w:r>
      <w:r>
        <w:tab/>
      </w:r>
      <w:r>
        <w:fldChar w:fldCharType="begin"/>
      </w:r>
      <w:r>
        <w:instrText xml:space="preserve"> PAGEREF _Toc199817132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Consents under section 13</w:t>
      </w:r>
      <w:r>
        <w:tab/>
      </w:r>
      <w:r>
        <w:fldChar w:fldCharType="begin"/>
      </w:r>
      <w:r>
        <w:instrText xml:space="preserve"> PAGEREF _Toc199817133 \h </w:instrText>
      </w:r>
      <w:r>
        <w:fldChar w:fldCharType="separate"/>
      </w:r>
      <w:r>
        <w:t>11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Blood transfusions</w:t>
      </w:r>
    </w:p>
    <w:p>
      <w:pPr>
        <w:pStyle w:val="TOC8"/>
        <w:rPr>
          <w:sz w:val="24"/>
          <w:szCs w:val="24"/>
        </w:rPr>
      </w:pPr>
      <w:r>
        <w:rPr>
          <w:szCs w:val="24"/>
        </w:rPr>
        <w:t>18</w:t>
      </w:r>
      <w:r>
        <w:rPr>
          <w:snapToGrid w:val="0"/>
          <w:szCs w:val="24"/>
        </w:rPr>
        <w:t>.</w:t>
      </w:r>
      <w:r>
        <w:rPr>
          <w:snapToGrid w:val="0"/>
          <w:szCs w:val="24"/>
        </w:rPr>
        <w:tab/>
        <w:t>Consents by adult to removal of blood</w:t>
      </w:r>
      <w:r>
        <w:tab/>
      </w:r>
      <w:r>
        <w:fldChar w:fldCharType="begin"/>
      </w:r>
      <w:r>
        <w:instrText xml:space="preserve"> PAGEREF _Toc199817135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Parent may consent to removal of blood from child</w:t>
      </w:r>
      <w:r>
        <w:tab/>
      </w:r>
      <w:r>
        <w:fldChar w:fldCharType="begin"/>
      </w:r>
      <w:r>
        <w:instrText xml:space="preserve"> PAGEREF _Toc199817136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Consent is sufficient authority for removal of blood</w:t>
      </w:r>
      <w:r>
        <w:tab/>
      </w:r>
      <w:r>
        <w:fldChar w:fldCharType="begin"/>
      </w:r>
      <w:r>
        <w:instrText xml:space="preserve"> PAGEREF _Toc199817137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Blood transfusions upon children without parental consent</w:t>
      </w:r>
      <w:r>
        <w:tab/>
      </w:r>
      <w:r>
        <w:fldChar w:fldCharType="begin"/>
      </w:r>
      <w:r>
        <w:instrText xml:space="preserve"> PAGEREF _Toc199817138 \h </w:instrText>
      </w:r>
      <w:r>
        <w:fldChar w:fldCharType="separate"/>
      </w:r>
      <w:r>
        <w:t>12</w:t>
      </w:r>
      <w:r>
        <w:fldChar w:fldCharType="end"/>
      </w:r>
    </w:p>
    <w:p>
      <w:pPr>
        <w:pStyle w:val="TOC2"/>
        <w:tabs>
          <w:tab w:val="right" w:leader="dot" w:pos="7086"/>
        </w:tabs>
        <w:rPr>
          <w:b w:val="0"/>
          <w:sz w:val="24"/>
          <w:szCs w:val="24"/>
        </w:rPr>
      </w:pPr>
      <w:r>
        <w:rPr>
          <w:szCs w:val="30"/>
        </w:rPr>
        <w:t>Part III — Donations of tissue after death</w:t>
      </w:r>
    </w:p>
    <w:p>
      <w:pPr>
        <w:pStyle w:val="TOC8"/>
        <w:rPr>
          <w:sz w:val="24"/>
          <w:szCs w:val="24"/>
        </w:rPr>
      </w:pPr>
      <w:r>
        <w:rPr>
          <w:szCs w:val="24"/>
        </w:rPr>
        <w:t>22</w:t>
      </w:r>
      <w:r>
        <w:rPr>
          <w:snapToGrid w:val="0"/>
          <w:szCs w:val="24"/>
        </w:rPr>
        <w:t>.</w:t>
      </w:r>
      <w:r>
        <w:rPr>
          <w:snapToGrid w:val="0"/>
          <w:szCs w:val="24"/>
        </w:rPr>
        <w:tab/>
        <w:t>Designated officer may authorise removal of tissue from bodies in hospital</w:t>
      </w:r>
      <w:r>
        <w:tab/>
      </w:r>
      <w:r>
        <w:fldChar w:fldCharType="begin"/>
      </w:r>
      <w:r>
        <w:instrText xml:space="preserve"> PAGEREF _Toc199817140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r>
      <w:r>
        <w:rPr>
          <w:snapToGrid w:val="0"/>
          <w:spacing w:val="-4"/>
          <w:szCs w:val="24"/>
        </w:rPr>
        <w:t>Coroner’s consent to removal of tissue required in some cases</w:t>
      </w:r>
      <w:r>
        <w:tab/>
      </w:r>
      <w:r>
        <w:fldChar w:fldCharType="begin"/>
      </w:r>
      <w:r>
        <w:instrText xml:space="preserve"> PAGEREF _Toc199817141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Effect of authority under this Part</w:t>
      </w:r>
      <w:r>
        <w:tab/>
      </w:r>
      <w:r>
        <w:fldChar w:fldCharType="begin"/>
      </w:r>
      <w:r>
        <w:instrText xml:space="preserve"> PAGEREF _Toc199817142 \h </w:instrText>
      </w:r>
      <w:r>
        <w:fldChar w:fldCharType="separate"/>
      </w:r>
      <w:r>
        <w:t>17</w:t>
      </w:r>
      <w:r>
        <w:fldChar w:fldCharType="end"/>
      </w:r>
    </w:p>
    <w:p>
      <w:pPr>
        <w:pStyle w:val="TOC2"/>
        <w:tabs>
          <w:tab w:val="right" w:leader="dot" w:pos="7086"/>
        </w:tabs>
        <w:rPr>
          <w:b w:val="0"/>
          <w:sz w:val="24"/>
          <w:szCs w:val="24"/>
        </w:rPr>
      </w:pPr>
      <w:r>
        <w:rPr>
          <w:szCs w:val="30"/>
        </w:rPr>
        <w:t>Part IV — Post</w:t>
      </w:r>
      <w:r>
        <w:rPr>
          <w:szCs w:val="30"/>
        </w:rPr>
        <w:noBreakHyphen/>
        <w:t>mortem examinations</w:t>
      </w:r>
    </w:p>
    <w:p>
      <w:pPr>
        <w:pStyle w:val="TOC8"/>
        <w:rPr>
          <w:sz w:val="24"/>
          <w:szCs w:val="24"/>
        </w:rPr>
      </w:pPr>
      <w:r>
        <w:rPr>
          <w:szCs w:val="24"/>
        </w:rPr>
        <w:t>25</w:t>
      </w:r>
      <w:r>
        <w:rPr>
          <w:snapToGrid w:val="0"/>
          <w:szCs w:val="24"/>
        </w:rPr>
        <w:t>.</w:t>
      </w:r>
      <w:r>
        <w:rPr>
          <w:snapToGrid w:val="0"/>
          <w:szCs w:val="24"/>
        </w:rPr>
        <w:tab/>
        <w:t>Designated officer may authorise post-mortems of bodies in hospital</w:t>
      </w:r>
      <w:r>
        <w:tab/>
      </w:r>
      <w:r>
        <w:fldChar w:fldCharType="begin"/>
      </w:r>
      <w:r>
        <w:instrText xml:space="preserve"> PAGEREF _Toc199817144 \h </w:instrText>
      </w:r>
      <w:r>
        <w:fldChar w:fldCharType="separate"/>
      </w:r>
      <w:r>
        <w:t>19</w:t>
      </w:r>
      <w:r>
        <w:fldChar w:fldCharType="end"/>
      </w:r>
    </w:p>
    <w:p>
      <w:pPr>
        <w:pStyle w:val="TOC8"/>
        <w:rPr>
          <w:sz w:val="24"/>
          <w:szCs w:val="24"/>
        </w:rPr>
      </w:pPr>
      <w:r>
        <w:rPr>
          <w:szCs w:val="24"/>
        </w:rPr>
        <w:t>26</w:t>
      </w:r>
      <w:r>
        <w:rPr>
          <w:snapToGrid w:val="0"/>
          <w:szCs w:val="24"/>
        </w:rPr>
        <w:t>.</w:t>
      </w:r>
      <w:r>
        <w:rPr>
          <w:snapToGrid w:val="0"/>
          <w:szCs w:val="24"/>
        </w:rPr>
        <w:tab/>
      </w:r>
      <w:r>
        <w:rPr>
          <w:snapToGrid w:val="0"/>
          <w:spacing w:val="-4"/>
          <w:szCs w:val="24"/>
        </w:rPr>
        <w:t>Next of kin may authorise post-mortem of body not in hospital</w:t>
      </w:r>
      <w:r>
        <w:tab/>
      </w:r>
      <w:r>
        <w:fldChar w:fldCharType="begin"/>
      </w:r>
      <w:r>
        <w:instrText xml:space="preserve"> PAGEREF _Toc199817145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Coroner’s consent to post-mortem required in some cases</w:t>
      </w:r>
      <w:r>
        <w:tab/>
      </w:r>
      <w:r>
        <w:fldChar w:fldCharType="begin"/>
      </w:r>
      <w:r>
        <w:instrText xml:space="preserve"> PAGEREF _Toc199817146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Effect of authority under this Part</w:t>
      </w:r>
      <w:r>
        <w:tab/>
      </w:r>
      <w:r>
        <w:fldChar w:fldCharType="begin"/>
      </w:r>
      <w:r>
        <w:instrText xml:space="preserve"> PAGEREF _Toc199817147 \h </w:instrText>
      </w:r>
      <w:r>
        <w:fldChar w:fldCharType="separate"/>
      </w:r>
      <w:r>
        <w:t>22</w:t>
      </w:r>
      <w:r>
        <w:fldChar w:fldCharType="end"/>
      </w:r>
    </w:p>
    <w:p>
      <w:pPr>
        <w:pStyle w:val="TOC2"/>
        <w:tabs>
          <w:tab w:val="right" w:leader="dot" w:pos="7086"/>
        </w:tabs>
        <w:rPr>
          <w:b w:val="0"/>
          <w:sz w:val="24"/>
          <w:szCs w:val="24"/>
        </w:rPr>
      </w:pPr>
      <w:r>
        <w:rPr>
          <w:szCs w:val="30"/>
        </w:rPr>
        <w:t>Part V — Prohibition on trading in tissue</w:t>
      </w:r>
    </w:p>
    <w:p>
      <w:pPr>
        <w:pStyle w:val="TOC8"/>
        <w:rPr>
          <w:sz w:val="24"/>
          <w:szCs w:val="24"/>
        </w:rPr>
      </w:pPr>
      <w:r>
        <w:rPr>
          <w:szCs w:val="24"/>
        </w:rPr>
        <w:t>29</w:t>
      </w:r>
      <w:r>
        <w:rPr>
          <w:snapToGrid w:val="0"/>
          <w:szCs w:val="24"/>
        </w:rPr>
        <w:t>.</w:t>
      </w:r>
      <w:r>
        <w:rPr>
          <w:snapToGrid w:val="0"/>
          <w:szCs w:val="24"/>
        </w:rPr>
        <w:tab/>
        <w:t>Trading in tissue, legal consequences</w:t>
      </w:r>
      <w:r>
        <w:tab/>
      </w:r>
      <w:r>
        <w:fldChar w:fldCharType="begin"/>
      </w:r>
      <w:r>
        <w:instrText xml:space="preserve"> PAGEREF _Toc199817149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Advertisements relating to buying human tissue prohibited</w:t>
      </w:r>
      <w:r>
        <w:tab/>
      </w:r>
      <w:r>
        <w:fldChar w:fldCharType="begin"/>
      </w:r>
      <w:r>
        <w:instrText xml:space="preserve"> PAGEREF _Toc199817150 \h </w:instrText>
      </w:r>
      <w:r>
        <w:fldChar w:fldCharType="separate"/>
      </w:r>
      <w:r>
        <w:t>24</w:t>
      </w:r>
      <w:r>
        <w:fldChar w:fldCharType="end"/>
      </w:r>
    </w:p>
    <w:p>
      <w:pPr>
        <w:pStyle w:val="TOC2"/>
        <w:tabs>
          <w:tab w:val="right" w:leader="dot" w:pos="7086"/>
        </w:tabs>
        <w:rPr>
          <w:b w:val="0"/>
          <w:sz w:val="24"/>
          <w:szCs w:val="24"/>
        </w:rPr>
      </w:pPr>
      <w:r>
        <w:rPr>
          <w:szCs w:val="30"/>
        </w:rPr>
        <w:t>Part VA — Prohibition on the use of embryonic stem cell lines</w:t>
      </w:r>
    </w:p>
    <w:p>
      <w:pPr>
        <w:pStyle w:val="TOC8"/>
        <w:rPr>
          <w:sz w:val="24"/>
          <w:szCs w:val="24"/>
        </w:rPr>
      </w:pPr>
      <w:r>
        <w:rPr>
          <w:szCs w:val="24"/>
        </w:rPr>
        <w:t>30A.</w:t>
      </w:r>
      <w:r>
        <w:rPr>
          <w:szCs w:val="24"/>
        </w:rPr>
        <w:tab/>
        <w:t>Interpretation</w:t>
      </w:r>
      <w:r>
        <w:tab/>
      </w:r>
      <w:r>
        <w:fldChar w:fldCharType="begin"/>
      </w:r>
      <w:r>
        <w:instrText xml:space="preserve"> PAGEREF _Toc199817152 \h </w:instrText>
      </w:r>
      <w:r>
        <w:fldChar w:fldCharType="separate"/>
      </w:r>
      <w:r>
        <w:t>26</w:t>
      </w:r>
      <w:r>
        <w:fldChar w:fldCharType="end"/>
      </w:r>
    </w:p>
    <w:p>
      <w:pPr>
        <w:pStyle w:val="TOC8"/>
        <w:rPr>
          <w:sz w:val="24"/>
          <w:szCs w:val="24"/>
        </w:rPr>
      </w:pPr>
      <w:r>
        <w:rPr>
          <w:szCs w:val="24"/>
        </w:rPr>
        <w:t>30B.</w:t>
      </w:r>
      <w:r>
        <w:rPr>
          <w:szCs w:val="24"/>
        </w:rPr>
        <w:tab/>
        <w:t>Restriction on use of human embryonic stem cells lines</w:t>
      </w:r>
      <w:r>
        <w:tab/>
      </w:r>
      <w:r>
        <w:fldChar w:fldCharType="begin"/>
      </w:r>
      <w:r>
        <w:instrText xml:space="preserve"> PAGEREF _Toc199817153 \h </w:instrText>
      </w:r>
      <w:r>
        <w:fldChar w:fldCharType="separate"/>
      </w:r>
      <w:r>
        <w:t>27</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31</w:t>
      </w:r>
      <w:r>
        <w:rPr>
          <w:snapToGrid w:val="0"/>
          <w:szCs w:val="24"/>
        </w:rPr>
        <w:t>.</w:t>
      </w:r>
      <w:r>
        <w:rPr>
          <w:snapToGrid w:val="0"/>
          <w:szCs w:val="24"/>
        </w:rPr>
        <w:tab/>
        <w:t>Exclusion of liability of persons acting in pursuance of consent, etc.</w:t>
      </w:r>
      <w:r>
        <w:tab/>
      </w:r>
      <w:r>
        <w:fldChar w:fldCharType="begin"/>
      </w:r>
      <w:r>
        <w:instrText xml:space="preserve"> PAGEREF _Toc199817155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Act does not prevent specified removals of tissue etc.</w:t>
      </w:r>
      <w:r>
        <w:tab/>
      </w:r>
      <w:r>
        <w:fldChar w:fldCharType="begin"/>
      </w:r>
      <w:r>
        <w:instrText xml:space="preserve"> PAGEREF _Toc199817156 \h </w:instrText>
      </w:r>
      <w:r>
        <w:fldChar w:fldCharType="separate"/>
      </w:r>
      <w:r>
        <w:t>28</w:t>
      </w:r>
      <w:r>
        <w:fldChar w:fldCharType="end"/>
      </w:r>
    </w:p>
    <w:p>
      <w:pPr>
        <w:pStyle w:val="TOC8"/>
        <w:rPr>
          <w:sz w:val="24"/>
          <w:szCs w:val="24"/>
        </w:rPr>
      </w:pPr>
      <w:r>
        <w:rPr>
          <w:szCs w:val="24"/>
        </w:rPr>
        <w:t>32A.</w:t>
      </w:r>
      <w:r>
        <w:rPr>
          <w:szCs w:val="24"/>
        </w:rPr>
        <w:tab/>
        <w:t>Codes of practice</w:t>
      </w:r>
      <w:r>
        <w:tab/>
      </w:r>
      <w:r>
        <w:fldChar w:fldCharType="begin"/>
      </w:r>
      <w:r>
        <w:instrText xml:space="preserve"> PAGEREF _Toc199817157 \h </w:instrText>
      </w:r>
      <w:r>
        <w:fldChar w:fldCharType="separate"/>
      </w:r>
      <w:r>
        <w:t>29</w:t>
      </w:r>
      <w:r>
        <w:fldChar w:fldCharType="end"/>
      </w:r>
    </w:p>
    <w:p>
      <w:pPr>
        <w:pStyle w:val="TOC8"/>
        <w:rPr>
          <w:sz w:val="24"/>
          <w:szCs w:val="24"/>
        </w:rPr>
      </w:pPr>
      <w:r>
        <w:rPr>
          <w:szCs w:val="24"/>
        </w:rPr>
        <w:t>32B.</w:t>
      </w:r>
      <w:r>
        <w:rPr>
          <w:szCs w:val="24"/>
        </w:rPr>
        <w:tab/>
        <w:t>Enforcement of directions contained in a code of practice</w:t>
      </w:r>
      <w:r>
        <w:tab/>
      </w:r>
      <w:r>
        <w:fldChar w:fldCharType="begin"/>
      </w:r>
      <w:r>
        <w:instrText xml:space="preserve"> PAGEREF _Toc199817158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Offences in relation to removal of tissue</w:t>
      </w:r>
      <w:r>
        <w:tab/>
      </w:r>
      <w:r>
        <w:fldChar w:fldCharType="begin"/>
      </w:r>
      <w:r>
        <w:instrText xml:space="preserve"> PAGEREF _Toc199817159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Disclosure of information</w:t>
      </w:r>
      <w:r>
        <w:tab/>
      </w:r>
      <w:r>
        <w:fldChar w:fldCharType="begin"/>
      </w:r>
      <w:r>
        <w:instrText xml:space="preserve"> PAGEREF _Toc199817160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Regulations</w:t>
      </w:r>
      <w:r>
        <w:tab/>
      </w:r>
      <w:r>
        <w:fldChar w:fldCharType="begin"/>
      </w:r>
      <w:r>
        <w:instrText xml:space="preserve"> PAGEREF _Toc199817161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_Toc199817163 \h </w:instrText>
      </w:r>
      <w:r>
        <w:fldChar w:fldCharType="separate"/>
      </w:r>
      <w:r>
        <w:t>34</w:t>
      </w:r>
      <w:r>
        <w:fldChar w:fldCharType="end"/>
      </w:r>
    </w:p>
    <w:p>
      <w:pPr>
        <w:pStyle w:val="TOC8"/>
        <w:rPr>
          <w:sz w:val="24"/>
        </w:rPr>
      </w:pPr>
      <w:r>
        <w:tab/>
        <w:t>Provisions that have not come into operation</w:t>
      </w:r>
      <w:r>
        <w:tab/>
      </w:r>
      <w:r>
        <w:fldChar w:fldCharType="begin"/>
      </w:r>
      <w:r>
        <w:instrText xml:space="preserve"> PAGEREF _Toc199817164 \h </w:instrText>
      </w:r>
      <w:r>
        <w:fldChar w:fldCharType="separate"/>
      </w:r>
      <w:r>
        <w:t>35</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iCs/>
          <w:snapToGrid w:val="0"/>
          <w:vertAlign w:val="superscript"/>
        </w:rPr>
        <w:t> 2</w:t>
      </w:r>
      <w:r>
        <w:rPr>
          <w:snapToGrid w:val="0"/>
        </w:rPr>
        <w:t xml:space="preserve">, the </w:t>
      </w:r>
      <w:r>
        <w:rPr>
          <w:i/>
          <w:snapToGrid w:val="0"/>
        </w:rPr>
        <w:t>Sale of Human Blood Act 1963</w:t>
      </w:r>
      <w:r>
        <w:rPr>
          <w:iCs/>
          <w:snapToGrid w:val="0"/>
          <w:vertAlign w:val="superscript"/>
        </w:rPr>
        <w:t> 2</w:t>
      </w:r>
      <w:r>
        <w:rPr>
          <w:snapToGrid w:val="0"/>
        </w:rPr>
        <w:t xml:space="preserve"> and section 338A of the </w:t>
      </w:r>
      <w:r>
        <w:rPr>
          <w:i/>
          <w:snapToGrid w:val="0"/>
        </w:rPr>
        <w:t>Health Act 1911</w:t>
      </w:r>
      <w:r>
        <w:rPr>
          <w:iCs/>
          <w:snapToGrid w:val="0"/>
          <w:vertAlign w:val="superscript"/>
        </w:rPr>
        <w:t> 3</w:t>
      </w:r>
      <w:r>
        <w:rPr>
          <w:snapToGrid w:val="0"/>
        </w:rPr>
        <w:t xml:space="preserve"> and for related purposes. </w:t>
      </w:r>
    </w:p>
    <w:p>
      <w:pPr>
        <w:pStyle w:val="Footnotelongtitle"/>
      </w:pPr>
      <w:r>
        <w:tab/>
        <w:t>[Long title amended by No. 18 of 2004 s. 11(2).]</w:t>
      </w:r>
    </w:p>
    <w:p>
      <w:pPr>
        <w:pStyle w:val="Heading2"/>
      </w:pPr>
      <w:bookmarkStart w:id="1" w:name="_Toc78096643"/>
      <w:bookmarkStart w:id="2" w:name="_Toc78103638"/>
      <w:bookmarkStart w:id="3" w:name="_Toc89749095"/>
      <w:bookmarkStart w:id="4" w:name="_Toc135726468"/>
      <w:bookmarkStart w:id="5" w:name="_Toc136238662"/>
      <w:bookmarkStart w:id="6" w:name="_Toc136838241"/>
      <w:bookmarkStart w:id="7" w:name="_Toc138474565"/>
      <w:bookmarkStart w:id="8" w:name="_Toc141671321"/>
      <w:bookmarkStart w:id="9" w:name="_Toc19981711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11225617"/>
      <w:bookmarkStart w:id="11" w:name="_Toc465832466"/>
      <w:bookmarkStart w:id="12" w:name="_Toc89749096"/>
      <w:bookmarkStart w:id="13" w:name="_Toc199817112"/>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14" w:name="_Toc411225618"/>
      <w:bookmarkStart w:id="15" w:name="_Toc465832467"/>
      <w:bookmarkStart w:id="16" w:name="_Toc89749097"/>
      <w:bookmarkStart w:id="17" w:name="_Toc199817113"/>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18" w:name="_Toc411225619"/>
      <w:bookmarkStart w:id="19" w:name="_Toc465832468"/>
      <w:bookmarkStart w:id="20" w:name="_Toc89749098"/>
      <w:bookmarkStart w:id="21" w:name="_Toc199817114"/>
      <w:r>
        <w:rPr>
          <w:rStyle w:val="CharSectno"/>
        </w:rPr>
        <w:t>3</w:t>
      </w:r>
      <w:r>
        <w:rPr>
          <w:snapToGrid w:val="0"/>
        </w:rPr>
        <w:t>.</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medical practitioner</w:t>
      </w:r>
      <w:r>
        <w:t xml:space="preserve"> means a person who is registered as a medical practitioner under the </w:t>
      </w:r>
      <w:r>
        <w:rPr>
          <w:i/>
        </w:rPr>
        <w:t>Medical Act 1894</w:t>
      </w:r>
      <w:r>
        <w:t>;</w:t>
      </w:r>
    </w:p>
    <w:p>
      <w:pPr>
        <w:pStyle w:val="Defstart"/>
        <w:keepNext/>
      </w:pPr>
      <w:r>
        <w:rPr>
          <w:b/>
        </w:rPr>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rPr>
          <w:snapToGrid w:val="0"/>
        </w:rPr>
      </w:pPr>
      <w:r>
        <w:rPr>
          <w:snapToGrid w:val="0"/>
        </w:rPr>
        <w:tab/>
        <w:t>(ii)</w:t>
      </w:r>
      <w:r>
        <w:rPr>
          <w:snapToGrid w:val="0"/>
        </w:rPr>
        <w:tab/>
        <w:t>a parent of the child;</w:t>
      </w:r>
    </w:p>
    <w:p>
      <w:pPr>
        <w:pStyle w:val="Defsubpara"/>
        <w:rPr>
          <w:snapToGrid w:val="0"/>
        </w:rPr>
      </w:pPr>
      <w:r>
        <w:rPr>
          <w:snapToGrid w:val="0"/>
        </w:rPr>
        <w:tab/>
        <w:t>(iii)</w:t>
      </w:r>
      <w:r>
        <w:rPr>
          <w:snapToGrid w:val="0"/>
        </w:rPr>
        <w:tab/>
        <w:t>a brother or sister, who has attained the age of 18 years, of the child;</w:t>
      </w:r>
    </w:p>
    <w:p>
      <w:pPr>
        <w:pStyle w:val="Defsubpara"/>
        <w:rPr>
          <w:snapToGrid w:val="0"/>
        </w:rPr>
      </w:pPr>
      <w:r>
        <w:rPr>
          <w:snapToGrid w:val="0"/>
        </w:rPr>
        <w:tab/>
        <w:t>(iv)</w:t>
      </w:r>
      <w:r>
        <w:rPr>
          <w:snapToGrid w:val="0"/>
        </w:rPr>
        <w:tab/>
        <w:t>a guardian of the child;</w:t>
      </w:r>
    </w:p>
    <w:p>
      <w:pPr>
        <w:pStyle w:val="Defpara"/>
      </w:pPr>
      <w:r>
        <w:tab/>
      </w:r>
      <w:r>
        <w:tab/>
        <w:t>and</w:t>
      </w:r>
    </w:p>
    <w:p>
      <w:pPr>
        <w:pStyle w:val="Defpara"/>
      </w:pPr>
      <w:r>
        <w:tab/>
        <w:t>(b)</w:t>
      </w:r>
      <w:r>
        <w:tab/>
        <w:t>in relation to a person other than a child, means the first in order of priority of the following persons who is available at the time — </w:t>
      </w:r>
    </w:p>
    <w:p>
      <w:pPr>
        <w:pStyle w:val="Defsubpara"/>
      </w:pPr>
      <w:r>
        <w:tab/>
        <w:t>(i)</w:t>
      </w:r>
      <w:r>
        <w:tab/>
        <w:t>if the person has both a spouse, and a de facto partner who has attained the age of 18 years, the spouse or de facto partner with whom the person is living as a spouse or de facto partner;</w:t>
      </w:r>
    </w:p>
    <w:p>
      <w:pPr>
        <w:pStyle w:val="Defsubpara"/>
      </w:pPr>
      <w:r>
        <w:tab/>
        <w:t>(ia)</w:t>
      </w:r>
      <w:r>
        <w:tab/>
        <w:t>the spouse, or de facto partner who has attained the age of 18 years, of the person;</w:t>
      </w:r>
    </w:p>
    <w:p>
      <w:pPr>
        <w:pStyle w:val="Defsubpara"/>
        <w:rPr>
          <w:snapToGrid w:val="0"/>
        </w:rPr>
      </w:pPr>
      <w:r>
        <w:rPr>
          <w:snapToGrid w:val="0"/>
        </w:rPr>
        <w:tab/>
        <w:t>(ii)</w:t>
      </w:r>
      <w:r>
        <w:rPr>
          <w:snapToGrid w:val="0"/>
        </w:rPr>
        <w:tab/>
        <w:t>a son or daughter, who has attained the age of 18 years, of the person;</w:t>
      </w:r>
    </w:p>
    <w:p>
      <w:pPr>
        <w:pStyle w:val="Defsubpara"/>
        <w:rPr>
          <w:snapToGrid w:val="0"/>
        </w:rPr>
      </w:pPr>
      <w:r>
        <w:rPr>
          <w:snapToGrid w:val="0"/>
        </w:rPr>
        <w:tab/>
        <w:t>(iii)</w:t>
      </w:r>
      <w:r>
        <w:rPr>
          <w:snapToGrid w:val="0"/>
        </w:rPr>
        <w:tab/>
        <w:t>a parent of the person;</w:t>
      </w:r>
    </w:p>
    <w:p>
      <w:pPr>
        <w:pStyle w:val="Defsubpara"/>
        <w:rPr>
          <w:snapToGrid w:val="0"/>
        </w:rPr>
      </w:pPr>
      <w:r>
        <w:rPr>
          <w:snapToGrid w:val="0"/>
        </w:rPr>
        <w:tab/>
        <w:t>(iv)</w:t>
      </w:r>
      <w:r>
        <w:rPr>
          <w:snapToGrid w:val="0"/>
        </w:rPr>
        <w:tab/>
        <w:t>a brother or sister, who has attained the age of 18 years, of the person;</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tissue</w:t>
      </w:r>
      <w:r>
        <w:t xml:space="preserve"> includes an organ or part of the human body or a substance extracted from, or from a part of, the human body.</w:t>
      </w:r>
    </w:p>
    <w:p>
      <w:pPr>
        <w:pStyle w:val="Subsection"/>
        <w:rPr>
          <w:snapToGrid w:val="0"/>
        </w:rPr>
      </w:pPr>
      <w:r>
        <w:rPr>
          <w:snapToGrid w:val="0"/>
        </w:rPr>
        <w:tab/>
        <w:t>(2)</w:t>
      </w:r>
      <w:r>
        <w:rPr>
          <w:snapToGrid w:val="0"/>
        </w:rPr>
        <w:tab/>
        <w:t xml:space="preserve">For the purposes of this Act </w:t>
      </w:r>
      <w:r>
        <w:rPr>
          <w:rStyle w:val="CharDefText"/>
        </w:rPr>
        <w:t>hospital</w:t>
      </w:r>
      <w:r>
        <w:rPr>
          <w:snapToGrid w:val="0"/>
        </w:rPr>
        <w:t xml:space="preserve"> includes the State Mortuary of the State Health Laboratory Services Branch of the department principally assisting the Minister in the administration of this Act or any agency established under section 7B of the </w:t>
      </w:r>
      <w:r>
        <w:rPr>
          <w:i/>
          <w:snapToGrid w:val="0"/>
        </w:rPr>
        <w:t>Hospitals and Health Services Act 1927</w:t>
      </w:r>
      <w:r>
        <w:rPr>
          <w:snapToGrid w:val="0"/>
        </w:rPr>
        <w:t xml:space="preserve"> that has among its objects and powers the conduct of pathological examinations.</w:t>
      </w:r>
    </w:p>
    <w:p>
      <w:pPr>
        <w:pStyle w:val="Subsection"/>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rPr>
          <w:snapToGrid w:val="0"/>
        </w:rPr>
      </w:pPr>
      <w:r>
        <w:rPr>
          <w:snapToGrid w:val="0"/>
        </w:rPr>
        <w:tab/>
        <w:t>(4)</w:t>
      </w:r>
      <w:r>
        <w:rPr>
          <w:snapToGrid w:val="0"/>
        </w:rPr>
        <w:tab/>
        <w:t>Where in the case of a particular hospital there is doubt as to which medical practitioner is the chief medical administrator of the hospital, the Executive Director may nominate, either by name or by reference to office, a medical practitioner as the chief medical administrator of that hospital for the purposes of this Act.</w:t>
      </w:r>
    </w:p>
    <w:p>
      <w:pPr>
        <w:pStyle w:val="Footnotesection"/>
      </w:pPr>
      <w:r>
        <w:tab/>
        <w:t>[Section 3 amended by No. 28 of 1984 s. 58 and 59; No. 2 of 1996 s. 61; No. 25 of 1997 s. 4; No. 3 of 2002 s. 78.]</w:t>
      </w:r>
    </w:p>
    <w:p>
      <w:pPr>
        <w:pStyle w:val="Heading5"/>
        <w:rPr>
          <w:snapToGrid w:val="0"/>
        </w:rPr>
      </w:pPr>
      <w:bookmarkStart w:id="22" w:name="_Toc411225620"/>
      <w:bookmarkStart w:id="23" w:name="_Toc465832469"/>
      <w:bookmarkStart w:id="24" w:name="_Toc89749099"/>
      <w:bookmarkStart w:id="25" w:name="_Toc199817115"/>
      <w:r>
        <w:rPr>
          <w:rStyle w:val="CharSectno"/>
        </w:rPr>
        <w:t>4</w:t>
      </w:r>
      <w:r>
        <w:rPr>
          <w:snapToGrid w:val="0"/>
        </w:rPr>
        <w:t>.</w:t>
      </w:r>
      <w:r>
        <w:rPr>
          <w:snapToGrid w:val="0"/>
        </w:rPr>
        <w:tab/>
        <w:t>Designated officers</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A nomination under subsection (1) shall be submitted to the Executive Director for his approval and, upon the grant of approval by the Executive Director,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As soon as practicable after revoking the nomination of a person as designated officer for a hospital, the chief medical administrator of the hospital shall inform the Executive Director of the revocation.</w:t>
      </w:r>
    </w:p>
    <w:p>
      <w:pPr>
        <w:pStyle w:val="Subsection"/>
        <w:rPr>
          <w:snapToGrid w:val="0"/>
        </w:rPr>
      </w:pPr>
      <w:r>
        <w:rPr>
          <w:snapToGrid w:val="0"/>
        </w:rPr>
        <w:tab/>
        <w:t>(4a)</w:t>
      </w:r>
      <w:r>
        <w:rPr>
          <w:snapToGrid w:val="0"/>
        </w:rPr>
        <w:tab/>
        <w:t>If in the case of a particular hospital there is no medical practitioner readily identifiable as the chief medical administrator of the hospital, the Executive Director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The Executive Director may revoke his approval or nomination of a person as designated officer for a hospital by serving on that person a notice of the revocation signed by him.</w:t>
      </w:r>
    </w:p>
    <w:p>
      <w:pPr>
        <w:pStyle w:val="Footnotesection"/>
      </w:pPr>
      <w:r>
        <w:tab/>
        <w:t>[Section 4 amended by No. 28 of 1984 s. 59; No. 25 of 1997 s. 5.]</w:t>
      </w:r>
    </w:p>
    <w:p>
      <w:pPr>
        <w:pStyle w:val="Heading5"/>
        <w:rPr>
          <w:snapToGrid w:val="0"/>
        </w:rPr>
      </w:pPr>
      <w:bookmarkStart w:id="26" w:name="_Toc411225621"/>
      <w:bookmarkStart w:id="27" w:name="_Toc465832470"/>
      <w:bookmarkStart w:id="28" w:name="_Toc89749100"/>
      <w:bookmarkStart w:id="29" w:name="_Toc199817116"/>
      <w:r>
        <w:rPr>
          <w:rStyle w:val="CharSectno"/>
        </w:rPr>
        <w:t>5</w:t>
      </w:r>
      <w:r>
        <w:rPr>
          <w:snapToGrid w:val="0"/>
        </w:rPr>
        <w:t>.</w:t>
      </w:r>
      <w:r>
        <w:rPr>
          <w:snapToGrid w:val="0"/>
        </w:rPr>
        <w:tab/>
        <w:t>Delegation by designated officers</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A designated officer shall inform the Executive Director as soon as practicable of every delegation made by him under this section and where the delegation is to the holder of a specified office, the designated officer shall inform the Executive Director as soon as practicable of the name of each successive holder of that office and shall furnish further information in respect of such persons as the Executive Director may require.</w:t>
      </w:r>
    </w:p>
    <w:p>
      <w:pPr>
        <w:pStyle w:val="Subsection"/>
        <w:rPr>
          <w:snapToGrid w:val="0"/>
        </w:rPr>
      </w:pPr>
      <w:r>
        <w:rPr>
          <w:snapToGrid w:val="0"/>
        </w:rPr>
        <w:tab/>
        <w:t>(5)</w:t>
      </w:r>
      <w:r>
        <w:rPr>
          <w:snapToGrid w:val="0"/>
        </w:rPr>
        <w:tab/>
        <w:t>The Executive Director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[Section 5 amended by No. 28 of 1984 s. 59.]</w:t>
      </w:r>
    </w:p>
    <w:p>
      <w:pPr>
        <w:pStyle w:val="Heading2"/>
      </w:pPr>
      <w:bookmarkStart w:id="30" w:name="_Toc78096649"/>
      <w:bookmarkStart w:id="31" w:name="_Toc78103644"/>
      <w:bookmarkStart w:id="32" w:name="_Toc89749101"/>
      <w:bookmarkStart w:id="33" w:name="_Toc135726474"/>
      <w:bookmarkStart w:id="34" w:name="_Toc136238668"/>
      <w:bookmarkStart w:id="35" w:name="_Toc136838247"/>
      <w:bookmarkStart w:id="36" w:name="_Toc138474571"/>
      <w:bookmarkStart w:id="37" w:name="_Toc141671327"/>
      <w:bookmarkStart w:id="38" w:name="_Toc199817117"/>
      <w:r>
        <w:rPr>
          <w:rStyle w:val="CharPartNo"/>
        </w:rPr>
        <w:t>Part II</w:t>
      </w:r>
      <w:r>
        <w:t> — </w:t>
      </w:r>
      <w:r>
        <w:rPr>
          <w:rStyle w:val="CharPartText"/>
        </w:rPr>
        <w:t>Donations of tissue by living persons</w:t>
      </w:r>
      <w:bookmarkEnd w:id="30"/>
      <w:bookmarkEnd w:id="31"/>
      <w:bookmarkEnd w:id="32"/>
      <w:bookmarkEnd w:id="33"/>
      <w:bookmarkEnd w:id="34"/>
      <w:bookmarkEnd w:id="35"/>
      <w:bookmarkEnd w:id="36"/>
      <w:bookmarkEnd w:id="37"/>
      <w:bookmarkEnd w:id="38"/>
      <w:r>
        <w:rPr>
          <w:rStyle w:val="CharPartText"/>
        </w:rPr>
        <w:t xml:space="preserve"> </w:t>
      </w:r>
    </w:p>
    <w:p>
      <w:pPr>
        <w:pStyle w:val="Heading3"/>
        <w:rPr>
          <w:snapToGrid w:val="0"/>
        </w:rPr>
      </w:pPr>
      <w:bookmarkStart w:id="39" w:name="_Toc78096650"/>
      <w:bookmarkStart w:id="40" w:name="_Toc78103645"/>
      <w:bookmarkStart w:id="41" w:name="_Toc89749102"/>
      <w:bookmarkStart w:id="42" w:name="_Toc135726475"/>
      <w:bookmarkStart w:id="43" w:name="_Toc136238669"/>
      <w:bookmarkStart w:id="44" w:name="_Toc136838248"/>
      <w:bookmarkStart w:id="45" w:name="_Toc138474572"/>
      <w:bookmarkStart w:id="46" w:name="_Toc141671328"/>
      <w:bookmarkStart w:id="47" w:name="_Toc199817118"/>
      <w:r>
        <w:rPr>
          <w:rStyle w:val="CharDivNo"/>
        </w:rPr>
        <w:t>Division 1</w:t>
      </w:r>
      <w:r>
        <w:rPr>
          <w:snapToGrid w:val="0"/>
        </w:rPr>
        <w:t> — </w:t>
      </w:r>
      <w:r>
        <w:rPr>
          <w:rStyle w:val="CharDivText"/>
        </w:rPr>
        <w:t>Exclusion of certain tissue</w:t>
      </w:r>
      <w:bookmarkEnd w:id="39"/>
      <w:bookmarkEnd w:id="40"/>
      <w:bookmarkEnd w:id="41"/>
      <w:bookmarkEnd w:id="42"/>
      <w:bookmarkEnd w:id="43"/>
      <w:bookmarkEnd w:id="44"/>
      <w:bookmarkEnd w:id="45"/>
      <w:bookmarkEnd w:id="46"/>
      <w:bookmarkEnd w:id="47"/>
      <w:r>
        <w:rPr>
          <w:rStyle w:val="CharDivText"/>
        </w:rPr>
        <w:t xml:space="preserve"> </w:t>
      </w:r>
    </w:p>
    <w:p>
      <w:pPr>
        <w:pStyle w:val="Heading5"/>
        <w:rPr>
          <w:snapToGrid w:val="0"/>
        </w:rPr>
      </w:pPr>
      <w:bookmarkStart w:id="48" w:name="_Toc411225622"/>
      <w:bookmarkStart w:id="49" w:name="_Toc465832471"/>
      <w:bookmarkStart w:id="50" w:name="_Toc89749103"/>
      <w:bookmarkStart w:id="51" w:name="_Toc199817119"/>
      <w:r>
        <w:rPr>
          <w:rStyle w:val="CharSectno"/>
        </w:rPr>
        <w:t>6</w:t>
      </w:r>
      <w:r>
        <w:rPr>
          <w:snapToGrid w:val="0"/>
        </w:rPr>
        <w:t>.</w:t>
      </w:r>
      <w:r>
        <w:rPr>
          <w:snapToGrid w:val="0"/>
        </w:rPr>
        <w:tab/>
        <w:t>Interpretation</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shall not be read as including a reference to foetal tissue, spermatozoa or ova.</w:t>
      </w:r>
    </w:p>
    <w:p>
      <w:pPr>
        <w:pStyle w:val="Heading3"/>
        <w:rPr>
          <w:snapToGrid w:val="0"/>
        </w:rPr>
      </w:pPr>
      <w:bookmarkStart w:id="52" w:name="_Toc78096652"/>
      <w:bookmarkStart w:id="53" w:name="_Toc78103647"/>
      <w:bookmarkStart w:id="54" w:name="_Toc89749104"/>
      <w:bookmarkStart w:id="55" w:name="_Toc135726477"/>
      <w:bookmarkStart w:id="56" w:name="_Toc136238671"/>
      <w:bookmarkStart w:id="57" w:name="_Toc136838250"/>
      <w:bookmarkStart w:id="58" w:name="_Toc138474574"/>
      <w:bookmarkStart w:id="59" w:name="_Toc141671330"/>
      <w:bookmarkStart w:id="60" w:name="_Toc199817120"/>
      <w:r>
        <w:rPr>
          <w:rStyle w:val="CharDivNo"/>
        </w:rPr>
        <w:t>Division 2</w:t>
      </w:r>
      <w:r>
        <w:rPr>
          <w:snapToGrid w:val="0"/>
        </w:rPr>
        <w:t> — </w:t>
      </w:r>
      <w:r>
        <w:rPr>
          <w:rStyle w:val="CharDivText"/>
        </w:rPr>
        <w:t>Donations by adults</w:t>
      </w:r>
      <w:bookmarkEnd w:id="52"/>
      <w:bookmarkEnd w:id="53"/>
      <w:bookmarkEnd w:id="54"/>
      <w:bookmarkEnd w:id="55"/>
      <w:bookmarkEnd w:id="56"/>
      <w:bookmarkEnd w:id="57"/>
      <w:bookmarkEnd w:id="58"/>
      <w:bookmarkEnd w:id="59"/>
      <w:bookmarkEnd w:id="60"/>
      <w:r>
        <w:rPr>
          <w:rStyle w:val="CharDivText"/>
        </w:rPr>
        <w:t xml:space="preserve"> </w:t>
      </w:r>
    </w:p>
    <w:p>
      <w:pPr>
        <w:pStyle w:val="Heading5"/>
        <w:rPr>
          <w:snapToGrid w:val="0"/>
        </w:rPr>
      </w:pPr>
      <w:bookmarkStart w:id="61" w:name="_Toc411225623"/>
      <w:bookmarkStart w:id="62" w:name="_Toc465832472"/>
      <w:bookmarkStart w:id="63" w:name="_Toc89749105"/>
      <w:bookmarkStart w:id="64" w:name="_Toc199817121"/>
      <w:r>
        <w:rPr>
          <w:rStyle w:val="CharSectno"/>
        </w:rPr>
        <w:t>7</w:t>
      </w:r>
      <w:r>
        <w:rPr>
          <w:snapToGrid w:val="0"/>
        </w:rPr>
        <w:t>.</w:t>
      </w:r>
      <w:r>
        <w:rPr>
          <w:snapToGrid w:val="0"/>
        </w:rPr>
        <w:tab/>
        <w:t>Blood transfusions not subject to this Division</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65" w:name="_Toc411225624"/>
      <w:bookmarkStart w:id="66" w:name="_Toc465832473"/>
      <w:bookmarkStart w:id="67" w:name="_Toc89749106"/>
      <w:bookmarkStart w:id="68" w:name="_Toc199817122"/>
      <w:r>
        <w:rPr>
          <w:rStyle w:val="CharSectno"/>
        </w:rPr>
        <w:t>8</w:t>
      </w:r>
      <w:r>
        <w:rPr>
          <w:snapToGrid w:val="0"/>
        </w:rPr>
        <w:t>.</w:t>
      </w:r>
      <w:r>
        <w:rPr>
          <w:snapToGrid w:val="0"/>
        </w:rPr>
        <w:tab/>
        <w:t>Consent to removal of regenerative tissue</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69" w:name="_Toc411225625"/>
      <w:bookmarkStart w:id="70" w:name="_Toc465832474"/>
      <w:bookmarkStart w:id="71" w:name="_Toc89749107"/>
      <w:bookmarkStart w:id="72" w:name="_Toc199817123"/>
      <w:r>
        <w:rPr>
          <w:rStyle w:val="CharSectno"/>
        </w:rPr>
        <w:t>9</w:t>
      </w:r>
      <w:r>
        <w:rPr>
          <w:snapToGrid w:val="0"/>
        </w:rPr>
        <w:t>.</w:t>
      </w:r>
      <w:r>
        <w:rPr>
          <w:snapToGrid w:val="0"/>
        </w:rPr>
        <w:tab/>
        <w:t>Consent to removal of non</w:t>
      </w:r>
      <w:r>
        <w:rPr>
          <w:snapToGrid w:val="0"/>
        </w:rPr>
        <w:noBreakHyphen/>
        <w:t>regenerative tissue</w:t>
      </w:r>
      <w:bookmarkEnd w:id="69"/>
      <w:bookmarkEnd w:id="70"/>
      <w:bookmarkEnd w:id="71"/>
      <w:bookmarkEnd w:id="72"/>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73" w:name="_Toc78096656"/>
      <w:bookmarkStart w:id="74" w:name="_Toc78103651"/>
      <w:bookmarkStart w:id="75" w:name="_Toc89749108"/>
      <w:bookmarkStart w:id="76" w:name="_Toc135726481"/>
      <w:bookmarkStart w:id="77" w:name="_Toc136238675"/>
      <w:bookmarkStart w:id="78" w:name="_Toc136838254"/>
      <w:bookmarkStart w:id="79" w:name="_Toc138474578"/>
      <w:bookmarkStart w:id="80" w:name="_Toc141671334"/>
      <w:bookmarkStart w:id="81" w:name="_Toc199817124"/>
      <w:r>
        <w:rPr>
          <w:rStyle w:val="CharDivNo"/>
        </w:rPr>
        <w:t>Division 3</w:t>
      </w:r>
      <w:r>
        <w:rPr>
          <w:snapToGrid w:val="0"/>
        </w:rPr>
        <w:t> — </w:t>
      </w:r>
      <w:r>
        <w:rPr>
          <w:rStyle w:val="CharDivText"/>
        </w:rPr>
        <w:t>Donations from children</w:t>
      </w:r>
      <w:bookmarkEnd w:id="73"/>
      <w:bookmarkEnd w:id="74"/>
      <w:bookmarkEnd w:id="75"/>
      <w:bookmarkEnd w:id="76"/>
      <w:bookmarkEnd w:id="77"/>
      <w:bookmarkEnd w:id="78"/>
      <w:bookmarkEnd w:id="79"/>
      <w:bookmarkEnd w:id="80"/>
      <w:bookmarkEnd w:id="81"/>
      <w:r>
        <w:rPr>
          <w:rStyle w:val="CharDivText"/>
        </w:rPr>
        <w:t xml:space="preserve"> </w:t>
      </w:r>
    </w:p>
    <w:p>
      <w:pPr>
        <w:pStyle w:val="Heading5"/>
        <w:rPr>
          <w:snapToGrid w:val="0"/>
        </w:rPr>
      </w:pPr>
      <w:bookmarkStart w:id="82" w:name="_Toc411225626"/>
      <w:bookmarkStart w:id="83" w:name="_Toc465832475"/>
      <w:bookmarkStart w:id="84" w:name="_Toc89749109"/>
      <w:bookmarkStart w:id="85" w:name="_Toc199817125"/>
      <w:r>
        <w:rPr>
          <w:rStyle w:val="CharSectno"/>
        </w:rPr>
        <w:t>10</w:t>
      </w:r>
      <w:r>
        <w:rPr>
          <w:snapToGrid w:val="0"/>
        </w:rPr>
        <w:t>.</w:t>
      </w:r>
      <w:r>
        <w:rPr>
          <w:snapToGrid w:val="0"/>
        </w:rPr>
        <w:tab/>
        <w:t>Blood transfusions not subject to this Division</w:t>
      </w:r>
      <w:bookmarkEnd w:id="82"/>
      <w:bookmarkEnd w:id="83"/>
      <w:bookmarkEnd w:id="84"/>
      <w:bookmarkEnd w:id="85"/>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86" w:name="_Toc411225627"/>
      <w:bookmarkStart w:id="87" w:name="_Toc465832476"/>
      <w:bookmarkStart w:id="88" w:name="_Toc89749110"/>
      <w:bookmarkStart w:id="89" w:name="_Toc199817126"/>
      <w:r>
        <w:rPr>
          <w:rStyle w:val="CharSectno"/>
        </w:rPr>
        <w:t>11</w:t>
      </w:r>
      <w:r>
        <w:rPr>
          <w:snapToGrid w:val="0"/>
        </w:rPr>
        <w:t>.</w:t>
      </w:r>
      <w:r>
        <w:rPr>
          <w:snapToGrid w:val="0"/>
        </w:rPr>
        <w:tab/>
        <w:t>References to parents</w:t>
      </w:r>
      <w:bookmarkEnd w:id="86"/>
      <w:bookmarkEnd w:id="87"/>
      <w:bookmarkEnd w:id="88"/>
      <w:bookmarkEnd w:id="89"/>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90" w:name="_Toc411225628"/>
      <w:bookmarkStart w:id="91" w:name="_Toc465832477"/>
      <w:bookmarkStart w:id="92" w:name="_Toc89749111"/>
      <w:bookmarkStart w:id="93" w:name="_Toc199817127"/>
      <w:r>
        <w:rPr>
          <w:rStyle w:val="CharSectno"/>
        </w:rPr>
        <w:t>12</w:t>
      </w:r>
      <w:r>
        <w:rPr>
          <w:snapToGrid w:val="0"/>
        </w:rPr>
        <w:t>.</w:t>
      </w:r>
      <w:r>
        <w:rPr>
          <w:snapToGrid w:val="0"/>
        </w:rPr>
        <w:tab/>
        <w:t>General prohibition of removal of tissue from children</w:t>
      </w:r>
      <w:bookmarkEnd w:id="90"/>
      <w:bookmarkEnd w:id="91"/>
      <w:bookmarkEnd w:id="92"/>
      <w:bookmarkEnd w:id="93"/>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94" w:name="_Toc411225629"/>
      <w:bookmarkStart w:id="95" w:name="_Toc465832478"/>
      <w:bookmarkStart w:id="96" w:name="_Toc89749112"/>
      <w:bookmarkStart w:id="97" w:name="_Toc199817128"/>
      <w:r>
        <w:rPr>
          <w:rStyle w:val="CharSectno"/>
        </w:rPr>
        <w:t>13</w:t>
      </w:r>
      <w:r>
        <w:rPr>
          <w:snapToGrid w:val="0"/>
        </w:rPr>
        <w:t>.</w:t>
      </w:r>
      <w:r>
        <w:rPr>
          <w:snapToGrid w:val="0"/>
        </w:rPr>
        <w:tab/>
        <w:t>Parent may consent to removal of regenerative tissue from a child</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98" w:name="_Toc411225630"/>
      <w:bookmarkStart w:id="99" w:name="_Toc465832479"/>
      <w:bookmarkStart w:id="100" w:name="_Toc89749113"/>
      <w:bookmarkStart w:id="101" w:name="_Toc199817129"/>
      <w:r>
        <w:rPr>
          <w:rStyle w:val="CharSectno"/>
        </w:rPr>
        <w:t>14</w:t>
      </w:r>
      <w:r>
        <w:rPr>
          <w:snapToGrid w:val="0"/>
        </w:rPr>
        <w:t>.</w:t>
      </w:r>
      <w:r>
        <w:rPr>
          <w:snapToGrid w:val="0"/>
        </w:rPr>
        <w:tab/>
        <w:t>Revocation of consent</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rPr>
          <w:snapToGrid w:val="0"/>
        </w:rPr>
      </w:pPr>
      <w:bookmarkStart w:id="102" w:name="_Toc78096662"/>
      <w:bookmarkStart w:id="103" w:name="_Toc78103657"/>
      <w:bookmarkStart w:id="104" w:name="_Toc89749114"/>
      <w:bookmarkStart w:id="105" w:name="_Toc135726487"/>
      <w:bookmarkStart w:id="106" w:name="_Toc136238681"/>
      <w:bookmarkStart w:id="107" w:name="_Toc136838260"/>
      <w:bookmarkStart w:id="108" w:name="_Toc138474584"/>
      <w:bookmarkStart w:id="109" w:name="_Toc141671340"/>
      <w:bookmarkStart w:id="110" w:name="_Toc199817130"/>
      <w:r>
        <w:rPr>
          <w:rStyle w:val="CharDivNo"/>
        </w:rPr>
        <w:t>Division 4</w:t>
      </w:r>
      <w:r>
        <w:rPr>
          <w:snapToGrid w:val="0"/>
        </w:rPr>
        <w:t> — </w:t>
      </w:r>
      <w:r>
        <w:rPr>
          <w:rStyle w:val="CharDivText"/>
        </w:rPr>
        <w:t>Effect of consents and authorities</w:t>
      </w:r>
      <w:bookmarkEnd w:id="102"/>
      <w:bookmarkEnd w:id="103"/>
      <w:bookmarkEnd w:id="104"/>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411225631"/>
      <w:bookmarkStart w:id="112" w:name="_Toc465832480"/>
      <w:bookmarkStart w:id="113" w:name="_Toc89749115"/>
      <w:bookmarkStart w:id="114" w:name="_Toc199817131"/>
      <w:r>
        <w:rPr>
          <w:rStyle w:val="CharSectno"/>
        </w:rPr>
        <w:t>15</w:t>
      </w:r>
      <w:r>
        <w:rPr>
          <w:snapToGrid w:val="0"/>
        </w:rPr>
        <w:t>.</w:t>
      </w:r>
      <w:r>
        <w:rPr>
          <w:snapToGrid w:val="0"/>
        </w:rPr>
        <w:tab/>
        <w:t>Consents under section 8</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115" w:name="_Toc411225632"/>
      <w:bookmarkStart w:id="116" w:name="_Toc465832481"/>
      <w:bookmarkStart w:id="117" w:name="_Toc89749116"/>
      <w:bookmarkStart w:id="118" w:name="_Toc199817132"/>
      <w:r>
        <w:rPr>
          <w:rStyle w:val="CharSectno"/>
        </w:rPr>
        <w:t>16</w:t>
      </w:r>
      <w:r>
        <w:rPr>
          <w:snapToGrid w:val="0"/>
        </w:rPr>
        <w:t>.</w:t>
      </w:r>
      <w:r>
        <w:rPr>
          <w:snapToGrid w:val="0"/>
        </w:rPr>
        <w:tab/>
        <w:t>Consents under section 9</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119" w:name="_Toc411225633"/>
      <w:bookmarkStart w:id="120" w:name="_Toc465832482"/>
      <w:bookmarkStart w:id="121" w:name="_Toc89749117"/>
      <w:bookmarkStart w:id="122" w:name="_Toc199817133"/>
      <w:r>
        <w:rPr>
          <w:rStyle w:val="CharSectno"/>
        </w:rPr>
        <w:t>17</w:t>
      </w:r>
      <w:r>
        <w:rPr>
          <w:snapToGrid w:val="0"/>
        </w:rPr>
        <w:t>.</w:t>
      </w:r>
      <w:r>
        <w:rPr>
          <w:snapToGrid w:val="0"/>
        </w:rPr>
        <w:tab/>
        <w:t>Consents under section 13</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123" w:name="_Toc78096666"/>
      <w:bookmarkStart w:id="124" w:name="_Toc78103661"/>
      <w:bookmarkStart w:id="125" w:name="_Toc89749118"/>
      <w:bookmarkStart w:id="126" w:name="_Toc135726491"/>
      <w:bookmarkStart w:id="127" w:name="_Toc136238685"/>
      <w:bookmarkStart w:id="128" w:name="_Toc136838264"/>
      <w:bookmarkStart w:id="129" w:name="_Toc138474588"/>
      <w:bookmarkStart w:id="130" w:name="_Toc141671344"/>
      <w:bookmarkStart w:id="131" w:name="_Toc199817134"/>
      <w:r>
        <w:rPr>
          <w:rStyle w:val="CharDivNo"/>
        </w:rPr>
        <w:t>Division 5</w:t>
      </w:r>
      <w:r>
        <w:rPr>
          <w:snapToGrid w:val="0"/>
        </w:rPr>
        <w:t> — </w:t>
      </w:r>
      <w:r>
        <w:rPr>
          <w:rStyle w:val="CharDivText"/>
        </w:rPr>
        <w:t>Blood transfusions</w:t>
      </w:r>
      <w:bookmarkEnd w:id="123"/>
      <w:bookmarkEnd w:id="124"/>
      <w:bookmarkEnd w:id="125"/>
      <w:bookmarkEnd w:id="126"/>
      <w:bookmarkEnd w:id="127"/>
      <w:bookmarkEnd w:id="128"/>
      <w:bookmarkEnd w:id="129"/>
      <w:bookmarkEnd w:id="130"/>
      <w:bookmarkEnd w:id="131"/>
      <w:r>
        <w:rPr>
          <w:rStyle w:val="CharDivText"/>
        </w:rPr>
        <w:t xml:space="preserve"> </w:t>
      </w:r>
    </w:p>
    <w:p>
      <w:pPr>
        <w:pStyle w:val="Heading5"/>
        <w:rPr>
          <w:snapToGrid w:val="0"/>
        </w:rPr>
      </w:pPr>
      <w:bookmarkStart w:id="132" w:name="_Toc411225634"/>
      <w:bookmarkStart w:id="133" w:name="_Toc465832483"/>
      <w:bookmarkStart w:id="134" w:name="_Toc89749119"/>
      <w:bookmarkStart w:id="135" w:name="_Toc199817135"/>
      <w:r>
        <w:rPr>
          <w:rStyle w:val="CharSectno"/>
        </w:rPr>
        <w:t>18</w:t>
      </w:r>
      <w:r>
        <w:rPr>
          <w:snapToGrid w:val="0"/>
        </w:rPr>
        <w:t>.</w:t>
      </w:r>
      <w:r>
        <w:rPr>
          <w:snapToGrid w:val="0"/>
        </w:rPr>
        <w:tab/>
        <w:t>Consents by adult to removal of blood</w:t>
      </w:r>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136" w:name="_Toc411225635"/>
      <w:bookmarkStart w:id="137" w:name="_Toc465832484"/>
      <w:bookmarkStart w:id="138" w:name="_Toc89749120"/>
      <w:bookmarkStart w:id="139" w:name="_Toc199817136"/>
      <w:r>
        <w:rPr>
          <w:rStyle w:val="CharSectno"/>
        </w:rPr>
        <w:t>19</w:t>
      </w:r>
      <w:r>
        <w:rPr>
          <w:snapToGrid w:val="0"/>
        </w:rPr>
        <w:t>.</w:t>
      </w:r>
      <w:r>
        <w:rPr>
          <w:snapToGrid w:val="0"/>
        </w:rPr>
        <w:tab/>
        <w:t>Parent may consent to removal of blood from child</w:t>
      </w:r>
      <w:bookmarkEnd w:id="136"/>
      <w:bookmarkEnd w:id="137"/>
      <w:bookmarkEnd w:id="138"/>
      <w:bookmarkEnd w:id="139"/>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140" w:name="_Toc411225636"/>
      <w:bookmarkStart w:id="141" w:name="_Toc465832485"/>
      <w:bookmarkStart w:id="142" w:name="_Toc89749121"/>
      <w:bookmarkStart w:id="143" w:name="_Toc199817137"/>
      <w:r>
        <w:rPr>
          <w:rStyle w:val="CharSectno"/>
        </w:rPr>
        <w:t>20</w:t>
      </w:r>
      <w:r>
        <w:rPr>
          <w:snapToGrid w:val="0"/>
        </w:rPr>
        <w:t>.</w:t>
      </w:r>
      <w:r>
        <w:rPr>
          <w:snapToGrid w:val="0"/>
        </w:rPr>
        <w:tab/>
        <w:t>Consent is sufficient authority for removal of blood</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144" w:name="_Toc411225637"/>
      <w:bookmarkStart w:id="145" w:name="_Toc465832486"/>
      <w:bookmarkStart w:id="146" w:name="_Toc89749122"/>
      <w:bookmarkStart w:id="147" w:name="_Toc199817138"/>
      <w:r>
        <w:rPr>
          <w:rStyle w:val="CharSectno"/>
        </w:rPr>
        <w:t>21</w:t>
      </w:r>
      <w:r>
        <w:rPr>
          <w:snapToGrid w:val="0"/>
        </w:rPr>
        <w:t>.</w:t>
      </w:r>
      <w:r>
        <w:rPr>
          <w:snapToGrid w:val="0"/>
        </w:rPr>
        <w:tab/>
        <w:t>Blood transfusions upon children without parental consent</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authorise it and in respect of that transfusion the requirements and conditions of this section have been complied with, the transfusion shall be deemed for all purposes to have been performed with the authority of a person legally entitled to authorise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p>
    <w:p>
      <w:pPr>
        <w:pStyle w:val="Indenta"/>
        <w:rPr>
          <w:snapToGrid w:val="0"/>
        </w:rPr>
      </w:pPr>
      <w:r>
        <w:rPr>
          <w:snapToGrid w:val="0"/>
        </w:rPr>
        <w:tab/>
        <w:t>(b)</w:t>
      </w:r>
      <w:r>
        <w:rPr>
          <w:snapToGrid w:val="0"/>
        </w:rPr>
        <w:tab/>
        <w:t>that a blood transfusion is a reasonable and proper treatment for that condition;</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148" w:name="_Toc78096671"/>
      <w:bookmarkStart w:id="149" w:name="_Toc78103666"/>
      <w:bookmarkStart w:id="150" w:name="_Toc89749123"/>
      <w:bookmarkStart w:id="151" w:name="_Toc135726496"/>
      <w:bookmarkStart w:id="152" w:name="_Toc136238690"/>
      <w:bookmarkStart w:id="153" w:name="_Toc136838269"/>
      <w:bookmarkStart w:id="154" w:name="_Toc138474593"/>
      <w:bookmarkStart w:id="155" w:name="_Toc141671349"/>
      <w:bookmarkStart w:id="156" w:name="_Toc199817139"/>
      <w:r>
        <w:rPr>
          <w:rStyle w:val="CharPartNo"/>
        </w:rPr>
        <w:t>Part III</w:t>
      </w:r>
      <w:r>
        <w:rPr>
          <w:rStyle w:val="CharDivNo"/>
        </w:rPr>
        <w:t> </w:t>
      </w:r>
      <w:r>
        <w:t>—</w:t>
      </w:r>
      <w:r>
        <w:rPr>
          <w:rStyle w:val="CharDivText"/>
        </w:rPr>
        <w:t> </w:t>
      </w:r>
      <w:r>
        <w:rPr>
          <w:rStyle w:val="CharPartText"/>
        </w:rPr>
        <w:t>Donations of tissue after death</w:t>
      </w:r>
      <w:bookmarkEnd w:id="148"/>
      <w:bookmarkEnd w:id="149"/>
      <w:bookmarkEnd w:id="150"/>
      <w:bookmarkEnd w:id="151"/>
      <w:bookmarkEnd w:id="152"/>
      <w:bookmarkEnd w:id="153"/>
      <w:bookmarkEnd w:id="154"/>
      <w:bookmarkEnd w:id="155"/>
      <w:bookmarkEnd w:id="156"/>
      <w:r>
        <w:rPr>
          <w:rStyle w:val="CharPartText"/>
        </w:rPr>
        <w:t xml:space="preserve"> </w:t>
      </w:r>
    </w:p>
    <w:p>
      <w:pPr>
        <w:pStyle w:val="Heading5"/>
        <w:spacing w:before="260"/>
        <w:rPr>
          <w:snapToGrid w:val="0"/>
        </w:rPr>
      </w:pPr>
      <w:bookmarkStart w:id="157" w:name="_Toc411225638"/>
      <w:bookmarkStart w:id="158" w:name="_Toc465832487"/>
      <w:bookmarkStart w:id="159" w:name="_Toc89749124"/>
      <w:bookmarkStart w:id="160" w:name="_Toc199817140"/>
      <w:r>
        <w:rPr>
          <w:rStyle w:val="CharSectno"/>
        </w:rPr>
        <w:t>22</w:t>
      </w:r>
      <w:r>
        <w:rPr>
          <w:snapToGrid w:val="0"/>
        </w:rPr>
        <w:t>.</w:t>
      </w:r>
      <w:r>
        <w:rPr>
          <w:snapToGrid w:val="0"/>
        </w:rPr>
        <w:tab/>
      </w:r>
      <w:bookmarkEnd w:id="157"/>
      <w:r>
        <w:rPr>
          <w:snapToGrid w:val="0"/>
        </w:rPr>
        <w:t>Designated officer may authorise removal of tissue from bodies in hospital</w:t>
      </w:r>
      <w:bookmarkEnd w:id="158"/>
      <w:bookmarkEnd w:id="159"/>
      <w:bookmarkEnd w:id="160"/>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 6.]</w:t>
      </w:r>
    </w:p>
    <w:p>
      <w:pPr>
        <w:pStyle w:val="Heading5"/>
        <w:rPr>
          <w:snapToGrid w:val="0"/>
        </w:rPr>
      </w:pPr>
      <w:bookmarkStart w:id="161" w:name="_Toc411225639"/>
      <w:bookmarkStart w:id="162" w:name="_Toc465832488"/>
      <w:bookmarkStart w:id="163" w:name="_Toc89749125"/>
      <w:bookmarkStart w:id="164" w:name="_Toc199817141"/>
      <w:r>
        <w:rPr>
          <w:rStyle w:val="CharSectno"/>
        </w:rPr>
        <w:t>23</w:t>
      </w:r>
      <w:r>
        <w:rPr>
          <w:snapToGrid w:val="0"/>
        </w:rPr>
        <w:t>.</w:t>
      </w:r>
      <w:r>
        <w:rPr>
          <w:snapToGrid w:val="0"/>
        </w:rPr>
        <w:tab/>
      </w:r>
      <w:r>
        <w:rPr>
          <w:snapToGrid w:val="0"/>
          <w:spacing w:val="-4"/>
        </w:rPr>
        <w:t>Coroner</w:t>
      </w:r>
      <w:bookmarkEnd w:id="161"/>
      <w:r>
        <w:rPr>
          <w:snapToGrid w:val="0"/>
          <w:spacing w:val="-4"/>
        </w:rPr>
        <w:t>’s consent to removal of tissue required in some cases</w:t>
      </w:r>
      <w:bookmarkEnd w:id="162"/>
      <w:bookmarkEnd w:id="163"/>
      <w:bookmarkEnd w:id="164"/>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authorise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[Section 23 amended by No. 2 of 1996 s. 61.]</w:t>
      </w:r>
    </w:p>
    <w:p>
      <w:pPr>
        <w:pStyle w:val="Heading5"/>
        <w:rPr>
          <w:snapToGrid w:val="0"/>
        </w:rPr>
      </w:pPr>
      <w:bookmarkStart w:id="165" w:name="_Toc411225640"/>
      <w:bookmarkStart w:id="166" w:name="_Toc465832489"/>
      <w:bookmarkStart w:id="167" w:name="_Toc89749126"/>
      <w:bookmarkStart w:id="168" w:name="_Toc199817142"/>
      <w:r>
        <w:rPr>
          <w:rStyle w:val="CharSectno"/>
        </w:rPr>
        <w:t>24</w:t>
      </w:r>
      <w:r>
        <w:rPr>
          <w:snapToGrid w:val="0"/>
        </w:rPr>
        <w:t>.</w:t>
      </w:r>
      <w:r>
        <w:rPr>
          <w:snapToGrid w:val="0"/>
        </w:rPr>
        <w:tab/>
        <w:t>Effect of authority under this Part</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authorised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Executive Director)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r>
      <w:r>
        <w:rPr>
          <w:rStyle w:val="CharDefText"/>
        </w:rPr>
        <w:t>authorised person</w:t>
      </w:r>
      <w:r>
        <w:t xml:space="preserve"> means a person, not being a medical practitioner, appointed by the Minister to be an authorised person for the purposes of this section.</w:t>
      </w:r>
    </w:p>
    <w:p>
      <w:pPr>
        <w:pStyle w:val="Footnotesection"/>
      </w:pPr>
      <w:r>
        <w:tab/>
        <w:t>[Section 24 amended by No. 28 of 1984 s. 59; No. 5 of 1987 s. 3.]</w:t>
      </w:r>
    </w:p>
    <w:p>
      <w:pPr>
        <w:pStyle w:val="Heading2"/>
      </w:pPr>
      <w:bookmarkStart w:id="169" w:name="_Toc78096675"/>
      <w:bookmarkStart w:id="170" w:name="_Toc78103670"/>
      <w:bookmarkStart w:id="171" w:name="_Toc89749127"/>
      <w:bookmarkStart w:id="172" w:name="_Toc135726500"/>
      <w:bookmarkStart w:id="173" w:name="_Toc136238694"/>
      <w:bookmarkStart w:id="174" w:name="_Toc136838273"/>
      <w:bookmarkStart w:id="175" w:name="_Toc138474597"/>
      <w:bookmarkStart w:id="176" w:name="_Toc141671353"/>
      <w:bookmarkStart w:id="177" w:name="_Toc199817143"/>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169"/>
      <w:bookmarkEnd w:id="170"/>
      <w:bookmarkEnd w:id="171"/>
      <w:bookmarkEnd w:id="172"/>
      <w:bookmarkEnd w:id="173"/>
      <w:bookmarkEnd w:id="174"/>
      <w:bookmarkEnd w:id="175"/>
      <w:bookmarkEnd w:id="176"/>
      <w:bookmarkEnd w:id="177"/>
      <w:r>
        <w:rPr>
          <w:rStyle w:val="CharPartText"/>
        </w:rPr>
        <w:t xml:space="preserve"> </w:t>
      </w:r>
    </w:p>
    <w:p>
      <w:pPr>
        <w:pStyle w:val="Heading5"/>
        <w:rPr>
          <w:snapToGrid w:val="0"/>
        </w:rPr>
      </w:pPr>
      <w:bookmarkStart w:id="178" w:name="_Toc411225641"/>
      <w:bookmarkStart w:id="179" w:name="_Toc465832490"/>
      <w:bookmarkStart w:id="180" w:name="_Toc89749128"/>
      <w:bookmarkStart w:id="181" w:name="_Toc199817144"/>
      <w:r>
        <w:rPr>
          <w:rStyle w:val="CharSectno"/>
        </w:rPr>
        <w:t>25</w:t>
      </w:r>
      <w:r>
        <w:rPr>
          <w:snapToGrid w:val="0"/>
        </w:rPr>
        <w:t>.</w:t>
      </w:r>
      <w:r>
        <w:rPr>
          <w:snapToGrid w:val="0"/>
        </w:rPr>
        <w:tab/>
      </w:r>
      <w:bookmarkEnd w:id="178"/>
      <w:r>
        <w:rPr>
          <w:snapToGrid w:val="0"/>
        </w:rPr>
        <w:t>Designated officer may authorise post-mortems of bodies in hospital</w:t>
      </w:r>
      <w:bookmarkEnd w:id="179"/>
      <w:bookmarkEnd w:id="180"/>
      <w:bookmarkEnd w:id="181"/>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 7.]</w:t>
      </w:r>
    </w:p>
    <w:p>
      <w:pPr>
        <w:pStyle w:val="Heading5"/>
        <w:rPr>
          <w:snapToGrid w:val="0"/>
        </w:rPr>
      </w:pPr>
      <w:bookmarkStart w:id="182" w:name="_Toc411225642"/>
      <w:bookmarkStart w:id="183" w:name="_Toc465832491"/>
      <w:bookmarkStart w:id="184" w:name="_Toc89749129"/>
      <w:bookmarkStart w:id="185" w:name="_Toc199817145"/>
      <w:r>
        <w:rPr>
          <w:rStyle w:val="CharSectno"/>
        </w:rPr>
        <w:t>26</w:t>
      </w:r>
      <w:r>
        <w:rPr>
          <w:snapToGrid w:val="0"/>
        </w:rPr>
        <w:t>.</w:t>
      </w:r>
      <w:r>
        <w:rPr>
          <w:snapToGrid w:val="0"/>
        </w:rPr>
        <w:tab/>
      </w:r>
      <w:bookmarkEnd w:id="182"/>
      <w:r>
        <w:rPr>
          <w:snapToGrid w:val="0"/>
          <w:spacing w:val="-4"/>
        </w:rPr>
        <w:t>Next of kin may authorise post-mortem of body not in hospital</w:t>
      </w:r>
      <w:bookmarkEnd w:id="183"/>
      <w:bookmarkEnd w:id="184"/>
      <w:bookmarkEnd w:id="185"/>
    </w:p>
    <w:p>
      <w:pPr>
        <w:pStyle w:val="Subsection"/>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 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by No. 25 of 1997 s. 8.]</w:t>
      </w:r>
    </w:p>
    <w:p>
      <w:pPr>
        <w:pStyle w:val="Heading5"/>
        <w:rPr>
          <w:snapToGrid w:val="0"/>
        </w:rPr>
      </w:pPr>
      <w:bookmarkStart w:id="186" w:name="_Toc411225643"/>
      <w:bookmarkStart w:id="187" w:name="_Toc465832492"/>
      <w:bookmarkStart w:id="188" w:name="_Toc89749130"/>
      <w:bookmarkStart w:id="189" w:name="_Toc199817146"/>
      <w:r>
        <w:rPr>
          <w:rStyle w:val="CharSectno"/>
        </w:rPr>
        <w:t>27</w:t>
      </w:r>
      <w:r>
        <w:rPr>
          <w:snapToGrid w:val="0"/>
        </w:rPr>
        <w:t>.</w:t>
      </w:r>
      <w:r>
        <w:rPr>
          <w:snapToGrid w:val="0"/>
        </w:rPr>
        <w:tab/>
      </w:r>
      <w:bookmarkEnd w:id="186"/>
      <w:r>
        <w:rPr>
          <w:snapToGrid w:val="0"/>
        </w:rPr>
        <w:t>Coroner’s consent to post-mortem required in some cases</w:t>
      </w:r>
      <w:bookmarkEnd w:id="187"/>
      <w:bookmarkEnd w:id="188"/>
      <w:bookmarkEnd w:id="189"/>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authorise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[Section 27 amended by No. 2 of 1996 s. 61.]</w:t>
      </w:r>
    </w:p>
    <w:p>
      <w:pPr>
        <w:pStyle w:val="Heading5"/>
        <w:rPr>
          <w:snapToGrid w:val="0"/>
        </w:rPr>
      </w:pPr>
      <w:bookmarkStart w:id="190" w:name="_Toc411225644"/>
      <w:bookmarkStart w:id="191" w:name="_Toc465832493"/>
      <w:bookmarkStart w:id="192" w:name="_Toc89749131"/>
      <w:bookmarkStart w:id="193" w:name="_Toc199817147"/>
      <w:r>
        <w:rPr>
          <w:rStyle w:val="CharSectno"/>
        </w:rPr>
        <w:t>28</w:t>
      </w:r>
      <w:r>
        <w:rPr>
          <w:snapToGrid w:val="0"/>
        </w:rPr>
        <w:t>.</w:t>
      </w:r>
      <w:r>
        <w:rPr>
          <w:snapToGrid w:val="0"/>
        </w:rPr>
        <w:tab/>
        <w:t>Effect of authority under this Part</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[Section 28 amended by No. 2 of 1996 s. 61; No. 25 of 1997 s. 9.]</w:t>
      </w:r>
    </w:p>
    <w:p>
      <w:pPr>
        <w:pStyle w:val="Heading2"/>
      </w:pPr>
      <w:bookmarkStart w:id="194" w:name="_Toc78096680"/>
      <w:bookmarkStart w:id="195" w:name="_Toc78103675"/>
      <w:bookmarkStart w:id="196" w:name="_Toc89749132"/>
      <w:bookmarkStart w:id="197" w:name="_Toc135726505"/>
      <w:bookmarkStart w:id="198" w:name="_Toc136238699"/>
      <w:bookmarkStart w:id="199" w:name="_Toc136838278"/>
      <w:bookmarkStart w:id="200" w:name="_Toc138474602"/>
      <w:bookmarkStart w:id="201" w:name="_Toc141671358"/>
      <w:bookmarkStart w:id="202" w:name="_Toc199817148"/>
      <w:r>
        <w:rPr>
          <w:rStyle w:val="CharPartNo"/>
        </w:rPr>
        <w:t>Part V</w:t>
      </w:r>
      <w:r>
        <w:rPr>
          <w:rStyle w:val="CharDivNo"/>
        </w:rPr>
        <w:t> </w:t>
      </w:r>
      <w:r>
        <w:t>—</w:t>
      </w:r>
      <w:r>
        <w:rPr>
          <w:rStyle w:val="CharDivText"/>
        </w:rPr>
        <w:t> </w:t>
      </w:r>
      <w:r>
        <w:rPr>
          <w:rStyle w:val="CharPartText"/>
        </w:rPr>
        <w:t>Prohibition on trading in tissue</w:t>
      </w:r>
      <w:bookmarkEnd w:id="194"/>
      <w:bookmarkEnd w:id="195"/>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411225645"/>
      <w:bookmarkStart w:id="204" w:name="_Toc465832494"/>
      <w:bookmarkStart w:id="205" w:name="_Toc89749133"/>
      <w:bookmarkStart w:id="206" w:name="_Toc199817149"/>
      <w:r>
        <w:rPr>
          <w:rStyle w:val="CharSectno"/>
        </w:rPr>
        <w:t>29</w:t>
      </w:r>
      <w:r>
        <w:rPr>
          <w:snapToGrid w:val="0"/>
        </w:rPr>
        <w:t>.</w:t>
      </w:r>
      <w:r>
        <w:rPr>
          <w:snapToGrid w:val="0"/>
        </w:rPr>
        <w:tab/>
        <w:t>Trading in tissue</w:t>
      </w:r>
      <w:bookmarkEnd w:id="203"/>
      <w:r>
        <w:rPr>
          <w:snapToGrid w:val="0"/>
        </w:rPr>
        <w:t>, legal consequences</w:t>
      </w:r>
      <w:bookmarkEnd w:id="204"/>
      <w:bookmarkEnd w:id="205"/>
      <w:bookmarkEnd w:id="206"/>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by No. 14 of 2006 s. 4.]</w:t>
      </w:r>
    </w:p>
    <w:p>
      <w:pPr>
        <w:pStyle w:val="Heading5"/>
        <w:rPr>
          <w:snapToGrid w:val="0"/>
        </w:rPr>
      </w:pPr>
      <w:bookmarkStart w:id="207" w:name="_Toc411225646"/>
      <w:bookmarkStart w:id="208" w:name="_Toc465832495"/>
      <w:bookmarkStart w:id="209" w:name="_Toc89749134"/>
      <w:bookmarkStart w:id="210" w:name="_Toc199817150"/>
      <w:r>
        <w:rPr>
          <w:rStyle w:val="CharSectno"/>
        </w:rPr>
        <w:t>30</w:t>
      </w:r>
      <w:r>
        <w:rPr>
          <w:snapToGrid w:val="0"/>
        </w:rPr>
        <w:t>.</w:t>
      </w:r>
      <w:r>
        <w:rPr>
          <w:snapToGrid w:val="0"/>
        </w:rPr>
        <w:tab/>
        <w:t>Advertisements relating to buying human tissue prohibited</w:t>
      </w:r>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[Section 30 amended by No. 78 of 1995 s. 147.]</w:t>
      </w:r>
    </w:p>
    <w:p>
      <w:pPr>
        <w:pStyle w:val="Heading2"/>
      </w:pPr>
      <w:bookmarkStart w:id="211" w:name="_Toc89749135"/>
      <w:bookmarkStart w:id="212" w:name="_Toc135726508"/>
      <w:bookmarkStart w:id="213" w:name="_Toc136238702"/>
      <w:bookmarkStart w:id="214" w:name="_Toc136838281"/>
      <w:bookmarkStart w:id="215" w:name="_Toc138474605"/>
      <w:bookmarkStart w:id="216" w:name="_Toc141671361"/>
      <w:bookmarkStart w:id="217" w:name="_Toc199817151"/>
      <w:bookmarkStart w:id="218" w:name="_Toc78096683"/>
      <w:bookmarkStart w:id="219" w:name="_Toc78103678"/>
      <w:r>
        <w:rPr>
          <w:rStyle w:val="CharPartNo"/>
        </w:rPr>
        <w:t>Part VA</w:t>
      </w:r>
      <w:r>
        <w:rPr>
          <w:rStyle w:val="CharDivNo"/>
        </w:rPr>
        <w:t> </w:t>
      </w:r>
      <w:r>
        <w:t>—</w:t>
      </w:r>
      <w:r>
        <w:rPr>
          <w:rStyle w:val="CharDivText"/>
        </w:rPr>
        <w:t> </w:t>
      </w:r>
      <w:r>
        <w:rPr>
          <w:rStyle w:val="CharPartText"/>
        </w:rPr>
        <w:t>Prohibition on the use of embryonic stem cell lines</w:t>
      </w:r>
      <w:bookmarkEnd w:id="211"/>
      <w:bookmarkEnd w:id="212"/>
      <w:bookmarkEnd w:id="213"/>
      <w:bookmarkEnd w:id="214"/>
      <w:bookmarkEnd w:id="215"/>
      <w:bookmarkEnd w:id="216"/>
      <w:bookmarkEnd w:id="217"/>
    </w:p>
    <w:p>
      <w:pPr>
        <w:pStyle w:val="Footnoteheading"/>
        <w:tabs>
          <w:tab w:val="left" w:pos="851"/>
        </w:tabs>
      </w:pPr>
      <w:r>
        <w:tab/>
        <w:t>[Heading inserted by No. 18 of 2004 s. 11(3).]</w:t>
      </w:r>
    </w:p>
    <w:p>
      <w:pPr>
        <w:pStyle w:val="Heading5"/>
      </w:pPr>
      <w:bookmarkStart w:id="220" w:name="_Toc89749136"/>
      <w:bookmarkStart w:id="221" w:name="_Toc199817152"/>
      <w:r>
        <w:rPr>
          <w:rStyle w:val="CharSectno"/>
        </w:rPr>
        <w:t>30A</w:t>
      </w:r>
      <w:r>
        <w:t>.</w:t>
      </w:r>
      <w:r>
        <w:tab/>
        <w:t>Interpretation</w:t>
      </w:r>
      <w:bookmarkEnd w:id="220"/>
      <w:bookmarkEnd w:id="221"/>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by No. 18 of 2004 s. 11(3).]</w:t>
      </w:r>
    </w:p>
    <w:p>
      <w:pPr>
        <w:pStyle w:val="Heading5"/>
      </w:pPr>
      <w:bookmarkStart w:id="222" w:name="_Toc89749137"/>
      <w:bookmarkStart w:id="223" w:name="_Toc199817153"/>
      <w:r>
        <w:rPr>
          <w:rStyle w:val="CharSectno"/>
        </w:rPr>
        <w:t>30B</w:t>
      </w:r>
      <w:r>
        <w:t>.</w:t>
      </w:r>
      <w:r>
        <w:tab/>
        <w:t>Restriction on use of human embryonic stem cells lines</w:t>
      </w:r>
      <w:bookmarkEnd w:id="222"/>
      <w:bookmarkEnd w:id="223"/>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by No. 18 of 2004 s. 11(3).]</w:t>
      </w:r>
    </w:p>
    <w:p>
      <w:pPr>
        <w:pStyle w:val="Heading2"/>
      </w:pPr>
      <w:bookmarkStart w:id="224" w:name="_Toc89749138"/>
      <w:bookmarkStart w:id="225" w:name="_Toc135726511"/>
      <w:bookmarkStart w:id="226" w:name="_Toc136238705"/>
      <w:bookmarkStart w:id="227" w:name="_Toc136838284"/>
      <w:bookmarkStart w:id="228" w:name="_Toc138474608"/>
      <w:bookmarkStart w:id="229" w:name="_Toc141671364"/>
      <w:bookmarkStart w:id="230" w:name="_Toc199817154"/>
      <w:r>
        <w:rPr>
          <w:rStyle w:val="CharPartNo"/>
        </w:rPr>
        <w:t>Part VI</w:t>
      </w:r>
      <w:r>
        <w:rPr>
          <w:rStyle w:val="CharDivNo"/>
        </w:rPr>
        <w:t> </w:t>
      </w:r>
      <w:r>
        <w:t>—</w:t>
      </w:r>
      <w:r>
        <w:rPr>
          <w:rStyle w:val="CharDivText"/>
        </w:rPr>
        <w:t> </w:t>
      </w:r>
      <w:r>
        <w:rPr>
          <w:rStyle w:val="CharPartText"/>
        </w:rPr>
        <w:t>Miscellaneous</w:t>
      </w:r>
      <w:bookmarkEnd w:id="218"/>
      <w:bookmarkEnd w:id="219"/>
      <w:bookmarkEnd w:id="224"/>
      <w:bookmarkEnd w:id="225"/>
      <w:bookmarkEnd w:id="226"/>
      <w:bookmarkEnd w:id="227"/>
      <w:bookmarkEnd w:id="228"/>
      <w:bookmarkEnd w:id="229"/>
      <w:bookmarkEnd w:id="230"/>
      <w:r>
        <w:rPr>
          <w:rStyle w:val="CharPartText"/>
        </w:rPr>
        <w:t xml:space="preserve"> </w:t>
      </w:r>
    </w:p>
    <w:p>
      <w:pPr>
        <w:pStyle w:val="Heading5"/>
        <w:rPr>
          <w:snapToGrid w:val="0"/>
        </w:rPr>
      </w:pPr>
      <w:bookmarkStart w:id="231" w:name="_Toc411225647"/>
      <w:bookmarkStart w:id="232" w:name="_Toc465832496"/>
      <w:bookmarkStart w:id="233" w:name="_Toc89749139"/>
      <w:bookmarkStart w:id="234" w:name="_Toc199817155"/>
      <w:r>
        <w:rPr>
          <w:rStyle w:val="CharSectno"/>
        </w:rPr>
        <w:t>31</w:t>
      </w:r>
      <w:r>
        <w:rPr>
          <w:snapToGrid w:val="0"/>
        </w:rPr>
        <w:t>.</w:t>
      </w:r>
      <w:r>
        <w:rPr>
          <w:snapToGrid w:val="0"/>
        </w:rPr>
        <w:tab/>
        <w:t>Exclusion of liability of persons acting in pursuance of consent, etc.</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235" w:name="_Toc411225648"/>
      <w:bookmarkStart w:id="236" w:name="_Toc465832497"/>
      <w:bookmarkStart w:id="237" w:name="_Toc89749140"/>
      <w:bookmarkStart w:id="238" w:name="_Toc199817156"/>
      <w:r>
        <w:rPr>
          <w:rStyle w:val="CharSectno"/>
        </w:rPr>
        <w:t>32</w:t>
      </w:r>
      <w:r>
        <w:rPr>
          <w:snapToGrid w:val="0"/>
        </w:rPr>
        <w:t>.</w:t>
      </w:r>
      <w:r>
        <w:rPr>
          <w:snapToGrid w:val="0"/>
        </w:rPr>
        <w:tab/>
        <w:t>Act does not prevent specified removals of tissue etc.</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p>
    <w:p>
      <w:pPr>
        <w:pStyle w:val="Indenta"/>
        <w:rPr>
          <w:snapToGrid w:val="0"/>
        </w:rPr>
      </w:pPr>
      <w:r>
        <w:rPr>
          <w:snapToGrid w:val="0"/>
        </w:rPr>
        <w:tab/>
        <w:t>(b)</w:t>
      </w:r>
      <w:r>
        <w:rPr>
          <w:snapToGrid w:val="0"/>
        </w:rPr>
        <w:tab/>
        <w:t>the use of tissue so removed;</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Part II.</w:t>
      </w:r>
    </w:p>
    <w:p>
      <w:pPr>
        <w:pStyle w:val="Heading5"/>
      </w:pPr>
      <w:bookmarkStart w:id="239" w:name="_Toc411225649"/>
      <w:bookmarkStart w:id="240" w:name="_Toc465832498"/>
      <w:bookmarkStart w:id="241" w:name="_Toc89749141"/>
      <w:bookmarkStart w:id="242" w:name="_Toc199817157"/>
      <w:r>
        <w:rPr>
          <w:rStyle w:val="CharSectno"/>
        </w:rPr>
        <w:t>32A</w:t>
      </w:r>
      <w:r>
        <w:t>.</w:t>
      </w:r>
      <w:r>
        <w:tab/>
        <w:t>Codes of practice</w:t>
      </w:r>
      <w:bookmarkEnd w:id="239"/>
      <w:bookmarkEnd w:id="240"/>
      <w:bookmarkEnd w:id="241"/>
      <w:bookmarkEnd w:id="242"/>
    </w:p>
    <w:p>
      <w:pPr>
        <w:pStyle w:val="Subsection"/>
      </w:pPr>
      <w:r>
        <w:tab/>
        <w:t>(1)</w:t>
      </w:r>
      <w:r>
        <w:tab/>
        <w:t>The Executive Director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 10.]</w:t>
      </w:r>
    </w:p>
    <w:p>
      <w:pPr>
        <w:pStyle w:val="Heading5"/>
      </w:pPr>
      <w:bookmarkStart w:id="243" w:name="_Toc411225650"/>
      <w:bookmarkStart w:id="244" w:name="_Toc465832499"/>
      <w:bookmarkStart w:id="245" w:name="_Toc89749142"/>
      <w:bookmarkStart w:id="246" w:name="_Toc199817158"/>
      <w:r>
        <w:rPr>
          <w:rStyle w:val="CharSectno"/>
        </w:rPr>
        <w:t>32B</w:t>
      </w:r>
      <w:r>
        <w:t>.</w:t>
      </w:r>
      <w:r>
        <w:tab/>
        <w:t>Enforcement of directions contained in a code of practice</w:t>
      </w:r>
      <w:bookmarkEnd w:id="243"/>
      <w:bookmarkEnd w:id="244"/>
      <w:bookmarkEnd w:id="245"/>
      <w:bookmarkEnd w:id="246"/>
    </w:p>
    <w:p>
      <w:pPr>
        <w:pStyle w:val="Subsection"/>
      </w:pPr>
      <w:r>
        <w:tab/>
        <w:t>(1)</w:t>
      </w:r>
      <w:r>
        <w:tab/>
        <w:t>Where it appears to the Executive Director that a person has by act or omission contravened a direction contained in a code of practice the Executive Director may require the person to enter into a written undertaking — </w:t>
      </w:r>
    </w:p>
    <w:p>
      <w:pPr>
        <w:pStyle w:val="Indenta"/>
      </w:pPr>
      <w:r>
        <w:tab/>
        <w:t>(a)</w:t>
      </w:r>
      <w:r>
        <w:tab/>
        <w:t>to discontinue the conduct giving rise to the contravention;</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Executive Director shall — </w:t>
      </w:r>
    </w:p>
    <w:p>
      <w:pPr>
        <w:pStyle w:val="Indenta"/>
      </w:pPr>
      <w:r>
        <w:tab/>
        <w:t>(a)</w:t>
      </w:r>
      <w:r>
        <w:tab/>
        <w:t>retain a copy of the document evidencing the undertaking;</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Executive Director; or</w:t>
      </w:r>
    </w:p>
    <w:p>
      <w:pPr>
        <w:pStyle w:val="Indenta"/>
      </w:pPr>
      <w:r>
        <w:tab/>
        <w:t>(b)</w:t>
      </w:r>
      <w:r>
        <w:tab/>
        <w:t>to observe such an undertaking entered into by that person,</w:t>
      </w:r>
    </w:p>
    <w:p>
      <w:pPr>
        <w:pStyle w:val="Subsection"/>
      </w:pPr>
      <w:r>
        <w:tab/>
      </w:r>
      <w:r>
        <w:tab/>
        <w:t>commits an offence.</w:t>
      </w:r>
    </w:p>
    <w:p>
      <w:pPr>
        <w:pStyle w:val="Penstart"/>
      </w:pPr>
      <w:r>
        <w:tab/>
        <w:t>Penalty: $1 000.</w:t>
      </w:r>
    </w:p>
    <w:p>
      <w:pPr>
        <w:pStyle w:val="Subsection"/>
      </w:pPr>
      <w:r>
        <w:tab/>
        <w:t>(5)</w:t>
      </w:r>
      <w:r>
        <w:tab/>
        <w:t>A prosecution for an offence under subsection (4) shall not be commenced without the approval of the Executive Director.</w:t>
      </w:r>
    </w:p>
    <w:p>
      <w:pPr>
        <w:pStyle w:val="Subsection"/>
        <w:rPr>
          <w:spacing w:val="-2"/>
        </w:rPr>
      </w:pPr>
      <w:r>
        <w:rPr>
          <w:spacing w:val="-2"/>
        </w:rPr>
        <w:tab/>
        <w:t>(6)</w:t>
      </w:r>
      <w:r>
        <w:rPr>
          <w:spacing w:val="-2"/>
        </w:rPr>
        <w:tab/>
        <w:t>The Executive Director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 10.]</w:t>
      </w:r>
    </w:p>
    <w:p>
      <w:pPr>
        <w:pStyle w:val="Heading5"/>
        <w:rPr>
          <w:snapToGrid w:val="0"/>
        </w:rPr>
      </w:pPr>
      <w:bookmarkStart w:id="247" w:name="_Toc411225651"/>
      <w:bookmarkStart w:id="248" w:name="_Toc465832500"/>
      <w:bookmarkStart w:id="249" w:name="_Toc89749143"/>
      <w:bookmarkStart w:id="250" w:name="_Toc199817159"/>
      <w:r>
        <w:rPr>
          <w:rStyle w:val="CharSectno"/>
        </w:rPr>
        <w:t>33</w:t>
      </w:r>
      <w:r>
        <w:rPr>
          <w:snapToGrid w:val="0"/>
        </w:rPr>
        <w:t>.</w:t>
      </w:r>
      <w:r>
        <w:rPr>
          <w:snapToGrid w:val="0"/>
        </w:rPr>
        <w:tab/>
        <w:t>Offences in relation to removal of tissue</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authorised by law.</w:t>
      </w:r>
    </w:p>
    <w:p>
      <w:pPr>
        <w:pStyle w:val="Footnotesection"/>
      </w:pPr>
      <w:r>
        <w:tab/>
        <w:t>[Section 33 amended by No. 2 of 1996 s. 61.]</w:t>
      </w:r>
    </w:p>
    <w:p>
      <w:pPr>
        <w:pStyle w:val="Heading5"/>
        <w:rPr>
          <w:snapToGrid w:val="0"/>
        </w:rPr>
      </w:pPr>
      <w:bookmarkStart w:id="251" w:name="_Toc411225652"/>
      <w:bookmarkStart w:id="252" w:name="_Toc465832501"/>
      <w:bookmarkStart w:id="253" w:name="_Toc89749144"/>
      <w:bookmarkStart w:id="254" w:name="_Toc199817160"/>
      <w:r>
        <w:rPr>
          <w:rStyle w:val="CharSectno"/>
        </w:rPr>
        <w:t>34</w:t>
      </w:r>
      <w:r>
        <w:rPr>
          <w:snapToGrid w:val="0"/>
        </w:rPr>
        <w:t>.</w:t>
      </w:r>
      <w:r>
        <w:rPr>
          <w:snapToGrid w:val="0"/>
        </w:rPr>
        <w:tab/>
        <w:t>Disclosure of information</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255" w:name="_Toc411225653"/>
      <w:bookmarkStart w:id="256" w:name="_Toc465832502"/>
      <w:bookmarkStart w:id="257" w:name="_Toc89749145"/>
      <w:bookmarkStart w:id="258" w:name="_Toc199817161"/>
      <w:r>
        <w:rPr>
          <w:rStyle w:val="CharSectno"/>
        </w:rPr>
        <w:t>35</w:t>
      </w:r>
      <w:r>
        <w:rPr>
          <w:snapToGrid w:val="0"/>
        </w:rPr>
        <w:t>.</w:t>
      </w:r>
      <w:r>
        <w:rPr>
          <w:snapToGrid w:val="0"/>
        </w:rPr>
        <w:tab/>
        <w:t>Regulations</w:t>
      </w:r>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59" w:name="_Toc78096692"/>
      <w:bookmarkStart w:id="260" w:name="_Toc78103687"/>
      <w:bookmarkStart w:id="261" w:name="_Toc89749147"/>
      <w:bookmarkStart w:id="262" w:name="_Toc135726519"/>
      <w:bookmarkStart w:id="263" w:name="_Toc136238713"/>
      <w:bookmarkStart w:id="264" w:name="_Toc136838292"/>
      <w:bookmarkStart w:id="265" w:name="_Toc138474616"/>
      <w:bookmarkStart w:id="266" w:name="_Toc141671372"/>
      <w:bookmarkStart w:id="267" w:name="_Toc199817162"/>
      <w:r>
        <w:t>Notes</w:t>
      </w:r>
      <w:bookmarkEnd w:id="259"/>
      <w:bookmarkEnd w:id="260"/>
      <w:bookmarkEnd w:id="261"/>
      <w:bookmarkEnd w:id="262"/>
      <w:bookmarkEnd w:id="263"/>
      <w:bookmarkEnd w:id="264"/>
      <w:bookmarkEnd w:id="265"/>
      <w:bookmarkEnd w:id="266"/>
      <w:bookmarkEnd w:id="267"/>
    </w:p>
    <w:p>
      <w:pPr>
        <w:pStyle w:val="nSubsection"/>
        <w:rPr>
          <w:snapToGrid w:val="0"/>
        </w:rPr>
      </w:pPr>
      <w:r>
        <w:rPr>
          <w:snapToGrid w:val="0"/>
          <w:vertAlign w:val="superscript"/>
        </w:rPr>
        <w:t>1</w:t>
      </w:r>
      <w:r>
        <w:rPr>
          <w:snapToGrid w:val="0"/>
        </w:rPr>
        <w:tab/>
        <w:t xml:space="preserve">This reprint is a compilation as at 7 July 2006 of the </w:t>
      </w:r>
      <w:r>
        <w:rPr>
          <w:i/>
          <w:noProof/>
          <w:snapToGrid w:val="0"/>
        </w:rPr>
        <w:t>Human Tissue and Transplant Act 1982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8" w:name="_Toc199817163"/>
      <w:r>
        <w:rPr>
          <w:snapToGrid w:val="0"/>
        </w:rPr>
        <w:t>Compilation table</w:t>
      </w:r>
      <w:bookmarkEnd w:id="2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Human Tissue and Transplant Act 1982</w:t>
            </w:r>
          </w:p>
        </w:tc>
        <w:tc>
          <w:tcPr>
            <w:tcW w:w="1134" w:type="dxa"/>
            <w:tcBorders>
              <w:top w:val="single" w:sz="8" w:space="0" w:color="auto"/>
            </w:tcBorders>
          </w:tcPr>
          <w:p>
            <w:pPr>
              <w:pStyle w:val="nTable"/>
              <w:spacing w:after="40"/>
              <w:rPr>
                <w:sz w:val="19"/>
              </w:rPr>
            </w:pPr>
            <w:r>
              <w:rPr>
                <w:sz w:val="19"/>
              </w:rPr>
              <w:t>116 of 1982</w:t>
            </w:r>
          </w:p>
        </w:tc>
        <w:tc>
          <w:tcPr>
            <w:tcW w:w="1134" w:type="dxa"/>
            <w:tcBorders>
              <w:top w:val="single" w:sz="8" w:space="0" w:color="auto"/>
            </w:tcBorders>
          </w:tcPr>
          <w:p>
            <w:pPr>
              <w:pStyle w:val="nTable"/>
              <w:spacing w:after="40"/>
              <w:rPr>
                <w:sz w:val="19"/>
              </w:rPr>
            </w:pPr>
            <w:r>
              <w:rPr>
                <w:sz w:val="19"/>
              </w:rPr>
              <w:t>8 Dec 1982</w:t>
            </w:r>
          </w:p>
        </w:tc>
        <w:tc>
          <w:tcPr>
            <w:tcW w:w="2552" w:type="dxa"/>
            <w:tcBorders>
              <w:top w:val="single" w:sz="8" w:space="0" w:color="auto"/>
            </w:tcBorders>
          </w:tcPr>
          <w:p>
            <w:pPr>
              <w:pStyle w:val="nTable"/>
              <w:spacing w:after="40"/>
              <w:rPr>
                <w:sz w:val="19"/>
              </w:rPr>
            </w:pPr>
            <w:r>
              <w:rPr>
                <w:sz w:val="19"/>
              </w:rPr>
              <w:t>1 Mar 1983 (see s. 2)</w:t>
            </w:r>
          </w:p>
        </w:tc>
      </w:tr>
      <w:tr>
        <w:trPr>
          <w:cantSplit/>
        </w:trPr>
        <w:tc>
          <w:tcPr>
            <w:tcW w:w="2268" w:type="dxa"/>
          </w:tcPr>
          <w:p>
            <w:pPr>
              <w:pStyle w:val="nTable"/>
              <w:spacing w:after="40"/>
              <w:ind w:right="113"/>
              <w:rPr>
                <w:sz w:val="19"/>
              </w:rPr>
            </w:pPr>
            <w:r>
              <w:rPr>
                <w:i/>
                <w:sz w:val="19"/>
              </w:rPr>
              <w:t>Health Legislation Amendment Act 1984</w:t>
            </w:r>
            <w:r>
              <w:rPr>
                <w:sz w:val="19"/>
              </w:rPr>
              <w:t xml:space="preserve"> Pt. 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13"/>
              <w:rPr>
                <w:sz w:val="19"/>
              </w:rPr>
            </w:pPr>
            <w:r>
              <w:rPr>
                <w:i/>
                <w:sz w:val="19"/>
              </w:rPr>
              <w:t>Human Tissue and Transplant Amendment Act 1987</w:t>
            </w:r>
          </w:p>
        </w:tc>
        <w:tc>
          <w:tcPr>
            <w:tcW w:w="1134" w:type="dxa"/>
          </w:tcPr>
          <w:p>
            <w:pPr>
              <w:pStyle w:val="nTable"/>
              <w:spacing w:after="40"/>
              <w:rPr>
                <w:sz w:val="19"/>
              </w:rPr>
            </w:pPr>
            <w:r>
              <w:rPr>
                <w:sz w:val="19"/>
              </w:rPr>
              <w:t>5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29 May 1987 (see s. 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Human Tissue and Transplant Amendment Act 1997</w:t>
            </w:r>
          </w:p>
        </w:tc>
        <w:tc>
          <w:tcPr>
            <w:tcW w:w="1134" w:type="dxa"/>
          </w:tcPr>
          <w:p>
            <w:pPr>
              <w:pStyle w:val="nTable"/>
              <w:spacing w:after="40"/>
              <w:rPr>
                <w:sz w:val="19"/>
              </w:rPr>
            </w:pPr>
            <w:r>
              <w:rPr>
                <w:sz w:val="19"/>
              </w:rPr>
              <w:t>25 of 1997</w:t>
            </w:r>
          </w:p>
        </w:tc>
        <w:tc>
          <w:tcPr>
            <w:tcW w:w="1134" w:type="dxa"/>
          </w:tcPr>
          <w:p>
            <w:pPr>
              <w:pStyle w:val="nTable"/>
              <w:spacing w:after="40"/>
              <w:rPr>
                <w:sz w:val="19"/>
              </w:rPr>
            </w:pPr>
            <w:r>
              <w:rPr>
                <w:sz w:val="19"/>
              </w:rPr>
              <w:t>24 Sep 1997</w:t>
            </w:r>
          </w:p>
        </w:tc>
        <w:tc>
          <w:tcPr>
            <w:tcW w:w="2552" w:type="dxa"/>
          </w:tcPr>
          <w:p>
            <w:pPr>
              <w:pStyle w:val="nTable"/>
              <w:spacing w:after="40"/>
              <w:rPr>
                <w:sz w:val="19"/>
              </w:rPr>
            </w:pPr>
            <w:r>
              <w:rPr>
                <w:sz w:val="19"/>
              </w:rPr>
              <w:t>24 Sep 1997 (see s. 2)</w:t>
            </w:r>
          </w:p>
        </w:tc>
      </w:tr>
      <w:tr>
        <w:trPr>
          <w:cantSplit/>
        </w:trPr>
        <w:tc>
          <w:tcPr>
            <w:tcW w:w="7088" w:type="dxa"/>
            <w:gridSpan w:val="4"/>
          </w:tcPr>
          <w:p>
            <w:pPr>
              <w:pStyle w:val="nTable"/>
              <w:spacing w:after="40"/>
              <w:rPr>
                <w:sz w:val="19"/>
              </w:rPr>
            </w:pPr>
            <w:r>
              <w:rPr>
                <w:b/>
                <w:bCs/>
                <w:sz w:val="19"/>
              </w:rPr>
              <w:t xml:space="preserve">Reprint of the </w:t>
            </w:r>
            <w:r>
              <w:rPr>
                <w:b/>
                <w:bCs/>
                <w:i/>
                <w:sz w:val="19"/>
              </w:rPr>
              <w:t>Human Tissue and Transplant Act 1982</w:t>
            </w:r>
            <w:r>
              <w:rPr>
                <w:b/>
                <w:bCs/>
                <w:sz w:val="19"/>
              </w:rPr>
              <w:t xml:space="preserve"> as at 29 Oct 1999</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Pt. 12</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Cs/>
                <w:sz w:val="19"/>
              </w:rPr>
            </w:pPr>
            <w:r>
              <w:rPr>
                <w:i/>
                <w:sz w:val="19"/>
              </w:rPr>
              <w:t>Acts Amendment (Prohibition of Human Cloning and Other Practices) Act 2004</w:t>
            </w:r>
            <w:r>
              <w:rPr>
                <w:iCs/>
                <w:sz w:val="19"/>
              </w:rPr>
              <w:t xml:space="preserve"> s. 11</w:t>
            </w:r>
          </w:p>
        </w:tc>
        <w:tc>
          <w:tcPr>
            <w:tcW w:w="1134" w:type="dxa"/>
          </w:tcPr>
          <w:p>
            <w:pPr>
              <w:pStyle w:val="nTable"/>
              <w:spacing w:after="40"/>
              <w:rPr>
                <w:sz w:val="19"/>
              </w:rPr>
            </w:pPr>
            <w:r>
              <w:rPr>
                <w:sz w:val="19"/>
              </w:rPr>
              <w:t>18 of 2004</w:t>
            </w:r>
          </w:p>
        </w:tc>
        <w:tc>
          <w:tcPr>
            <w:tcW w:w="1134" w:type="dxa"/>
          </w:tcPr>
          <w:p>
            <w:pPr>
              <w:pStyle w:val="nTable"/>
              <w:spacing w:after="40"/>
              <w:rPr>
                <w:sz w:val="19"/>
              </w:rPr>
            </w:pPr>
            <w:r>
              <w:rPr>
                <w:sz w:val="19"/>
              </w:rPr>
              <w:t>16 Jul 2004</w:t>
            </w:r>
          </w:p>
        </w:tc>
        <w:tc>
          <w:tcPr>
            <w:tcW w:w="2552"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ind w:right="113"/>
              <w:rPr>
                <w:i/>
                <w:sz w:val="19"/>
              </w:rPr>
            </w:pPr>
            <w:r>
              <w:rPr>
                <w:i/>
                <w:sz w:val="19"/>
              </w:rPr>
              <w:t>Human Tissue and Transplant Amendment Act 2006</w:t>
            </w:r>
          </w:p>
        </w:tc>
        <w:tc>
          <w:tcPr>
            <w:tcW w:w="1134" w:type="dxa"/>
          </w:tcPr>
          <w:p>
            <w:pPr>
              <w:pStyle w:val="nTable"/>
              <w:spacing w:after="40"/>
              <w:rPr>
                <w:sz w:val="19"/>
              </w:rPr>
            </w:pPr>
            <w:r>
              <w:rPr>
                <w:sz w:val="19"/>
              </w:rPr>
              <w:t>14 of 2006</w:t>
            </w:r>
          </w:p>
        </w:tc>
        <w:tc>
          <w:tcPr>
            <w:tcW w:w="1134" w:type="dxa"/>
          </w:tcPr>
          <w:p>
            <w:pPr>
              <w:pStyle w:val="nTable"/>
              <w:spacing w:after="40"/>
              <w:rPr>
                <w:sz w:val="19"/>
              </w:rPr>
            </w:pPr>
            <w:r>
              <w:rPr>
                <w:sz w:val="19"/>
              </w:rPr>
              <w:t>11 May 2006</w:t>
            </w:r>
          </w:p>
        </w:tc>
        <w:tc>
          <w:tcPr>
            <w:tcW w:w="2552" w:type="dxa"/>
          </w:tcPr>
          <w:p>
            <w:pPr>
              <w:pStyle w:val="nTable"/>
              <w:spacing w:after="40"/>
              <w:rPr>
                <w:sz w:val="19"/>
              </w:rPr>
            </w:pPr>
            <w:r>
              <w:rPr>
                <w:sz w:val="19"/>
              </w:rPr>
              <w:t>11 May 2006 (see s. 2)</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2: The </w:t>
            </w:r>
            <w:r>
              <w:rPr>
                <w:b/>
                <w:bCs/>
                <w:i/>
                <w:sz w:val="19"/>
              </w:rPr>
              <w:t>Human Tissue and Transplant Act 1982</w:t>
            </w:r>
            <w:r>
              <w:rPr>
                <w:b/>
                <w:bCs/>
                <w:sz w:val="19"/>
              </w:rPr>
              <w:t xml:space="preserve"> as at 7 Jul 2006</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9" w:name="_Toc7405065"/>
      <w:bookmarkStart w:id="270" w:name="_Toc181500909"/>
      <w:bookmarkStart w:id="271" w:name="_Toc193100050"/>
      <w:bookmarkStart w:id="272" w:name="_Toc199817164"/>
      <w:r>
        <w:t>Provisions that have not come into operation</w:t>
      </w:r>
      <w:bookmarkEnd w:id="269"/>
      <w:bookmarkEnd w:id="270"/>
      <w:bookmarkEnd w:id="271"/>
      <w:bookmarkEnd w:id="2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rPr>
              <w:t>Medical Practitioners Act 2008</w:t>
            </w:r>
            <w:r>
              <w:rPr>
                <w:iCs/>
                <w:snapToGrid w:val="0"/>
              </w:rPr>
              <w:t xml:space="preserve"> s. 162 </w:t>
            </w:r>
            <w:r>
              <w:rPr>
                <w:iCs/>
                <w:snapToGrid w:val="0"/>
                <w:vertAlign w:val="superscript"/>
              </w:rPr>
              <w:t>4</w:t>
            </w:r>
          </w:p>
        </w:tc>
        <w:tc>
          <w:tcPr>
            <w:tcW w:w="1134" w:type="dxa"/>
            <w:tcBorders>
              <w:top w:val="single" w:sz="8" w:space="0" w:color="auto"/>
              <w:bottom w:val="single" w:sz="4" w:space="0" w:color="auto"/>
            </w:tcBorders>
          </w:tcPr>
          <w:p>
            <w:pPr>
              <w:pStyle w:val="nTable"/>
              <w:spacing w:after="40"/>
              <w:rPr>
                <w:sz w:val="19"/>
              </w:rPr>
            </w:pPr>
            <w:r>
              <w:rPr>
                <w:sz w:val="19"/>
              </w:rPr>
              <w:t>22 of 2008</w:t>
            </w:r>
          </w:p>
        </w:tc>
        <w:tc>
          <w:tcPr>
            <w:tcW w:w="1134" w:type="dxa"/>
            <w:tcBorders>
              <w:top w:val="single" w:sz="8" w:space="0" w:color="auto"/>
              <w:bottom w:val="single" w:sz="4" w:space="0" w:color="auto"/>
            </w:tcBorders>
          </w:tcPr>
          <w:p>
            <w:pPr>
              <w:pStyle w:val="nTable"/>
              <w:spacing w:after="40"/>
              <w:rPr>
                <w:sz w:val="19"/>
              </w:rPr>
            </w:pPr>
            <w:r>
              <w:rPr>
                <w:sz w:val="19"/>
              </w:rPr>
              <w:t>27 May 2008</w:t>
            </w:r>
          </w:p>
        </w:tc>
        <w:tc>
          <w:tcPr>
            <w:tcW w:w="2552" w:type="dxa"/>
            <w:tcBorders>
              <w:top w:val="single" w:sz="8" w:space="0" w:color="auto"/>
              <w:bottom w:val="single" w:sz="4" w:space="0" w:color="auto"/>
            </w:tcBorders>
          </w:tcPr>
          <w:p>
            <w:pPr>
              <w:pStyle w:val="nTable"/>
              <w:spacing w:after="40"/>
              <w:rPr>
                <w:sz w:val="19"/>
              </w:rPr>
            </w:pPr>
            <w:r>
              <w:rPr>
                <w:sz w:val="19"/>
              </w:rPr>
              <w:t>To be proclaimed (see s. 2)</w:t>
            </w:r>
          </w:p>
        </w:tc>
      </w:tr>
    </w:tbl>
    <w:p>
      <w:pPr>
        <w:pStyle w:val="nSubsection"/>
        <w:rPr>
          <w:vertAlign w:val="superscript"/>
        </w:rPr>
      </w:pPr>
    </w:p>
    <w:p>
      <w:pPr>
        <w:pStyle w:val="nSubsection"/>
      </w:pPr>
      <w:r>
        <w:rPr>
          <w:vertAlign w:val="superscript"/>
        </w:rPr>
        <w:t>2</w:t>
      </w:r>
      <w:r>
        <w:tab/>
        <w:t xml:space="preserve">The provisions in this Act repealing these Acts have been omitted under the </w:t>
      </w:r>
      <w:r>
        <w:rPr>
          <w:i/>
          <w:iCs/>
        </w:rPr>
        <w:t>Reprints Act 1984</w:t>
      </w:r>
      <w:r>
        <w:t xml:space="preserve"> s. 7(4)(f).</w:t>
      </w:r>
    </w:p>
    <w:p>
      <w:pPr>
        <w:pStyle w:val="nSubsection"/>
      </w:pPr>
      <w:r>
        <w:rPr>
          <w:vertAlign w:val="superscript"/>
        </w:rPr>
        <w:t>3</w:t>
      </w:r>
      <w:r>
        <w:tab/>
        <w:t xml:space="preserve">The provision in this Act amending that Act has been omitted under the </w:t>
      </w:r>
      <w:r>
        <w:rPr>
          <w:i/>
          <w:iCs/>
        </w:rPr>
        <w:t>Reprints Act 1984</w:t>
      </w:r>
      <w:r>
        <w:t xml:space="preserve"> s. 7(4)(e).</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29, </w:t>
      </w:r>
      <w:r>
        <w:rPr>
          <w:snapToGrid w:val="0"/>
        </w:rPr>
        <w:t>had not come into operation.  It reads as follows:</w:t>
      </w:r>
    </w:p>
    <w:p>
      <w:pPr>
        <w:pStyle w:val="MiscOpen"/>
      </w:pPr>
      <w:r>
        <w:t>“</w:t>
      </w:r>
    </w:p>
    <w:p>
      <w:pPr>
        <w:pStyle w:val="nzHeading5"/>
      </w:pPr>
      <w:bookmarkStart w:id="273" w:name="_Toc123015208"/>
      <w:bookmarkStart w:id="274" w:name="_Toc198710526"/>
      <w:bookmarkStart w:id="275" w:name="_Toc123015245"/>
      <w:bookmarkStart w:id="276" w:name="_Toc123107250"/>
      <w:bookmarkStart w:id="277" w:name="_Toc123628756"/>
      <w:bookmarkStart w:id="278" w:name="_Toc123631684"/>
      <w:bookmarkStart w:id="279" w:name="_Toc123632442"/>
      <w:bookmarkStart w:id="280" w:name="_Toc123632734"/>
      <w:bookmarkStart w:id="281" w:name="_Toc123633002"/>
      <w:bookmarkStart w:id="282" w:name="_Toc125962700"/>
      <w:bookmarkStart w:id="283" w:name="_Toc125963174"/>
      <w:bookmarkStart w:id="284" w:name="_Toc125963735"/>
      <w:bookmarkStart w:id="285" w:name="_Toc125965273"/>
      <w:bookmarkStart w:id="286" w:name="_Toc126111570"/>
      <w:bookmarkStart w:id="287" w:name="_Toc126113970"/>
      <w:bookmarkStart w:id="288" w:name="_Toc127672182"/>
      <w:bookmarkStart w:id="289" w:name="_Toc127681477"/>
      <w:bookmarkStart w:id="290" w:name="_Toc127688542"/>
      <w:bookmarkStart w:id="291" w:name="_Toc127757922"/>
      <w:bookmarkStart w:id="292" w:name="_Toc127764652"/>
      <w:bookmarkStart w:id="293" w:name="_Toc128468958"/>
      <w:bookmarkStart w:id="294" w:name="_Toc128471408"/>
      <w:bookmarkStart w:id="295" w:name="_Toc128557636"/>
      <w:bookmarkStart w:id="296" w:name="_Toc128816407"/>
      <w:bookmarkStart w:id="297" w:name="_Toc128977286"/>
      <w:bookmarkStart w:id="298" w:name="_Toc128977554"/>
      <w:bookmarkStart w:id="299" w:name="_Toc129680954"/>
      <w:bookmarkStart w:id="300" w:name="_Toc129754731"/>
      <w:bookmarkStart w:id="301" w:name="_Toc129764011"/>
      <w:bookmarkStart w:id="302" w:name="_Toc130179828"/>
      <w:bookmarkStart w:id="303" w:name="_Toc130186312"/>
      <w:bookmarkStart w:id="304" w:name="_Toc130186580"/>
      <w:bookmarkStart w:id="305" w:name="_Toc130187357"/>
      <w:bookmarkStart w:id="306" w:name="_Toc130190640"/>
      <w:bookmarkStart w:id="307" w:name="_Toc130358787"/>
      <w:bookmarkStart w:id="308" w:name="_Toc130359529"/>
      <w:bookmarkStart w:id="309" w:name="_Toc130359797"/>
      <w:bookmarkStart w:id="310" w:name="_Toc130365033"/>
      <w:bookmarkStart w:id="311" w:name="_Toc130369448"/>
      <w:bookmarkStart w:id="312" w:name="_Toc130371953"/>
      <w:bookmarkStart w:id="313" w:name="_Toc130372228"/>
      <w:bookmarkStart w:id="314" w:name="_Toc130605537"/>
      <w:bookmarkStart w:id="315" w:name="_Toc130606760"/>
      <w:bookmarkStart w:id="316" w:name="_Toc130607038"/>
      <w:bookmarkStart w:id="317" w:name="_Toc130610186"/>
      <w:bookmarkStart w:id="318" w:name="_Toc130618872"/>
      <w:bookmarkStart w:id="319" w:name="_Toc130622807"/>
      <w:bookmarkStart w:id="320" w:name="_Toc130623084"/>
      <w:bookmarkStart w:id="321" w:name="_Toc130623361"/>
      <w:bookmarkStart w:id="322" w:name="_Toc130625353"/>
      <w:bookmarkStart w:id="323" w:name="_Toc130625630"/>
      <w:bookmarkStart w:id="324" w:name="_Toc130630820"/>
      <w:bookmarkStart w:id="325" w:name="_Toc131315903"/>
      <w:bookmarkStart w:id="326" w:name="_Toc131386384"/>
      <w:bookmarkStart w:id="327" w:name="_Toc131394561"/>
      <w:bookmarkStart w:id="328" w:name="_Toc131397022"/>
      <w:bookmarkStart w:id="329" w:name="_Toc131399673"/>
      <w:bookmarkStart w:id="330" w:name="_Toc131404065"/>
      <w:bookmarkStart w:id="331" w:name="_Toc131480511"/>
      <w:bookmarkStart w:id="332" w:name="_Toc131480788"/>
      <w:bookmarkStart w:id="333" w:name="_Toc131489893"/>
      <w:bookmarkStart w:id="334" w:name="_Toc131490170"/>
      <w:bookmarkStart w:id="335" w:name="_Toc131491452"/>
      <w:bookmarkStart w:id="336" w:name="_Toc131572588"/>
      <w:bookmarkStart w:id="337" w:name="_Toc131573040"/>
      <w:bookmarkStart w:id="338" w:name="_Toc131573595"/>
      <w:bookmarkStart w:id="339" w:name="_Toc131576351"/>
      <w:bookmarkStart w:id="340" w:name="_Toc131576627"/>
      <w:bookmarkStart w:id="341" w:name="_Toc132529244"/>
      <w:bookmarkStart w:id="342" w:name="_Toc132529521"/>
      <w:bookmarkStart w:id="343" w:name="_Toc132531519"/>
      <w:bookmarkStart w:id="344" w:name="_Toc132609582"/>
      <w:bookmarkStart w:id="345" w:name="_Toc132611028"/>
      <w:bookmarkStart w:id="346" w:name="_Toc132612713"/>
      <w:bookmarkStart w:id="347" w:name="_Toc132618166"/>
      <w:bookmarkStart w:id="348" w:name="_Toc132678649"/>
      <w:bookmarkStart w:id="349" w:name="_Toc132689609"/>
      <w:bookmarkStart w:id="350" w:name="_Toc132691019"/>
      <w:bookmarkStart w:id="351" w:name="_Toc132692891"/>
      <w:bookmarkStart w:id="352" w:name="_Toc133113567"/>
      <w:bookmarkStart w:id="353" w:name="_Toc133122134"/>
      <w:bookmarkStart w:id="354" w:name="_Toc133122938"/>
      <w:bookmarkStart w:id="355" w:name="_Toc133123726"/>
      <w:bookmarkStart w:id="356" w:name="_Toc133129725"/>
      <w:bookmarkStart w:id="357" w:name="_Toc133993856"/>
      <w:bookmarkStart w:id="358" w:name="_Toc133994802"/>
      <w:bookmarkStart w:id="359" w:name="_Toc133998494"/>
      <w:bookmarkStart w:id="360" w:name="_Toc134000404"/>
      <w:bookmarkStart w:id="361" w:name="_Toc135013649"/>
      <w:bookmarkStart w:id="362" w:name="_Toc135016136"/>
      <w:bookmarkStart w:id="363" w:name="_Toc135016663"/>
      <w:bookmarkStart w:id="364" w:name="_Toc135470166"/>
      <w:bookmarkStart w:id="365" w:name="_Toc135542352"/>
      <w:bookmarkStart w:id="366" w:name="_Toc135543579"/>
      <w:bookmarkStart w:id="367" w:name="_Toc135546494"/>
      <w:bookmarkStart w:id="368" w:name="_Toc135551360"/>
      <w:bookmarkStart w:id="369" w:name="_Toc136069183"/>
      <w:bookmarkStart w:id="370" w:name="_Toc136419431"/>
      <w:bookmarkStart w:id="371" w:name="_Toc137021091"/>
      <w:bookmarkStart w:id="372" w:name="_Toc137021376"/>
      <w:bookmarkStart w:id="373" w:name="_Toc137024728"/>
      <w:bookmarkStart w:id="374" w:name="_Toc137433227"/>
      <w:bookmarkStart w:id="375" w:name="_Toc137441673"/>
      <w:bookmarkStart w:id="376" w:name="_Toc137456883"/>
      <w:bookmarkStart w:id="377" w:name="_Toc137530657"/>
      <w:bookmarkStart w:id="378" w:name="_Toc137609037"/>
      <w:bookmarkStart w:id="379" w:name="_Toc137626688"/>
      <w:bookmarkStart w:id="380" w:name="_Toc137958522"/>
      <w:bookmarkStart w:id="381" w:name="_Toc137959471"/>
      <w:bookmarkStart w:id="382" w:name="_Toc137965783"/>
      <w:bookmarkStart w:id="383" w:name="_Toc137966736"/>
      <w:bookmarkStart w:id="384" w:name="_Toc137968145"/>
      <w:bookmarkStart w:id="385" w:name="_Toc137968428"/>
      <w:bookmarkStart w:id="386" w:name="_Toc137968711"/>
      <w:bookmarkStart w:id="387" w:name="_Toc137969382"/>
      <w:bookmarkStart w:id="388" w:name="_Toc137969664"/>
      <w:bookmarkStart w:id="389" w:name="_Toc137972763"/>
      <w:bookmarkStart w:id="390" w:name="_Toc138040741"/>
      <w:bookmarkStart w:id="391" w:name="_Toc138041150"/>
      <w:bookmarkStart w:id="392" w:name="_Toc138042678"/>
      <w:bookmarkStart w:id="393" w:name="_Toc138043287"/>
      <w:bookmarkStart w:id="394" w:name="_Toc138055611"/>
      <w:bookmarkStart w:id="395" w:name="_Toc138056786"/>
      <w:bookmarkStart w:id="396" w:name="_Toc138057800"/>
      <w:bookmarkStart w:id="397" w:name="_Toc138061024"/>
      <w:bookmarkStart w:id="398" w:name="_Toc138121534"/>
      <w:bookmarkStart w:id="399" w:name="_Toc138122474"/>
      <w:bookmarkStart w:id="400" w:name="_Toc138122756"/>
      <w:bookmarkStart w:id="401" w:name="_Toc138123193"/>
      <w:bookmarkStart w:id="402" w:name="_Toc138123864"/>
      <w:bookmarkStart w:id="403" w:name="_Toc138124596"/>
      <w:bookmarkStart w:id="404" w:name="_Toc138126853"/>
      <w:bookmarkStart w:id="405" w:name="_Toc138129436"/>
      <w:bookmarkStart w:id="406" w:name="_Toc138132054"/>
      <w:bookmarkStart w:id="407" w:name="_Toc138133839"/>
      <w:bookmarkStart w:id="408" w:name="_Toc138141501"/>
      <w:bookmarkStart w:id="409" w:name="_Toc138143579"/>
      <w:bookmarkStart w:id="410" w:name="_Toc138145517"/>
      <w:bookmarkStart w:id="411" w:name="_Toc138218848"/>
      <w:bookmarkStart w:id="412" w:name="_Toc138474152"/>
      <w:bookmarkStart w:id="413" w:name="_Toc138474816"/>
      <w:bookmarkStart w:id="414" w:name="_Toc138734998"/>
      <w:bookmarkStart w:id="415" w:name="_Toc138735281"/>
      <w:bookmarkStart w:id="416" w:name="_Toc138735631"/>
      <w:bookmarkStart w:id="417" w:name="_Toc138759078"/>
      <w:bookmarkStart w:id="418" w:name="_Toc138828324"/>
      <w:bookmarkStart w:id="419" w:name="_Toc138844689"/>
      <w:bookmarkStart w:id="420" w:name="_Toc139079033"/>
      <w:bookmarkStart w:id="421" w:name="_Toc139082391"/>
      <w:bookmarkStart w:id="422" w:name="_Toc139084878"/>
      <w:bookmarkStart w:id="423" w:name="_Toc139086733"/>
      <w:bookmarkStart w:id="424" w:name="_Toc139087301"/>
      <w:bookmarkStart w:id="425" w:name="_Toc139087584"/>
      <w:bookmarkStart w:id="426" w:name="_Toc139087956"/>
      <w:bookmarkStart w:id="427" w:name="_Toc139088632"/>
      <w:bookmarkStart w:id="428" w:name="_Toc139088915"/>
      <w:bookmarkStart w:id="429" w:name="_Toc139091497"/>
      <w:bookmarkStart w:id="430" w:name="_Toc139092307"/>
      <w:bookmarkStart w:id="431" w:name="_Toc139094378"/>
      <w:bookmarkStart w:id="432" w:name="_Toc139095344"/>
      <w:bookmarkStart w:id="433" w:name="_Toc139096600"/>
      <w:bookmarkStart w:id="434" w:name="_Toc139097433"/>
      <w:bookmarkStart w:id="435" w:name="_Toc139099826"/>
      <w:bookmarkStart w:id="436" w:name="_Toc139101182"/>
      <w:bookmarkStart w:id="437" w:name="_Toc139101639"/>
      <w:bookmarkStart w:id="438" w:name="_Toc139101971"/>
      <w:bookmarkStart w:id="439" w:name="_Toc139102531"/>
      <w:bookmarkStart w:id="440" w:name="_Toc139103007"/>
      <w:bookmarkStart w:id="441" w:name="_Toc139174828"/>
      <w:bookmarkStart w:id="442" w:name="_Toc139176245"/>
      <w:bookmarkStart w:id="443" w:name="_Toc139177393"/>
      <w:bookmarkStart w:id="444" w:name="_Toc139180312"/>
      <w:bookmarkStart w:id="445" w:name="_Toc139181066"/>
      <w:bookmarkStart w:id="446" w:name="_Toc139182160"/>
      <w:bookmarkStart w:id="447" w:name="_Toc139190005"/>
      <w:bookmarkStart w:id="448" w:name="_Toc139190383"/>
      <w:bookmarkStart w:id="449" w:name="_Toc139190668"/>
      <w:bookmarkStart w:id="450" w:name="_Toc139190951"/>
      <w:bookmarkStart w:id="451" w:name="_Toc139263808"/>
      <w:bookmarkStart w:id="452" w:name="_Toc139277308"/>
      <w:bookmarkStart w:id="453" w:name="_Toc139336949"/>
      <w:bookmarkStart w:id="454" w:name="_Toc139342532"/>
      <w:bookmarkStart w:id="455" w:name="_Toc139345015"/>
      <w:bookmarkStart w:id="456" w:name="_Toc139345298"/>
      <w:bookmarkStart w:id="457" w:name="_Toc139346294"/>
      <w:bookmarkStart w:id="458" w:name="_Toc139347553"/>
      <w:bookmarkStart w:id="459" w:name="_Toc139355813"/>
      <w:bookmarkStart w:id="460" w:name="_Toc139444423"/>
      <w:bookmarkStart w:id="461" w:name="_Toc139445132"/>
      <w:bookmarkStart w:id="462" w:name="_Toc140548292"/>
      <w:bookmarkStart w:id="463" w:name="_Toc140554404"/>
      <w:bookmarkStart w:id="464" w:name="_Toc140560870"/>
      <w:bookmarkStart w:id="465" w:name="_Toc140561152"/>
      <w:bookmarkStart w:id="466" w:name="_Toc140561434"/>
      <w:bookmarkStart w:id="467" w:name="_Toc140651234"/>
      <w:bookmarkStart w:id="468" w:name="_Toc141071884"/>
      <w:bookmarkStart w:id="469" w:name="_Toc141147161"/>
      <w:bookmarkStart w:id="470" w:name="_Toc141148394"/>
      <w:bookmarkStart w:id="471" w:name="_Toc143332505"/>
      <w:bookmarkStart w:id="472" w:name="_Toc143492813"/>
      <w:bookmarkStart w:id="473" w:name="_Toc143505098"/>
      <w:bookmarkStart w:id="474" w:name="_Toc143654442"/>
      <w:bookmarkStart w:id="475" w:name="_Toc143911377"/>
      <w:bookmarkStart w:id="476" w:name="_Toc143914192"/>
      <w:bookmarkStart w:id="477" w:name="_Toc143917049"/>
      <w:bookmarkStart w:id="478" w:name="_Toc143934579"/>
      <w:bookmarkStart w:id="479" w:name="_Toc143934890"/>
      <w:bookmarkStart w:id="480" w:name="_Toc143936384"/>
      <w:bookmarkStart w:id="481" w:name="_Toc144005049"/>
      <w:bookmarkStart w:id="482" w:name="_Toc144010249"/>
      <w:bookmarkStart w:id="483" w:name="_Toc144014576"/>
      <w:bookmarkStart w:id="484" w:name="_Toc144016293"/>
      <w:bookmarkStart w:id="485" w:name="_Toc144016944"/>
      <w:bookmarkStart w:id="486" w:name="_Toc144017813"/>
      <w:bookmarkStart w:id="487" w:name="_Toc144021573"/>
      <w:bookmarkStart w:id="488" w:name="_Toc144022379"/>
      <w:bookmarkStart w:id="489" w:name="_Toc144023382"/>
      <w:bookmarkStart w:id="490" w:name="_Toc144088138"/>
      <w:bookmarkStart w:id="491" w:name="_Toc144090126"/>
      <w:bookmarkStart w:id="492" w:name="_Toc144102490"/>
      <w:bookmarkStart w:id="493" w:name="_Toc144187820"/>
      <w:bookmarkStart w:id="494" w:name="_Toc144200622"/>
      <w:bookmarkStart w:id="495" w:name="_Toc144201316"/>
      <w:bookmarkStart w:id="496" w:name="_Toc144259142"/>
      <w:bookmarkStart w:id="497" w:name="_Toc144262236"/>
      <w:bookmarkStart w:id="498" w:name="_Toc144607188"/>
      <w:bookmarkStart w:id="499" w:name="_Toc144607511"/>
      <w:bookmarkStart w:id="500" w:name="_Toc144608998"/>
      <w:bookmarkStart w:id="501" w:name="_Toc144611810"/>
      <w:bookmarkStart w:id="502" w:name="_Toc144617092"/>
      <w:bookmarkStart w:id="503" w:name="_Toc144775087"/>
      <w:bookmarkStart w:id="504" w:name="_Toc144788914"/>
      <w:bookmarkStart w:id="505" w:name="_Toc144792436"/>
      <w:bookmarkStart w:id="506" w:name="_Toc144792724"/>
      <w:bookmarkStart w:id="507" w:name="_Toc144793012"/>
      <w:bookmarkStart w:id="508" w:name="_Toc144798173"/>
      <w:bookmarkStart w:id="509" w:name="_Toc144798925"/>
      <w:bookmarkStart w:id="510" w:name="_Toc144880369"/>
      <w:bookmarkStart w:id="511" w:name="_Toc144881844"/>
      <w:bookmarkStart w:id="512" w:name="_Toc144882132"/>
      <w:bookmarkStart w:id="513" w:name="_Toc144883991"/>
      <w:bookmarkStart w:id="514" w:name="_Toc144884279"/>
      <w:bookmarkStart w:id="515" w:name="_Toc145124191"/>
      <w:bookmarkStart w:id="516" w:name="_Toc145135423"/>
      <w:bookmarkStart w:id="517" w:name="_Toc145136795"/>
      <w:bookmarkStart w:id="518" w:name="_Toc145142093"/>
      <w:bookmarkStart w:id="519" w:name="_Toc145147876"/>
      <w:bookmarkStart w:id="520" w:name="_Toc145208203"/>
      <w:bookmarkStart w:id="521" w:name="_Toc145208944"/>
      <w:bookmarkStart w:id="522" w:name="_Toc145209232"/>
      <w:bookmarkStart w:id="523" w:name="_Toc149542906"/>
      <w:bookmarkStart w:id="524" w:name="_Toc149544160"/>
      <w:bookmarkStart w:id="525" w:name="_Toc149545455"/>
      <w:bookmarkStart w:id="526" w:name="_Toc149545744"/>
      <w:bookmarkStart w:id="527" w:name="_Toc149546033"/>
      <w:bookmarkStart w:id="528" w:name="_Toc149546322"/>
      <w:bookmarkStart w:id="529" w:name="_Toc149546676"/>
      <w:bookmarkStart w:id="530" w:name="_Toc149547709"/>
      <w:bookmarkStart w:id="531" w:name="_Toc149562331"/>
      <w:bookmarkStart w:id="532" w:name="_Toc149562836"/>
      <w:bookmarkStart w:id="533" w:name="_Toc149563277"/>
      <w:bookmarkStart w:id="534" w:name="_Toc149563566"/>
      <w:bookmarkStart w:id="535" w:name="_Toc149642650"/>
      <w:bookmarkStart w:id="536" w:name="_Toc149643345"/>
      <w:bookmarkStart w:id="537" w:name="_Toc149643634"/>
      <w:bookmarkStart w:id="538" w:name="_Toc149644128"/>
      <w:bookmarkStart w:id="539" w:name="_Toc149644952"/>
      <w:bookmarkStart w:id="540" w:name="_Toc149717061"/>
      <w:bookmarkStart w:id="541" w:name="_Toc149957838"/>
      <w:bookmarkStart w:id="542" w:name="_Toc149958786"/>
      <w:bookmarkStart w:id="543" w:name="_Toc149959735"/>
      <w:bookmarkStart w:id="544" w:name="_Toc149961000"/>
      <w:bookmarkStart w:id="545" w:name="_Toc149961346"/>
      <w:bookmarkStart w:id="546" w:name="_Toc149961636"/>
      <w:bookmarkStart w:id="547" w:name="_Toc149962970"/>
      <w:bookmarkStart w:id="548" w:name="_Toc149978790"/>
      <w:bookmarkStart w:id="549" w:name="_Toc151431600"/>
      <w:bookmarkStart w:id="550" w:name="_Toc151860834"/>
      <w:bookmarkStart w:id="551" w:name="_Toc151965414"/>
      <w:bookmarkStart w:id="552" w:name="_Toc152404448"/>
      <w:bookmarkStart w:id="553" w:name="_Toc182887171"/>
      <w:bookmarkStart w:id="554" w:name="_Toc198710562"/>
      <w:r>
        <w:rPr>
          <w:rStyle w:val="CharSectno"/>
        </w:rPr>
        <w:t>162</w:t>
      </w:r>
      <w:r>
        <w:t>.</w:t>
      </w:r>
      <w:r>
        <w:tab/>
        <w:t>Consequential amendments</w:t>
      </w:r>
      <w:bookmarkEnd w:id="273"/>
      <w:bookmarkEnd w:id="274"/>
    </w:p>
    <w:p>
      <w:pPr>
        <w:pStyle w:val="nzSubsection"/>
      </w:pPr>
      <w:r>
        <w:tab/>
      </w:r>
      <w:r>
        <w:tab/>
        <w:t>Schedule 3 sets out consequential amendments.</w:t>
      </w:r>
    </w:p>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Pr>
        <w:pStyle w:val="MiscClose"/>
      </w:pPr>
      <w:r>
        <w:t>”.</w:t>
      </w:r>
    </w:p>
    <w:p>
      <w:pPr>
        <w:pStyle w:val="nzSubsection"/>
      </w:pPr>
      <w:r>
        <w:t>Schedule 3 cl. 29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555" w:name="_Toc65391742"/>
      <w:bookmarkStart w:id="556" w:name="_Toc123015273"/>
      <w:bookmarkStart w:id="557" w:name="_Toc198710591"/>
      <w:r>
        <w:rPr>
          <w:rStyle w:val="CharSClsNo"/>
        </w:rPr>
        <w:t>29</w:t>
      </w:r>
      <w:r>
        <w:t>.</w:t>
      </w:r>
      <w:r>
        <w:tab/>
      </w:r>
      <w:r>
        <w:rPr>
          <w:i/>
          <w:iCs/>
        </w:rPr>
        <w:t>Human Tissue and Transplant Act 1982</w:t>
      </w:r>
      <w:r>
        <w:t xml:space="preserve"> amended</w:t>
      </w:r>
      <w:bookmarkEnd w:id="555"/>
      <w:bookmarkEnd w:id="556"/>
      <w:bookmarkEnd w:id="557"/>
    </w:p>
    <w:p>
      <w:pPr>
        <w:pStyle w:val="nzSubsection"/>
      </w:pPr>
      <w:r>
        <w:tab/>
        <w:t>(1)</w:t>
      </w:r>
      <w:r>
        <w:tab/>
        <w:t xml:space="preserve">The amendments in this clause are to the </w:t>
      </w:r>
      <w:r>
        <w:rPr>
          <w:i/>
        </w:rPr>
        <w:t>Human Tissue and Transplant Act 1982</w:t>
      </w:r>
      <w:r>
        <w:t>.</w:t>
      </w:r>
    </w:p>
    <w:p>
      <w:pPr>
        <w:pStyle w:val="nzSubsection"/>
      </w:pPr>
      <w:r>
        <w:tab/>
        <w:t>(2)</w:t>
      </w:r>
      <w:r>
        <w:tab/>
        <w:t>Section 3(1) is amended in the definition of “medical practitioner” by deleting “</w:t>
      </w:r>
      <w:r>
        <w:rPr>
          <w:i/>
          <w:iCs/>
        </w:rPr>
        <w:t>Medical Act 1894</w:t>
      </w:r>
      <w:r>
        <w:t xml:space="preserve">;” and inserting instead — </w:t>
      </w:r>
    </w:p>
    <w:p>
      <w:pPr>
        <w:pStyle w:val="nzSubsection"/>
      </w:pPr>
      <w:r>
        <w:tab/>
      </w:r>
      <w:r>
        <w:tab/>
        <w:t xml:space="preserve">“    </w:t>
      </w:r>
      <w:r>
        <w:rPr>
          <w:i/>
          <w:iCs/>
        </w:rPr>
        <w:t>Medical Practitioners Act 2008</w:t>
      </w:r>
      <w:r>
        <w:t>;    ”.</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bookmarkStart w:id="558" w:name="UpToHere"/>
      <w:bookmarkEnd w:id="558"/>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6CA46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9EE90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E56E0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1A01F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7664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60EA6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F005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2282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F842DE2"/>
    <w:lvl w:ilvl="0">
      <w:start w:val="1"/>
      <w:numFmt w:val="decimal"/>
      <w:pStyle w:val="ListNumber"/>
      <w:lvlText w:val="%1."/>
      <w:lvlJc w:val="left"/>
      <w:pPr>
        <w:tabs>
          <w:tab w:val="num" w:pos="360"/>
        </w:tabs>
        <w:ind w:left="360" w:hanging="360"/>
      </w:pPr>
    </w:lvl>
  </w:abstractNum>
  <w:abstractNum w:abstractNumId="9">
    <w:nsid w:val="FFFFFF89"/>
    <w:multiLevelType w:val="singleLevel"/>
    <w:tmpl w:val="D292A3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92122C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E54082F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2F0F2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9748B3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8969</Words>
  <Characters>42159</Characters>
  <Application>Microsoft Office Word</Application>
  <DocSecurity>0</DocSecurity>
  <Lines>1139</Lines>
  <Paragraphs>601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1982 - 02-b0-04</dc:title>
  <dc:subject/>
  <dc:creator/>
  <cp:keywords/>
  <dc:description/>
  <cp:lastModifiedBy>svcMRProcess</cp:lastModifiedBy>
  <cp:revision>4</cp:revision>
  <cp:lastPrinted>2006-07-17T03:59:00Z</cp:lastPrinted>
  <dcterms:created xsi:type="dcterms:W3CDTF">2018-09-03T04:06:00Z</dcterms:created>
  <dcterms:modified xsi:type="dcterms:W3CDTF">2018-09-03T04:06:00Z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364</vt:i4>
  </property>
  <property fmtid="{D5CDD505-2E9C-101B-9397-08002B2CF9AE}" pid="6" name="ReprintNo">
    <vt:lpwstr>2</vt:lpwstr>
  </property>
  <property fmtid="{D5CDD505-2E9C-101B-9397-08002B2CF9AE}" pid="7" name="AsAtDate">
    <vt:lpwstr>27 May 2008</vt:lpwstr>
  </property>
  <property fmtid="{D5CDD505-2E9C-101B-9397-08002B2CF9AE}" pid="8" name="Suffix">
    <vt:lpwstr>02-b0-04</vt:lpwstr>
  </property>
</Properties>
</file>