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
        <w:spacing w:before="3760" w:after="4200"/>
      </w:pPr>
      <w:r>
        <w:rPr>
          <w:noProof/>
        </w:rPr>
        <w:t>Lotteries Commission (Super 66) Rules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_Toc200449668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_Toc200449669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_Toc200449670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_Toc200449672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_Toc200449673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_Toc200449674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_Toc200449675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_Toc200449676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_Toc200449677 \h </w:instrText>
      </w:r>
      <w:r>
        <w:fldChar w:fldCharType="separate"/>
      </w:r>
      <w:r>
        <w:t>8</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_Toc200449679 \h </w:instrText>
      </w:r>
      <w:r>
        <w:fldChar w:fldCharType="separate"/>
      </w:r>
      <w:r>
        <w:t>10</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_Toc200449680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_Toc200449681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_Toc200449682 \h </w:instrText>
      </w:r>
      <w:r>
        <w:fldChar w:fldCharType="separate"/>
      </w:r>
      <w:r>
        <w:t>10</w:t>
      </w:r>
      <w:r>
        <w:fldChar w:fldCharType="end"/>
      </w:r>
    </w:p>
    <w:p>
      <w:pPr>
        <w:pStyle w:val="TOC2"/>
        <w:tabs>
          <w:tab w:val="right" w:leader="do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_Toc200449684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Criteria for super 66 prizes</w:t>
      </w:r>
      <w:r>
        <w:tab/>
      </w:r>
      <w:r>
        <w:fldChar w:fldCharType="begin"/>
      </w:r>
      <w:r>
        <w:instrText xml:space="preserve"> PAGEREF _Toc200449685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_Toc200449686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_Toc200449687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Bonus draws and guaranteed prize pools</w:t>
      </w:r>
      <w:r>
        <w:tab/>
      </w:r>
      <w:r>
        <w:fldChar w:fldCharType="begin"/>
      </w:r>
      <w:r>
        <w:instrText xml:space="preserve"> PAGEREF _Toc200449688 \h </w:instrText>
      </w:r>
      <w:r>
        <w:fldChar w:fldCharType="separate"/>
      </w:r>
      <w:r>
        <w:t>14</w:t>
      </w:r>
      <w:r>
        <w:fldChar w:fldCharType="end"/>
      </w:r>
    </w:p>
    <w:p>
      <w:pPr>
        <w:pStyle w:val="TOC8"/>
        <w:rPr>
          <w:sz w:val="24"/>
          <w:szCs w:val="24"/>
        </w:rPr>
      </w:pPr>
      <w:r>
        <w:rPr>
          <w:szCs w:val="24"/>
        </w:rPr>
        <w:lastRenderedPageBreak/>
        <w:t>19</w:t>
      </w:r>
      <w:r>
        <w:rPr>
          <w:snapToGrid w:val="0"/>
          <w:szCs w:val="24"/>
        </w:rPr>
        <w:t>.</w:t>
      </w:r>
      <w:r>
        <w:rPr>
          <w:snapToGrid w:val="0"/>
          <w:szCs w:val="24"/>
        </w:rPr>
        <w:tab/>
        <w:t>Division 1 prizes</w:t>
      </w:r>
      <w:r>
        <w:tab/>
      </w:r>
      <w:r>
        <w:fldChar w:fldCharType="begin"/>
      </w:r>
      <w:r>
        <w:instrText xml:space="preserve"> PAGEREF _Toc200449689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_Toc200449690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_Toc200449691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_Toc200449692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_Toc200449693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_Toc200449694 \h </w:instrText>
      </w:r>
      <w:r>
        <w:fldChar w:fldCharType="separate"/>
      </w:r>
      <w:r>
        <w:t>18</w:t>
      </w:r>
      <w:r>
        <w:fldChar w:fldCharType="end"/>
      </w:r>
    </w:p>
    <w:p>
      <w:pPr>
        <w:pStyle w:val="TOC8"/>
        <w:rPr>
          <w:sz w:val="24"/>
          <w:szCs w:val="24"/>
        </w:rPr>
      </w:pPr>
      <w:r>
        <w:rPr>
          <w:szCs w:val="24"/>
        </w:rPr>
        <w:t>24A.</w:t>
      </w:r>
      <w:r>
        <w:rPr>
          <w:szCs w:val="24"/>
        </w:rPr>
        <w:tab/>
        <w:t>Player’s card holders may request direct credit of prizes</w:t>
      </w:r>
      <w:r>
        <w:tab/>
      </w:r>
      <w:r>
        <w:fldChar w:fldCharType="begin"/>
      </w:r>
      <w:r>
        <w:instrText xml:space="preserve"> PAGEREF _Toc200449695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_Toc200449697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_Toc200449698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_Toc200449699 \h </w:instrText>
      </w:r>
      <w:r>
        <w:fldChar w:fldCharType="separate"/>
      </w:r>
      <w:r>
        <w:t>20</w:t>
      </w:r>
      <w:r>
        <w:fldChar w:fldCharType="end"/>
      </w:r>
    </w:p>
    <w:p>
      <w:pPr>
        <w:pStyle w:val="TOC2"/>
        <w:tabs>
          <w:tab w:val="right" w:leader="dot" w:pos="7086"/>
        </w:tabs>
        <w:rPr>
          <w:b w:val="0"/>
          <w:sz w:val="24"/>
          <w:szCs w:val="24"/>
        </w:rPr>
      </w:pPr>
      <w:r>
        <w:rPr>
          <w:szCs w:val="28"/>
        </w:rPr>
        <w:t>Schedule 1 — Summary of parameters within which Super 66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_Toc200449702 \h </w:instrText>
      </w:r>
      <w:r>
        <w:fldChar w:fldCharType="separate"/>
      </w:r>
      <w:r>
        <w:t>22</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88360461"/>
      <w:bookmarkStart w:id="2" w:name="_Toc88447809"/>
      <w:bookmarkStart w:id="3" w:name="_Toc133390612"/>
      <w:bookmarkStart w:id="4" w:name="_Toc133390758"/>
      <w:bookmarkStart w:id="5" w:name="_Toc147224491"/>
      <w:bookmarkStart w:id="6" w:name="_Toc147289674"/>
      <w:bookmarkStart w:id="7" w:name="_Toc150241068"/>
      <w:bookmarkStart w:id="8" w:name="_Toc156967706"/>
      <w:bookmarkStart w:id="9" w:name="_Toc156978869"/>
      <w:bookmarkStart w:id="10" w:name="_Toc157830782"/>
      <w:bookmarkStart w:id="11" w:name="_Toc157831387"/>
      <w:bookmarkStart w:id="12" w:name="_Toc158430956"/>
      <w:bookmarkStart w:id="13" w:name="_Toc160612298"/>
      <w:bookmarkStart w:id="14" w:name="_Toc2004496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12074"/>
      <w:bookmarkStart w:id="16" w:name="_Toc5012367"/>
      <w:bookmarkStart w:id="17" w:name="_Toc43182275"/>
      <w:bookmarkStart w:id="18" w:name="_Toc133390613"/>
      <w:bookmarkStart w:id="19" w:name="_Toc200449668"/>
      <w:r>
        <w:rPr>
          <w:rStyle w:val="CharSectno"/>
        </w:rPr>
        <w:t>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20" w:name="_Toc5012075"/>
      <w:bookmarkStart w:id="21" w:name="_Toc5012368"/>
      <w:bookmarkStart w:id="22" w:name="_Toc43182276"/>
      <w:bookmarkStart w:id="23" w:name="_Toc133390614"/>
      <w:bookmarkStart w:id="24" w:name="_Toc200449669"/>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5" w:name="_Toc200449670"/>
      <w:r>
        <w:rPr>
          <w:rStyle w:val="CharSectno"/>
        </w:rPr>
        <w:t>3</w:t>
      </w:r>
      <w:r>
        <w:rPr>
          <w:snapToGrid w:val="0"/>
        </w:rPr>
        <w:t>.</w:t>
      </w:r>
      <w:r>
        <w:rPr>
          <w:snapToGrid w:val="0"/>
        </w:rPr>
        <w:tab/>
        <w:t>Terms used in these rules</w:t>
      </w:r>
      <w:bookmarkEnd w:id="25"/>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26" w:name="_Toc88360465"/>
      <w:bookmarkStart w:id="27" w:name="_Toc88447813"/>
      <w:bookmarkStart w:id="28" w:name="_Toc133390616"/>
      <w:bookmarkStart w:id="29" w:name="_Toc133390762"/>
      <w:bookmarkStart w:id="30" w:name="_Toc147224495"/>
      <w:bookmarkStart w:id="31" w:name="_Toc147289678"/>
      <w:bookmarkStart w:id="32" w:name="_Toc150241072"/>
      <w:bookmarkStart w:id="33" w:name="_Toc156967710"/>
      <w:bookmarkStart w:id="34" w:name="_Toc156978873"/>
      <w:bookmarkStart w:id="35" w:name="_Toc157830786"/>
      <w:bookmarkStart w:id="36" w:name="_Toc157831391"/>
      <w:bookmarkStart w:id="37" w:name="_Toc158430960"/>
      <w:bookmarkStart w:id="38" w:name="_Toc160612302"/>
      <w:bookmarkStart w:id="39" w:name="_Toc200449671"/>
      <w:r>
        <w:rPr>
          <w:rStyle w:val="CharPartNo"/>
        </w:rPr>
        <w:t>Part 2</w:t>
      </w:r>
      <w:r>
        <w:rPr>
          <w:rStyle w:val="CharDivNo"/>
        </w:rPr>
        <w:t> </w:t>
      </w:r>
      <w:r>
        <w:t>—</w:t>
      </w:r>
      <w:r>
        <w:rPr>
          <w:rStyle w:val="CharDivText"/>
        </w:rPr>
        <w:t> </w:t>
      </w:r>
      <w:r>
        <w:rPr>
          <w:rStyle w:val="CharPartText"/>
        </w:rPr>
        <w:t>Requirements for entry</w:t>
      </w:r>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012077"/>
      <w:bookmarkStart w:id="41" w:name="_Toc5012370"/>
      <w:bookmarkStart w:id="42" w:name="_Toc43182278"/>
      <w:bookmarkStart w:id="43" w:name="_Toc133390617"/>
      <w:bookmarkStart w:id="44" w:name="_Toc200449672"/>
      <w:r>
        <w:rPr>
          <w:rStyle w:val="CharSectno"/>
        </w:rPr>
        <w:t>4</w:t>
      </w:r>
      <w:r>
        <w:rPr>
          <w:snapToGrid w:val="0"/>
        </w:rPr>
        <w:t>.</w:t>
      </w:r>
      <w:r>
        <w:rPr>
          <w:snapToGrid w:val="0"/>
        </w:rPr>
        <w:tab/>
      </w:r>
      <w:bookmarkEnd w:id="40"/>
      <w:bookmarkEnd w:id="41"/>
      <w:bookmarkEnd w:id="42"/>
      <w:bookmarkEnd w:id="43"/>
      <w:r>
        <w:rPr>
          <w:snapToGrid w:val="0"/>
        </w:rPr>
        <w:t>Playslip</w:t>
      </w:r>
      <w:bookmarkEnd w:id="44"/>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45" w:name="_Toc5012078"/>
      <w:bookmarkStart w:id="46" w:name="_Toc5012371"/>
      <w:bookmarkStart w:id="47" w:name="_Toc43182279"/>
      <w:bookmarkStart w:id="48" w:name="_Toc133390618"/>
      <w:bookmarkStart w:id="49" w:name="_Toc200449673"/>
      <w:r>
        <w:rPr>
          <w:rStyle w:val="CharSectno"/>
        </w:rPr>
        <w:t>5</w:t>
      </w:r>
      <w:r>
        <w:rPr>
          <w:snapToGrid w:val="0"/>
        </w:rPr>
        <w:t>.</w:t>
      </w:r>
      <w:r>
        <w:rPr>
          <w:snapToGrid w:val="0"/>
        </w:rPr>
        <w:tab/>
        <w:t>Methods of entry</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w:t>
      </w:r>
      <w:r>
        <w:t xml:space="preserve">Oz lotto, </w:t>
      </w:r>
      <w:r>
        <w:rPr>
          <w:snapToGrid w:val="0"/>
        </w:rPr>
        <w:t xml:space="preserve">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A subscriber may choose to enter one, 2</w:t>
      </w:r>
      <w:r>
        <w:t xml:space="preserve"> or 5</w:t>
      </w:r>
      <w:r>
        <w:rPr>
          <w:snapToGrid w:val="0"/>
        </w:rPr>
        <w:t xml:space="preserve"> super 66 games as part of each </w:t>
      </w:r>
      <w:r>
        <w:t xml:space="preserve">oral request for an </w:t>
      </w:r>
      <w:r>
        <w:rPr>
          <w:snapToGrid w:val="0"/>
        </w:rPr>
        <w:t xml:space="preserve">entry in super 66.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w:t>
      </w:r>
      <w:r>
        <w:t>a playslip</w:t>
      </w:r>
      <w:r>
        <w:rPr>
          <w:snapToGrid w:val="0"/>
        </w:rPr>
        <w:t xml:space="preserve"> for Saturday lotto, </w:t>
      </w:r>
      <w:r>
        <w:t xml:space="preserve">Monday lotto, Wednesday lotto, Oz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Oz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w:t>
      </w:r>
    </w:p>
    <w:p>
      <w:pPr>
        <w:pStyle w:val="Heading5"/>
        <w:rPr>
          <w:snapToGrid w:val="0"/>
        </w:rPr>
      </w:pPr>
      <w:bookmarkStart w:id="50" w:name="_Toc5012079"/>
      <w:bookmarkStart w:id="51" w:name="_Toc5012372"/>
      <w:bookmarkStart w:id="52" w:name="_Toc43182280"/>
      <w:bookmarkStart w:id="53" w:name="_Toc133390619"/>
      <w:bookmarkStart w:id="54" w:name="_Toc200449674"/>
      <w:r>
        <w:rPr>
          <w:rStyle w:val="CharSectno"/>
        </w:rPr>
        <w:t>6</w:t>
      </w:r>
      <w:r>
        <w:rPr>
          <w:snapToGrid w:val="0"/>
        </w:rPr>
        <w:t>.</w:t>
      </w:r>
      <w:r>
        <w:rPr>
          <w:snapToGrid w:val="0"/>
        </w:rPr>
        <w:tab/>
        <w:t>Receipted tickets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w:t>
      </w:r>
    </w:p>
    <w:p>
      <w:pPr>
        <w:pStyle w:val="Heading5"/>
        <w:rPr>
          <w:snapToGrid w:val="0"/>
        </w:rPr>
      </w:pPr>
      <w:bookmarkStart w:id="55" w:name="_Toc5012080"/>
      <w:bookmarkStart w:id="56" w:name="_Toc5012373"/>
      <w:bookmarkStart w:id="57" w:name="_Toc43182281"/>
      <w:bookmarkStart w:id="58" w:name="_Toc133390620"/>
      <w:bookmarkStart w:id="59" w:name="_Toc200449675"/>
      <w:r>
        <w:rPr>
          <w:rStyle w:val="CharSectno"/>
        </w:rPr>
        <w:t>7</w:t>
      </w:r>
      <w:r>
        <w:rPr>
          <w:snapToGrid w:val="0"/>
        </w:rPr>
        <w:t>.</w:t>
      </w:r>
      <w:r>
        <w:rPr>
          <w:snapToGrid w:val="0"/>
        </w:rPr>
        <w:tab/>
        <w:t>Surrender of receipted ticket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w:t>
      </w:r>
    </w:p>
    <w:p>
      <w:pPr>
        <w:pStyle w:val="Heading5"/>
        <w:rPr>
          <w:snapToGrid w:val="0"/>
        </w:rPr>
      </w:pPr>
      <w:bookmarkStart w:id="60" w:name="_Toc5012081"/>
      <w:bookmarkStart w:id="61" w:name="_Toc5012374"/>
      <w:bookmarkStart w:id="62" w:name="_Toc43182282"/>
      <w:bookmarkStart w:id="63" w:name="_Toc133390621"/>
      <w:bookmarkStart w:id="64" w:name="_Toc200449676"/>
      <w:r>
        <w:rPr>
          <w:rStyle w:val="CharSectno"/>
        </w:rPr>
        <w:t>8</w:t>
      </w:r>
      <w:r>
        <w:rPr>
          <w:snapToGrid w:val="0"/>
        </w:rPr>
        <w:t>.</w:t>
      </w:r>
      <w:r>
        <w:rPr>
          <w:snapToGrid w:val="0"/>
        </w:rPr>
        <w:tab/>
        <w:t>Accuracy of receipted ticket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65" w:name="_Toc5012082"/>
      <w:bookmarkStart w:id="66" w:name="_Toc5012375"/>
      <w:bookmarkStart w:id="67" w:name="_Toc43182283"/>
      <w:bookmarkStart w:id="68" w:name="_Toc133390622"/>
      <w:bookmarkStart w:id="69" w:name="_Toc200449677"/>
      <w:r>
        <w:rPr>
          <w:rStyle w:val="CharSectno"/>
        </w:rPr>
        <w:t>9</w:t>
      </w:r>
      <w:r>
        <w:rPr>
          <w:snapToGrid w:val="0"/>
        </w:rPr>
        <w:t>.</w:t>
      </w:r>
      <w:r>
        <w:rPr>
          <w:snapToGrid w:val="0"/>
        </w:rPr>
        <w:tab/>
        <w:t>Validity of receipted ticket</w:t>
      </w:r>
      <w:bookmarkEnd w:id="65"/>
      <w:bookmarkEnd w:id="66"/>
      <w:bookmarkEnd w:id="67"/>
      <w:bookmarkEnd w:id="68"/>
      <w:bookmarkEnd w:id="69"/>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70" w:name="_Toc88360472"/>
      <w:bookmarkStart w:id="71" w:name="_Toc88447820"/>
      <w:bookmarkStart w:id="72" w:name="_Toc133390623"/>
      <w:bookmarkStart w:id="73" w:name="_Toc133390769"/>
      <w:bookmarkStart w:id="74" w:name="_Toc147224502"/>
      <w:bookmarkStart w:id="75" w:name="_Toc147289685"/>
      <w:bookmarkStart w:id="76" w:name="_Toc150241079"/>
      <w:bookmarkStart w:id="77" w:name="_Toc156967717"/>
      <w:bookmarkStart w:id="78" w:name="_Toc156978880"/>
      <w:bookmarkStart w:id="79" w:name="_Toc157830793"/>
      <w:bookmarkStart w:id="80" w:name="_Toc157831398"/>
      <w:bookmarkStart w:id="81" w:name="_Toc158430967"/>
      <w:bookmarkStart w:id="82" w:name="_Toc160612309"/>
      <w:bookmarkStart w:id="83" w:name="_Toc200449678"/>
      <w:r>
        <w:rPr>
          <w:rStyle w:val="CharPartNo"/>
        </w:rPr>
        <w:t>Part 3</w:t>
      </w:r>
      <w:r>
        <w:rPr>
          <w:rStyle w:val="CharDivNo"/>
        </w:rPr>
        <w:t> </w:t>
      </w:r>
      <w:r>
        <w:t>—</w:t>
      </w:r>
      <w:r>
        <w:rPr>
          <w:rStyle w:val="CharDivText"/>
        </w:rPr>
        <w:t> </w:t>
      </w:r>
      <w:r>
        <w:rPr>
          <w:rStyle w:val="CharPartText"/>
        </w:rPr>
        <w:t>General duties of Commission</w:t>
      </w:r>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5012083"/>
      <w:bookmarkStart w:id="85" w:name="_Toc5012376"/>
      <w:bookmarkStart w:id="86" w:name="_Toc43182284"/>
      <w:bookmarkStart w:id="87" w:name="_Toc133390624"/>
      <w:bookmarkStart w:id="88" w:name="_Toc200449679"/>
      <w:r>
        <w:rPr>
          <w:rStyle w:val="CharSectno"/>
        </w:rPr>
        <w:t>10</w:t>
      </w:r>
      <w:r>
        <w:rPr>
          <w:snapToGrid w:val="0"/>
        </w:rPr>
        <w:t>.</w:t>
      </w:r>
      <w:r>
        <w:rPr>
          <w:snapToGrid w:val="0"/>
        </w:rPr>
        <w:tab/>
        <w:t>Super 66 draws to be numbered</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89" w:name="_Toc5012084"/>
      <w:bookmarkStart w:id="90" w:name="_Toc5012377"/>
      <w:bookmarkStart w:id="91" w:name="_Toc43182285"/>
      <w:bookmarkStart w:id="92" w:name="_Toc133390625"/>
      <w:bookmarkStart w:id="93" w:name="_Toc200449680"/>
      <w:r>
        <w:rPr>
          <w:rStyle w:val="CharSectno"/>
        </w:rPr>
        <w:t>11</w:t>
      </w:r>
      <w:r>
        <w:t>.</w:t>
      </w:r>
      <w:r>
        <w:tab/>
        <w:t>Super 66 draws to be supervised</w:t>
      </w:r>
      <w:bookmarkEnd w:id="89"/>
      <w:bookmarkEnd w:id="90"/>
      <w:bookmarkEnd w:id="91"/>
      <w:bookmarkEnd w:id="92"/>
      <w:bookmarkEnd w:id="93"/>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94" w:name="_Toc5012085"/>
      <w:bookmarkStart w:id="95" w:name="_Toc5012378"/>
      <w:bookmarkStart w:id="96" w:name="_Toc43182286"/>
      <w:bookmarkStart w:id="97" w:name="_Toc133390626"/>
      <w:bookmarkStart w:id="98" w:name="_Toc200449681"/>
      <w:r>
        <w:rPr>
          <w:rStyle w:val="CharSectno"/>
        </w:rPr>
        <w:t>12</w:t>
      </w:r>
      <w:r>
        <w:rPr>
          <w:snapToGrid w:val="0"/>
        </w:rPr>
        <w:t>.</w:t>
      </w:r>
      <w:r>
        <w:rPr>
          <w:snapToGrid w:val="0"/>
        </w:rPr>
        <w:tab/>
        <w:t>Publication of results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99" w:name="_Toc5012086"/>
      <w:bookmarkStart w:id="100" w:name="_Toc5012379"/>
      <w:bookmarkStart w:id="101" w:name="_Toc43182287"/>
      <w:bookmarkStart w:id="102" w:name="_Toc133390627"/>
      <w:bookmarkStart w:id="103" w:name="_Toc200449682"/>
      <w:r>
        <w:rPr>
          <w:rStyle w:val="CharSectno"/>
        </w:rPr>
        <w:t>13</w:t>
      </w:r>
      <w:r>
        <w:rPr>
          <w:snapToGrid w:val="0"/>
        </w:rPr>
        <w:t>.</w:t>
      </w:r>
      <w:r>
        <w:rPr>
          <w:snapToGrid w:val="0"/>
        </w:rPr>
        <w:tab/>
        <w:t>Super 66 prize pool and prize reserve fund</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104" w:name="_Toc88360477"/>
      <w:bookmarkStart w:id="105" w:name="_Toc88447825"/>
      <w:bookmarkStart w:id="106" w:name="_Toc133390628"/>
      <w:bookmarkStart w:id="107" w:name="_Toc133390774"/>
      <w:bookmarkStart w:id="108" w:name="_Toc147224507"/>
      <w:bookmarkStart w:id="109" w:name="_Toc147289690"/>
      <w:bookmarkStart w:id="110" w:name="_Toc150241084"/>
      <w:bookmarkStart w:id="111" w:name="_Toc156967722"/>
      <w:bookmarkStart w:id="112" w:name="_Toc156978885"/>
      <w:bookmarkStart w:id="113" w:name="_Toc157830798"/>
      <w:bookmarkStart w:id="114" w:name="_Toc157831403"/>
      <w:bookmarkStart w:id="115" w:name="_Toc158430972"/>
      <w:bookmarkStart w:id="116" w:name="_Toc160612314"/>
      <w:bookmarkStart w:id="117" w:name="_Toc200449683"/>
      <w:r>
        <w:rPr>
          <w:rStyle w:val="CharPartNo"/>
        </w:rPr>
        <w:t>Part 4</w:t>
      </w:r>
      <w:r>
        <w:rPr>
          <w:rStyle w:val="CharDivNo"/>
        </w:rPr>
        <w:t> </w:t>
      </w:r>
      <w:r>
        <w:t>—</w:t>
      </w:r>
      <w:r>
        <w:rPr>
          <w:rStyle w:val="CharDivText"/>
        </w:rPr>
        <w:t> </w:t>
      </w:r>
      <w:r>
        <w:rPr>
          <w:rStyle w:val="CharPartText"/>
        </w:rPr>
        <w:t>Super 66 draw</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5012087"/>
      <w:bookmarkStart w:id="119" w:name="_Toc5012380"/>
      <w:bookmarkStart w:id="120" w:name="_Toc43182288"/>
      <w:bookmarkStart w:id="121" w:name="_Toc133390629"/>
      <w:bookmarkStart w:id="122" w:name="_Toc200449684"/>
      <w:r>
        <w:rPr>
          <w:rStyle w:val="CharSectno"/>
        </w:rPr>
        <w:t>14</w:t>
      </w:r>
      <w:r>
        <w:rPr>
          <w:snapToGrid w:val="0"/>
        </w:rPr>
        <w:t>.</w:t>
      </w:r>
      <w:r>
        <w:rPr>
          <w:snapToGrid w:val="0"/>
        </w:rPr>
        <w:tab/>
        <w:t>Super 66 draw</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23" w:name="_Toc5012088"/>
      <w:bookmarkStart w:id="124" w:name="_Toc5012381"/>
      <w:bookmarkStart w:id="125" w:name="_Toc43182289"/>
      <w:bookmarkStart w:id="126" w:name="_Toc133390630"/>
      <w:bookmarkStart w:id="127" w:name="_Toc200449685"/>
      <w:r>
        <w:rPr>
          <w:rStyle w:val="CharSectno"/>
        </w:rPr>
        <w:t>15</w:t>
      </w:r>
      <w:r>
        <w:rPr>
          <w:snapToGrid w:val="0"/>
        </w:rPr>
        <w:t>.</w:t>
      </w:r>
      <w:r>
        <w:rPr>
          <w:snapToGrid w:val="0"/>
        </w:rPr>
        <w:tab/>
        <w:t>Criteria for super 66 prizes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28" w:name="_Toc5012089"/>
      <w:bookmarkStart w:id="129" w:name="_Toc5012382"/>
      <w:bookmarkStart w:id="130" w:name="_Toc43182290"/>
      <w:bookmarkStart w:id="131" w:name="_Toc133390631"/>
      <w:bookmarkStart w:id="132" w:name="_Toc200449686"/>
      <w:r>
        <w:rPr>
          <w:rStyle w:val="CharSectno"/>
        </w:rPr>
        <w:t>16</w:t>
      </w:r>
      <w:r>
        <w:rPr>
          <w:snapToGrid w:val="0"/>
        </w:rPr>
        <w:t>.</w:t>
      </w:r>
      <w:r>
        <w:rPr>
          <w:snapToGrid w:val="0"/>
        </w:rPr>
        <w:tab/>
        <w:t>Distribution of prize pool</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33" w:name="_Toc5012090"/>
      <w:bookmarkStart w:id="134" w:name="_Toc5012383"/>
      <w:bookmarkStart w:id="135" w:name="_Toc43182291"/>
      <w:bookmarkStart w:id="136" w:name="_Toc133390632"/>
      <w:bookmarkStart w:id="137" w:name="_Toc200449687"/>
      <w:r>
        <w:rPr>
          <w:rStyle w:val="CharSectno"/>
        </w:rPr>
        <w:t>17</w:t>
      </w:r>
      <w:r>
        <w:rPr>
          <w:snapToGrid w:val="0"/>
        </w:rPr>
        <w:t>.</w:t>
      </w:r>
      <w:r>
        <w:rPr>
          <w:snapToGrid w:val="0"/>
        </w:rPr>
        <w:tab/>
        <w:t>Division 1 jackpot</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26th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138" w:name="_Toc5012091"/>
      <w:bookmarkStart w:id="139" w:name="_Toc5012384"/>
      <w:bookmarkStart w:id="140" w:name="_Toc43182292"/>
      <w:bookmarkStart w:id="141" w:name="_Toc133390633"/>
      <w:bookmarkStart w:id="142" w:name="_Toc200449688"/>
      <w:r>
        <w:rPr>
          <w:rStyle w:val="CharSectno"/>
        </w:rPr>
        <w:t>18</w:t>
      </w:r>
      <w:r>
        <w:rPr>
          <w:snapToGrid w:val="0"/>
        </w:rPr>
        <w:t>.</w:t>
      </w:r>
      <w:r>
        <w:rPr>
          <w:snapToGrid w:val="0"/>
        </w:rPr>
        <w:tab/>
        <w:t>Bonus draws and guaranteed prize pools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143" w:name="_Toc5012092"/>
      <w:bookmarkStart w:id="144" w:name="_Toc5012385"/>
      <w:bookmarkStart w:id="145" w:name="_Toc43182293"/>
      <w:bookmarkStart w:id="146" w:name="_Toc133390634"/>
      <w:bookmarkStart w:id="147" w:name="_Toc200449689"/>
      <w:r>
        <w:rPr>
          <w:rStyle w:val="CharSectno"/>
        </w:rPr>
        <w:t>19</w:t>
      </w:r>
      <w:r>
        <w:rPr>
          <w:snapToGrid w:val="0"/>
        </w:rPr>
        <w:t>.</w:t>
      </w:r>
      <w:r>
        <w:rPr>
          <w:snapToGrid w:val="0"/>
        </w:rPr>
        <w:tab/>
        <w:t>Division 1 prizes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w:t>
      </w:r>
    </w:p>
    <w:p>
      <w:pPr>
        <w:pStyle w:val="Heading5"/>
        <w:rPr>
          <w:snapToGrid w:val="0"/>
        </w:rPr>
      </w:pPr>
      <w:bookmarkStart w:id="148" w:name="_Toc5012093"/>
      <w:bookmarkStart w:id="149" w:name="_Toc5012386"/>
      <w:bookmarkStart w:id="150" w:name="_Toc43182294"/>
      <w:bookmarkStart w:id="151" w:name="_Toc133390635"/>
      <w:bookmarkStart w:id="152" w:name="_Toc200449690"/>
      <w:r>
        <w:rPr>
          <w:rStyle w:val="CharSectno"/>
        </w:rPr>
        <w:t>20</w:t>
      </w:r>
      <w:r>
        <w:rPr>
          <w:snapToGrid w:val="0"/>
        </w:rPr>
        <w:t>.</w:t>
      </w:r>
      <w:r>
        <w:rPr>
          <w:snapToGrid w:val="0"/>
        </w:rPr>
        <w:tab/>
        <w:t>Division 2 prizes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153" w:name="_Toc5012094"/>
      <w:bookmarkStart w:id="154" w:name="_Toc5012387"/>
      <w:bookmarkStart w:id="155" w:name="_Toc43182295"/>
      <w:bookmarkStart w:id="156" w:name="_Toc133390636"/>
      <w:r>
        <w:tab/>
        <w:t>[Rule 20 amended in Gazette 6 Jun 2008 p. 2352.]</w:t>
      </w:r>
    </w:p>
    <w:p>
      <w:pPr>
        <w:pStyle w:val="Heading5"/>
        <w:rPr>
          <w:snapToGrid w:val="0"/>
        </w:rPr>
      </w:pPr>
      <w:bookmarkStart w:id="157" w:name="_Toc200449691"/>
      <w:r>
        <w:rPr>
          <w:rStyle w:val="CharSectno"/>
        </w:rPr>
        <w:t>21</w:t>
      </w:r>
      <w:r>
        <w:rPr>
          <w:snapToGrid w:val="0"/>
        </w:rPr>
        <w:t>.</w:t>
      </w:r>
      <w:r>
        <w:rPr>
          <w:snapToGrid w:val="0"/>
        </w:rPr>
        <w:tab/>
        <w:t>Division 3, 4 and 5 prizes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158" w:name="_Toc5012095"/>
      <w:bookmarkStart w:id="159" w:name="_Toc5012388"/>
      <w:bookmarkStart w:id="160" w:name="_Toc43182296"/>
      <w:bookmarkStart w:id="161" w:name="_Toc133390637"/>
      <w:r>
        <w:tab/>
        <w:t>[Rule 21 amended in Gazette 6 Jun 2008 p. 2352.]</w:t>
      </w:r>
    </w:p>
    <w:p>
      <w:pPr>
        <w:pStyle w:val="Heading5"/>
        <w:rPr>
          <w:snapToGrid w:val="0"/>
        </w:rPr>
      </w:pPr>
      <w:bookmarkStart w:id="162" w:name="_Toc200449692"/>
      <w:r>
        <w:rPr>
          <w:rStyle w:val="CharSectno"/>
        </w:rPr>
        <w:t>22</w:t>
      </w:r>
      <w:r>
        <w:rPr>
          <w:snapToGrid w:val="0"/>
        </w:rPr>
        <w:t>.</w:t>
      </w:r>
      <w:r>
        <w:rPr>
          <w:snapToGrid w:val="0"/>
        </w:rPr>
        <w:tab/>
        <w:t>Commission may require a statutory declaration</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163" w:name="_Toc5012096"/>
      <w:bookmarkStart w:id="164" w:name="_Toc5012389"/>
      <w:bookmarkStart w:id="165" w:name="_Toc43182297"/>
      <w:bookmarkStart w:id="166" w:name="_Toc133390638"/>
      <w:bookmarkStart w:id="167" w:name="_Toc200449693"/>
      <w:r>
        <w:rPr>
          <w:rStyle w:val="CharSectno"/>
        </w:rPr>
        <w:t>23</w:t>
      </w:r>
      <w:r>
        <w:rPr>
          <w:snapToGrid w:val="0"/>
        </w:rPr>
        <w:t>.</w:t>
      </w:r>
      <w:r>
        <w:rPr>
          <w:snapToGrid w:val="0"/>
        </w:rPr>
        <w:tab/>
        <w:t>Publication of names and addresses of prize winners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68" w:name="_Toc5012097"/>
      <w:bookmarkStart w:id="169" w:name="_Toc5012390"/>
      <w:bookmarkStart w:id="170" w:name="_Toc43182298"/>
      <w:bookmarkStart w:id="171" w:name="_Toc133390639"/>
      <w:bookmarkStart w:id="172" w:name="_Toc200449694"/>
      <w:r>
        <w:rPr>
          <w:rStyle w:val="CharSectno"/>
        </w:rPr>
        <w:t>24</w:t>
      </w:r>
      <w:r>
        <w:rPr>
          <w:snapToGrid w:val="0"/>
        </w:rPr>
        <w:t>.</w:t>
      </w:r>
      <w:r>
        <w:rPr>
          <w:snapToGrid w:val="0"/>
        </w:rPr>
        <w:tab/>
        <w:t>Player Registration Service</w:t>
      </w:r>
      <w:bookmarkEnd w:id="168"/>
      <w:bookmarkEnd w:id="169"/>
      <w:bookmarkEnd w:id="170"/>
      <w:bookmarkEnd w:id="171"/>
      <w:bookmarkEnd w:id="172"/>
      <w:r>
        <w:rPr>
          <w:snapToGrid w:val="0"/>
        </w:rPr>
        <w:t xml:space="preserve"> </w:t>
      </w:r>
    </w:p>
    <w:p>
      <w:pPr>
        <w:pStyle w:val="Ednotesubsection"/>
      </w:pPr>
      <w:r>
        <w:tab/>
        <w:t>[(1)</w:t>
      </w:r>
      <w:r>
        <w:tab/>
        <w:t>repealed]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173" w:name="_Toc200449695"/>
      <w:bookmarkStart w:id="174" w:name="_Toc88360489"/>
      <w:bookmarkStart w:id="175" w:name="_Toc88447837"/>
      <w:bookmarkStart w:id="176" w:name="_Toc133390640"/>
      <w:bookmarkStart w:id="177" w:name="_Toc133390786"/>
      <w:bookmarkStart w:id="178" w:name="_Toc147224519"/>
      <w:bookmarkStart w:id="179" w:name="_Toc147289702"/>
      <w:bookmarkStart w:id="180" w:name="_Toc150241096"/>
      <w:bookmarkStart w:id="181" w:name="_Toc156967734"/>
      <w:bookmarkStart w:id="182" w:name="_Toc156978897"/>
      <w:bookmarkStart w:id="183" w:name="_Toc157830810"/>
      <w:bookmarkStart w:id="184" w:name="_Toc157831415"/>
      <w:bookmarkStart w:id="185" w:name="_Toc158430984"/>
      <w:bookmarkStart w:id="186" w:name="_Toc160612326"/>
      <w:r>
        <w:rPr>
          <w:rStyle w:val="CharSectno"/>
        </w:rPr>
        <w:t>24A</w:t>
      </w:r>
      <w:r>
        <w:t>.</w:t>
      </w:r>
      <w:r>
        <w:tab/>
        <w:t>Player’s card holders may request direct credit of prizes</w:t>
      </w:r>
      <w:bookmarkEnd w:id="17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187" w:name="_Toc200449696"/>
      <w:r>
        <w:rPr>
          <w:rStyle w:val="CharPartNo"/>
        </w:rPr>
        <w:t>Part 5</w:t>
      </w:r>
      <w:r>
        <w:rPr>
          <w:rStyle w:val="CharDivNo"/>
        </w:rPr>
        <w:t> </w:t>
      </w:r>
      <w:r>
        <w:t>—</w:t>
      </w:r>
      <w:r>
        <w:rPr>
          <w:rStyle w:val="CharDivText"/>
        </w:rPr>
        <w:t> </w:t>
      </w:r>
      <w:r>
        <w:rPr>
          <w:rStyle w:val="CharPartText"/>
        </w:rPr>
        <w:t>Miscellaneous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5012098"/>
      <w:bookmarkStart w:id="189" w:name="_Toc5012391"/>
      <w:bookmarkStart w:id="190" w:name="_Toc43182299"/>
      <w:bookmarkStart w:id="191" w:name="_Toc133390641"/>
      <w:bookmarkStart w:id="192" w:name="_Toc200449697"/>
      <w:r>
        <w:rPr>
          <w:rStyle w:val="CharSectno"/>
        </w:rPr>
        <w:t>25</w:t>
      </w:r>
      <w:r>
        <w:rPr>
          <w:snapToGrid w:val="0"/>
        </w:rPr>
        <w:t>.</w:t>
      </w:r>
      <w:r>
        <w:rPr>
          <w:snapToGrid w:val="0"/>
        </w:rPr>
        <w:tab/>
        <w:t>Instructions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bookmarkStart w:id="193" w:name="_Toc5012099"/>
      <w:bookmarkStart w:id="194" w:name="_Toc5012392"/>
      <w:bookmarkStart w:id="195" w:name="_Toc43182300"/>
      <w:bookmarkStart w:id="196" w:name="_Toc133390642"/>
      <w:r>
        <w:tab/>
        <w:t>[Rule 25 amended in Gazette 6 Jun 2008 p. 2354.]</w:t>
      </w:r>
    </w:p>
    <w:p>
      <w:pPr>
        <w:pStyle w:val="Heading5"/>
        <w:rPr>
          <w:snapToGrid w:val="0"/>
        </w:rPr>
      </w:pPr>
      <w:bookmarkStart w:id="197" w:name="_Toc200449698"/>
      <w:r>
        <w:rPr>
          <w:rStyle w:val="CharSectno"/>
        </w:rPr>
        <w:t>26</w:t>
      </w:r>
      <w:r>
        <w:rPr>
          <w:snapToGrid w:val="0"/>
        </w:rPr>
        <w:t>.</w:t>
      </w:r>
      <w:r>
        <w:rPr>
          <w:snapToGrid w:val="0"/>
        </w:rPr>
        <w:tab/>
        <w:t>Rules to be made available</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8" w:name="_Toc5012100"/>
      <w:bookmarkStart w:id="199" w:name="_Toc5012393"/>
      <w:bookmarkStart w:id="200" w:name="_Toc43182301"/>
      <w:bookmarkStart w:id="201" w:name="_Toc133390643"/>
      <w:bookmarkStart w:id="202" w:name="_Toc200449699"/>
      <w:r>
        <w:rPr>
          <w:rStyle w:val="CharSectno"/>
        </w:rPr>
        <w:t>27</w:t>
      </w:r>
      <w:r>
        <w:rPr>
          <w:snapToGrid w:val="0"/>
        </w:rPr>
        <w:t>.</w:t>
      </w:r>
      <w:r>
        <w:rPr>
          <w:snapToGrid w:val="0"/>
        </w:rPr>
        <w:tab/>
        <w:t>Decisions of Commission final</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r>
        <w:t>[Part 7 repealed in Gazette 3 Nov 2006 p. 4661.]</w:t>
      </w:r>
    </w:p>
    <w:p>
      <w:pPr>
        <w:pStyle w:val="yScheduleHeading"/>
      </w:pPr>
      <w:bookmarkStart w:id="203" w:name="_Toc5012397"/>
      <w:bookmarkStart w:id="204" w:name="_Toc43182305"/>
      <w:bookmarkStart w:id="205" w:name="_Toc133390646"/>
      <w:bookmarkStart w:id="206" w:name="_Toc133390792"/>
      <w:bookmarkStart w:id="207" w:name="_Toc147224525"/>
      <w:bookmarkStart w:id="208" w:name="_Toc147289708"/>
      <w:bookmarkStart w:id="209" w:name="_Toc150241102"/>
      <w:bookmarkStart w:id="210" w:name="_Toc156967740"/>
      <w:bookmarkStart w:id="211" w:name="_Toc156978901"/>
      <w:bookmarkStart w:id="212" w:name="_Toc157830814"/>
      <w:bookmarkStart w:id="213" w:name="_Toc157831419"/>
      <w:bookmarkStart w:id="214" w:name="_Toc158430988"/>
      <w:bookmarkStart w:id="215" w:name="_Toc160612330"/>
      <w:bookmarkStart w:id="216" w:name="_Toc200449700"/>
      <w:r>
        <w:rPr>
          <w:rStyle w:val="CharSchNo"/>
        </w:rPr>
        <w:t>Schedule 1</w:t>
      </w:r>
      <w:r>
        <w:t> — </w:t>
      </w:r>
      <w:r>
        <w:rPr>
          <w:rStyle w:val="CharSchText"/>
        </w:rPr>
        <w:t>Summary of parameters within which Super 66 is conducted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or 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7" w:name="_Toc88360496"/>
      <w:bookmarkStart w:id="218" w:name="_Toc88447844"/>
      <w:bookmarkStart w:id="219" w:name="_Toc133390647"/>
      <w:bookmarkStart w:id="220" w:name="_Toc133390793"/>
      <w:bookmarkStart w:id="221" w:name="_Toc147224526"/>
      <w:bookmarkStart w:id="222" w:name="_Toc147289709"/>
      <w:bookmarkStart w:id="223" w:name="_Toc150241103"/>
      <w:bookmarkStart w:id="224" w:name="_Toc156967741"/>
      <w:bookmarkStart w:id="225" w:name="_Toc156978902"/>
      <w:bookmarkStart w:id="226" w:name="_Toc157830815"/>
      <w:bookmarkStart w:id="227" w:name="_Toc157831420"/>
      <w:bookmarkStart w:id="228" w:name="_Toc158430989"/>
      <w:bookmarkStart w:id="229" w:name="_Toc160612331"/>
      <w:bookmarkStart w:id="230" w:name="_Toc200449701"/>
      <w:r>
        <w:t>Notes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31" w:name="_Toc200449702"/>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r>
        <w:tc>
          <w:tcPr>
            <w:tcW w:w="3118" w:type="dxa"/>
            <w:tcBorders>
              <w:bottom w:val="single" w:sz="4" w:space="0" w:color="auto"/>
            </w:tcBorders>
          </w:tcPr>
          <w:p>
            <w:pPr>
              <w:pStyle w:val="nTable"/>
              <w:spacing w:after="40"/>
              <w:rPr>
                <w:sz w:val="19"/>
              </w:rPr>
            </w:pPr>
            <w:r>
              <w:rPr>
                <w:i/>
                <w:sz w:val="19"/>
              </w:rPr>
              <w:t>Lotteries Commis</w:t>
            </w:r>
            <w:bookmarkStart w:id="232" w:name="UpToHere"/>
            <w:bookmarkEnd w:id="232"/>
            <w:r>
              <w:rPr>
                <w:i/>
                <w:sz w:val="19"/>
              </w:rPr>
              <w:t>sion (Super 66) Amendment Rules 2008</w:t>
            </w:r>
            <w:r>
              <w:rPr>
                <w:sz w:val="19"/>
              </w:rPr>
              <w:t xml:space="preserve"> </w:t>
            </w:r>
          </w:p>
        </w:tc>
        <w:tc>
          <w:tcPr>
            <w:tcW w:w="1276" w:type="dxa"/>
            <w:tcBorders>
              <w:bottom w:val="single" w:sz="4" w:space="0" w:color="auto"/>
            </w:tcBorders>
          </w:tcPr>
          <w:p>
            <w:pPr>
              <w:pStyle w:val="nTable"/>
              <w:spacing w:after="40"/>
              <w:rPr>
                <w:sz w:val="19"/>
              </w:rPr>
            </w:pPr>
            <w:r>
              <w:rPr>
                <w:sz w:val="19"/>
              </w:rPr>
              <w:t>6 Jun 2008 p. 2347-54</w:t>
            </w:r>
          </w:p>
        </w:tc>
        <w:tc>
          <w:tcPr>
            <w:tcW w:w="2693" w:type="dxa"/>
            <w:tcBorders>
              <w:bottom w:val="single" w:sz="4" w:space="0" w:color="auto"/>
            </w:tcBorders>
          </w:tcPr>
          <w:p>
            <w:pPr>
              <w:pStyle w:val="nTable"/>
              <w:spacing w:after="40"/>
              <w:rPr>
                <w:sz w:val="19"/>
              </w:rPr>
            </w:pPr>
            <w:r>
              <w:rPr>
                <w:sz w:val="19"/>
              </w:rPr>
              <w:t>r. 1 and 2: 6 Jun 2008 (see r. 2(a));</w:t>
            </w:r>
          </w:p>
          <w:p>
            <w:pPr>
              <w:pStyle w:val="nTable"/>
              <w:spacing w:before="0" w:after="40"/>
              <w:rPr>
                <w:sz w:val="19"/>
              </w:rPr>
            </w:pPr>
            <w:r>
              <w:rPr>
                <w:sz w:val="19"/>
              </w:rPr>
              <w:t>Rules other than r. 1 and 2: 8 Jun 2008 (see r. 2(b))</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Summary of parameters within which Super 66 is conducted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08"/>
    <w:docVar w:name="WAFER_20151208100008" w:val="RemoveTrackChanges"/>
    <w:docVar w:name="WAFER_20151208100008_GUID" w:val="8345771b-6a94-4353-9ee8-e55ed12c79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5254</Words>
  <Characters>23643</Characters>
  <Application>Microsoft Office Word</Application>
  <DocSecurity>0</DocSecurity>
  <Lines>716</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28453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1996 - 02-b0-04</dc:title>
  <dc:subject/>
  <dc:creator/>
  <cp:keywords/>
  <dc:description/>
  <cp:lastModifiedBy>svcMRProcess</cp:lastModifiedBy>
  <cp:revision>4</cp:revision>
  <cp:lastPrinted>2007-02-05T04:52:00Z</cp:lastPrinted>
  <dcterms:created xsi:type="dcterms:W3CDTF">2015-12-10T08:37:00Z</dcterms:created>
  <dcterms:modified xsi:type="dcterms:W3CDTF">2015-12-10T08:37:00Z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AsAtDate">
    <vt:lpwstr>08 Jun 2008</vt:lpwstr>
  </property>
  <property fmtid="{D5CDD505-2E9C-101B-9397-08002B2CF9AE}" pid="8" name="Suffix">
    <vt:lpwstr>02-b0-04</vt:lpwstr>
  </property>
</Properties>
</file>