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CEF" w:rsidRDefault="008D59D4">
      <w:pPr>
        <w:pStyle w:val="WA"/>
      </w:pPr>
      <w:bookmarkStart w:id="0" w:name="UpToHere"/>
      <w:bookmarkStart w:id="1" w:name="_GoBack"/>
      <w:bookmarkEnd w:id="0"/>
      <w:bookmarkEnd w:id="1"/>
      <w:r>
        <w:t>Western Australia</w:t>
      </w:r>
    </w:p>
    <w:p w:rsidR="00542CEF" w:rsidRDefault="008D59D4">
      <w:pPr>
        <w:pStyle w:val="NameofActRegPage1"/>
        <w:spacing w:before="3760" w:after="4200"/>
      </w:pPr>
      <w:r>
        <w:fldChar w:fldCharType="begin"/>
      </w:r>
      <w:r>
        <w:instrText xml:space="preserve"> STYLEREF "Name Of Act/Reg"</w:instrText>
      </w:r>
      <w:r>
        <w:fldChar w:fldCharType="separate"/>
      </w:r>
      <w:r w:rsidR="00506B56">
        <w:rPr>
          <w:noProof/>
        </w:rPr>
        <w:t>Road Traffic (Miscellaneous) Regulations 2008</w:t>
      </w:r>
      <w:r>
        <w:fldChar w:fldCharType="end"/>
      </w:r>
    </w:p>
    <w:p w:rsidR="00542CEF" w:rsidRDefault="00542CEF">
      <w:pPr>
        <w:jc w:val="center"/>
        <w:rPr>
          <w:b/>
        </w:rPr>
        <w:sectPr w:rsidR="00542CEF">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542CEF" w:rsidRDefault="008D59D4">
      <w:pPr>
        <w:pStyle w:val="WA"/>
      </w:pPr>
      <w:r>
        <w:lastRenderedPageBreak/>
        <w:t>Western Australia</w:t>
      </w:r>
    </w:p>
    <w:p w:rsidR="00542CEF" w:rsidRDefault="008D59D4">
      <w:pPr>
        <w:pStyle w:val="NameofActRegPage1"/>
      </w:pPr>
      <w:r>
        <w:fldChar w:fldCharType="begin"/>
      </w:r>
      <w:r>
        <w:instrText xml:space="preserve"> STYLEREF "Name Of Act/Reg"</w:instrText>
      </w:r>
      <w:r>
        <w:fldChar w:fldCharType="separate"/>
      </w:r>
      <w:r w:rsidR="00506B56">
        <w:rPr>
          <w:noProof/>
        </w:rPr>
        <w:t>Road Traffic (Miscellaneous) Regulations 2008</w:t>
      </w:r>
      <w:r>
        <w:fldChar w:fldCharType="end"/>
      </w:r>
    </w:p>
    <w:p w:rsidR="00542CEF" w:rsidRDefault="008D59D4">
      <w:pPr>
        <w:pStyle w:val="Arrangement"/>
      </w:pPr>
      <w:r>
        <w:t>CONTENTS</w:t>
      </w:r>
    </w:p>
    <w:p w:rsidR="00542CEF" w:rsidRDefault="008D59D4">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542CEF" w:rsidRDefault="008D59D4">
      <w:pPr>
        <w:pStyle w:val="TOC8"/>
        <w:rPr>
          <w:sz w:val="24"/>
          <w:szCs w:val="24"/>
        </w:rPr>
      </w:pPr>
      <w:r>
        <w:rPr>
          <w:szCs w:val="24"/>
        </w:rPr>
        <w:t>1.</w:t>
      </w:r>
      <w:r>
        <w:rPr>
          <w:szCs w:val="24"/>
        </w:rPr>
        <w:tab/>
        <w:t>Citation</w:t>
      </w:r>
      <w:r>
        <w:tab/>
      </w:r>
      <w:r>
        <w:fldChar w:fldCharType="begin"/>
      </w:r>
      <w:r>
        <w:instrText xml:space="preserve"> PAGEREF _Toc200959553 \h </w:instrText>
      </w:r>
      <w:r>
        <w:fldChar w:fldCharType="separate"/>
      </w:r>
      <w:r w:rsidR="00506B56">
        <w:t>1</w:t>
      </w:r>
      <w:r>
        <w:fldChar w:fldCharType="end"/>
      </w:r>
    </w:p>
    <w:p w:rsidR="00542CEF" w:rsidRDefault="008D59D4">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_Toc200959554 \h </w:instrText>
      </w:r>
      <w:r>
        <w:fldChar w:fldCharType="separate"/>
      </w:r>
      <w:r w:rsidR="00506B56">
        <w:t>1</w:t>
      </w:r>
      <w:r>
        <w:fldChar w:fldCharType="end"/>
      </w:r>
    </w:p>
    <w:p w:rsidR="00542CEF" w:rsidRDefault="008D59D4">
      <w:pPr>
        <w:pStyle w:val="TOC2"/>
        <w:tabs>
          <w:tab w:val="right" w:leader="dot" w:pos="7086"/>
        </w:tabs>
        <w:rPr>
          <w:b w:val="0"/>
          <w:sz w:val="24"/>
          <w:szCs w:val="24"/>
        </w:rPr>
      </w:pPr>
      <w:r>
        <w:rPr>
          <w:szCs w:val="26"/>
        </w:rPr>
        <w:t>Notes</w:t>
      </w:r>
    </w:p>
    <w:p w:rsidR="00542CEF" w:rsidRDefault="008D59D4">
      <w:pPr>
        <w:pStyle w:val="TOC8"/>
        <w:rPr>
          <w:sz w:val="24"/>
          <w:szCs w:val="24"/>
        </w:rPr>
      </w:pPr>
      <w:r>
        <w:rPr>
          <w:szCs w:val="24"/>
        </w:rPr>
        <w:tab/>
        <w:t>Compilation table</w:t>
      </w:r>
      <w:r>
        <w:tab/>
      </w:r>
      <w:r>
        <w:fldChar w:fldCharType="begin"/>
      </w:r>
      <w:r>
        <w:instrText xml:space="preserve"> PAGEREF _Toc200959556 \h </w:instrText>
      </w:r>
      <w:r>
        <w:fldChar w:fldCharType="separate"/>
      </w:r>
      <w:r w:rsidR="00506B56">
        <w:t>2</w:t>
      </w:r>
      <w:r>
        <w:fldChar w:fldCharType="end"/>
      </w:r>
    </w:p>
    <w:p w:rsidR="00542CEF" w:rsidRDefault="008D59D4">
      <w:pPr>
        <w:pStyle w:val="TOC8"/>
        <w:rPr>
          <w:sz w:val="24"/>
        </w:rPr>
      </w:pPr>
      <w:r>
        <w:rPr>
          <w:snapToGrid w:val="0"/>
        </w:rPr>
        <w:tab/>
        <w:t>Provisions that have not come into operation</w:t>
      </w:r>
      <w:r>
        <w:tab/>
      </w:r>
      <w:r>
        <w:fldChar w:fldCharType="begin"/>
      </w:r>
      <w:r>
        <w:instrText xml:space="preserve"> PAGEREF _Toc200959557 \h </w:instrText>
      </w:r>
      <w:r>
        <w:fldChar w:fldCharType="separate"/>
      </w:r>
      <w:r w:rsidR="00506B56">
        <w:t>2</w:t>
      </w:r>
      <w:r>
        <w:fldChar w:fldCharType="end"/>
      </w:r>
    </w:p>
    <w:p w:rsidR="00542CEF" w:rsidRDefault="008D59D4">
      <w:pPr>
        <w:pStyle w:val="TOC8"/>
      </w:pPr>
      <w:r>
        <w:fldChar w:fldCharType="end"/>
      </w:r>
    </w:p>
    <w:p w:rsidR="00542CEF" w:rsidRDefault="008D59D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542CEF" w:rsidRDefault="00542CEF">
      <w:pPr>
        <w:pStyle w:val="NoteHeading"/>
        <w:sectPr w:rsidR="00542CEF">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542CEF" w:rsidRDefault="008D59D4">
      <w:pPr>
        <w:pStyle w:val="WA"/>
      </w:pPr>
      <w:r>
        <w:t>Western Australia</w:t>
      </w:r>
    </w:p>
    <w:p w:rsidR="00542CEF" w:rsidRDefault="008D59D4">
      <w:pPr>
        <w:pStyle w:val="PrincipalActReg"/>
      </w:pPr>
      <w:r>
        <w:t>Road Traffic Act 1974</w:t>
      </w:r>
    </w:p>
    <w:p w:rsidR="00542CEF" w:rsidRDefault="008D59D4">
      <w:pPr>
        <w:pStyle w:val="NameofActReg"/>
        <w:spacing w:before="360" w:after="480"/>
      </w:pPr>
      <w:r>
        <w:t>Road Traffic (Miscellaneous) Regulations 2008</w:t>
      </w:r>
    </w:p>
    <w:p w:rsidR="00542CEF" w:rsidRDefault="008D59D4">
      <w:pPr>
        <w:pStyle w:val="Heading2"/>
        <w:pageBreakBefore w:val="0"/>
        <w:spacing w:before="240"/>
        <w:rPr>
          <w:rStyle w:val="CharPartText"/>
        </w:rPr>
      </w:pPr>
      <w:bookmarkStart w:id="2" w:name="_Toc191461631"/>
      <w:bookmarkStart w:id="3" w:name="_Toc195507018"/>
      <w:bookmarkStart w:id="4" w:name="_Toc195590124"/>
      <w:bookmarkStart w:id="5" w:name="_Toc195785237"/>
      <w:bookmarkStart w:id="6" w:name="_Toc195785256"/>
      <w:bookmarkStart w:id="7" w:name="_Toc195795987"/>
      <w:bookmarkStart w:id="8" w:name="_Toc196882968"/>
      <w:bookmarkStart w:id="9" w:name="_Toc196883308"/>
      <w:bookmarkStart w:id="10" w:name="_Toc197505774"/>
      <w:bookmarkStart w:id="11" w:name="_Toc197762613"/>
      <w:bookmarkStart w:id="12" w:name="_Toc197763946"/>
      <w:bookmarkStart w:id="13" w:name="_Toc197764076"/>
      <w:bookmarkStart w:id="14" w:name="_Toc197764305"/>
      <w:bookmarkStart w:id="15" w:name="_Toc197764976"/>
      <w:bookmarkStart w:id="16" w:name="_Toc197942870"/>
      <w:bookmarkStart w:id="17" w:name="_Toc197943570"/>
      <w:bookmarkStart w:id="18" w:name="_Toc198002935"/>
      <w:bookmarkStart w:id="19" w:name="_Toc198003421"/>
      <w:bookmarkStart w:id="20" w:name="_Toc198003563"/>
      <w:bookmarkStart w:id="21" w:name="_Toc198003583"/>
      <w:bookmarkStart w:id="22" w:name="_Toc198003874"/>
      <w:bookmarkStart w:id="23" w:name="_Toc198088750"/>
      <w:bookmarkStart w:id="24" w:name="_Toc198090475"/>
      <w:bookmarkStart w:id="25" w:name="_Toc198090750"/>
      <w:bookmarkStart w:id="26" w:name="_Toc198090791"/>
      <w:bookmarkStart w:id="27" w:name="_Toc198090839"/>
      <w:bookmarkStart w:id="28" w:name="_Toc198464841"/>
      <w:bookmarkStart w:id="29" w:name="_Toc200768495"/>
      <w:bookmarkStart w:id="30" w:name="_Toc200950597"/>
      <w:bookmarkStart w:id="31" w:name="_Toc200959552"/>
      <w:r>
        <w:rPr>
          <w:rStyle w:val="CharPartNo"/>
        </w:rPr>
        <w:t>Part 1</w:t>
      </w:r>
      <w:r>
        <w:rPr>
          <w:rStyle w:val="CharDivNo"/>
        </w:rPr>
        <w:t> </w:t>
      </w:r>
      <w:r>
        <w:t>—</w:t>
      </w:r>
      <w:r>
        <w:rPr>
          <w:rStyle w:val="CharDivText"/>
        </w:rPr>
        <w:t> 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542CEF" w:rsidRDefault="008D59D4">
      <w:pPr>
        <w:pStyle w:val="Heading5"/>
      </w:pPr>
      <w:bookmarkStart w:id="32" w:name="_Toc198464842"/>
      <w:bookmarkStart w:id="33" w:name="_Toc200959553"/>
      <w:r>
        <w:rPr>
          <w:rStyle w:val="CharSectno"/>
        </w:rPr>
        <w:t>1</w:t>
      </w:r>
      <w:r>
        <w:t>.</w:t>
      </w:r>
      <w:r>
        <w:tab/>
        <w:t>Citation</w:t>
      </w:r>
      <w:bookmarkEnd w:id="32"/>
      <w:bookmarkEnd w:id="33"/>
    </w:p>
    <w:p w:rsidR="00542CEF" w:rsidRDefault="008D59D4">
      <w:pPr>
        <w:pStyle w:val="Subsection"/>
        <w:rPr>
          <w:i/>
        </w:rPr>
      </w:pPr>
      <w:r>
        <w:tab/>
      </w:r>
      <w:r>
        <w:tab/>
      </w:r>
      <w:bookmarkStart w:id="34" w:name="Start_Cursor"/>
      <w:bookmarkEnd w:id="34"/>
      <w:r>
        <w:rPr>
          <w:spacing w:val="-2"/>
        </w:rPr>
        <w:t>These</w:t>
      </w:r>
      <w:r>
        <w:t xml:space="preserve"> </w:t>
      </w:r>
      <w:r>
        <w:rPr>
          <w:spacing w:val="-2"/>
        </w:rPr>
        <w:t>regulations</w:t>
      </w:r>
      <w:r>
        <w:t xml:space="preserve"> are the </w:t>
      </w:r>
      <w:r>
        <w:rPr>
          <w:i/>
        </w:rPr>
        <w:t>Road Traffic (Miscellaneous) Regulations 2008</w:t>
      </w:r>
      <w:r>
        <w:t>.</w:t>
      </w:r>
    </w:p>
    <w:p w:rsidR="00542CEF" w:rsidRDefault="008D59D4">
      <w:pPr>
        <w:pStyle w:val="Heading5"/>
        <w:rPr>
          <w:spacing w:val="-2"/>
        </w:rPr>
      </w:pPr>
      <w:bookmarkStart w:id="35" w:name="_Toc198464843"/>
      <w:bookmarkStart w:id="36" w:name="_Toc200959554"/>
      <w:r>
        <w:rPr>
          <w:rStyle w:val="CharSectno"/>
        </w:rPr>
        <w:t>2</w:t>
      </w:r>
      <w:r>
        <w:rPr>
          <w:spacing w:val="-2"/>
        </w:rPr>
        <w:t>.</w:t>
      </w:r>
      <w:r>
        <w:rPr>
          <w:spacing w:val="-2"/>
        </w:rPr>
        <w:tab/>
        <w:t>Commencement</w:t>
      </w:r>
      <w:bookmarkEnd w:id="35"/>
      <w:bookmarkEnd w:id="36"/>
    </w:p>
    <w:p w:rsidR="00542CEF" w:rsidRDefault="008D59D4">
      <w:pPr>
        <w:pStyle w:val="Subsection"/>
        <w:rPr>
          <w:spacing w:val="-2"/>
        </w:rPr>
      </w:pPr>
      <w:r>
        <w:rPr>
          <w:spacing w:val="-2"/>
        </w:rPr>
        <w:tab/>
      </w:r>
      <w:r>
        <w:rPr>
          <w:spacing w:val="-2"/>
        </w:rPr>
        <w:tab/>
        <w:t>These regulations come into operation as follows:</w:t>
      </w:r>
    </w:p>
    <w:p w:rsidR="00542CEF" w:rsidRDefault="008D59D4">
      <w:pPr>
        <w:pStyle w:val="Indenta"/>
      </w:pPr>
      <w:r>
        <w:tab/>
        <w:t>(a)</w:t>
      </w:r>
      <w:r>
        <w:tab/>
        <w:t xml:space="preserve">Part 1 — on the day on which these regulations are published in the </w:t>
      </w:r>
      <w:r>
        <w:rPr>
          <w:i/>
          <w:iCs/>
        </w:rPr>
        <w:t>Gazette</w:t>
      </w:r>
      <w:r>
        <w:t>;</w:t>
      </w:r>
    </w:p>
    <w:p w:rsidR="00542CEF" w:rsidRDefault="008D59D4">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rsidR="00542CEF" w:rsidRDefault="008D59D4">
      <w:pPr>
        <w:pStyle w:val="Ednotesection"/>
      </w:pPr>
      <w:r>
        <w:t>[</w:t>
      </w:r>
      <w:r>
        <w:rPr>
          <w:b/>
          <w:bCs/>
        </w:rPr>
        <w:t>3.</w:t>
      </w:r>
      <w:r>
        <w:tab/>
        <w:t>Has not come into operation</w:t>
      </w:r>
      <w:r>
        <w:rPr>
          <w:vertAlign w:val="superscript"/>
        </w:rPr>
        <w:t> 2</w:t>
      </w:r>
      <w:r>
        <w:t>.]</w:t>
      </w:r>
    </w:p>
    <w:p w:rsidR="00542CEF" w:rsidRDefault="008D59D4">
      <w:pPr>
        <w:pStyle w:val="Ednotepart"/>
      </w:pPr>
      <w:r>
        <w:t>[Parts 2-4 have not come into operation</w:t>
      </w:r>
      <w:r>
        <w:rPr>
          <w:vertAlign w:val="superscript"/>
        </w:rPr>
        <w:t> 2</w:t>
      </w:r>
      <w:r>
        <w:t>.]</w:t>
      </w:r>
    </w:p>
    <w:p w:rsidR="00542CEF" w:rsidRDefault="008D59D4">
      <w:pPr>
        <w:pStyle w:val="yEdnoteschedule"/>
        <w:rPr>
          <w:sz w:val="24"/>
        </w:rPr>
      </w:pPr>
      <w:r>
        <w:t>[Schedules 1 and 2 have not come into operation</w:t>
      </w:r>
      <w:r>
        <w:rPr>
          <w:vertAlign w:val="superscript"/>
        </w:rPr>
        <w:t> 2</w:t>
      </w:r>
      <w:r>
        <w:t>.]</w:t>
      </w:r>
    </w:p>
    <w:p w:rsidR="00542CEF" w:rsidRDefault="00542CEF">
      <w:pPr>
        <w:sectPr w:rsidR="00542CEF">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542CEF" w:rsidRDefault="008D59D4">
      <w:pPr>
        <w:pStyle w:val="nHeading2"/>
      </w:pPr>
      <w:bookmarkStart w:id="37" w:name="_Toc113695922"/>
      <w:bookmarkStart w:id="38" w:name="_Toc200768037"/>
      <w:bookmarkStart w:id="39" w:name="_Toc200768051"/>
      <w:bookmarkStart w:id="40" w:name="_Toc200950600"/>
      <w:bookmarkStart w:id="41" w:name="_Toc200959555"/>
      <w:r>
        <w:t>Notes</w:t>
      </w:r>
      <w:bookmarkEnd w:id="37"/>
      <w:bookmarkEnd w:id="38"/>
      <w:bookmarkEnd w:id="39"/>
      <w:bookmarkEnd w:id="40"/>
      <w:bookmarkEnd w:id="41"/>
    </w:p>
    <w:p w:rsidR="00542CEF" w:rsidRDefault="008D59D4">
      <w:pPr>
        <w:pStyle w:val="nSubsection"/>
        <w:rPr>
          <w:snapToGrid w:val="0"/>
        </w:rPr>
      </w:pPr>
      <w:r>
        <w:rPr>
          <w:snapToGrid w:val="0"/>
          <w:vertAlign w:val="superscript"/>
        </w:rPr>
        <w:t>1</w:t>
      </w:r>
      <w:r>
        <w:rPr>
          <w:snapToGrid w:val="0"/>
        </w:rPr>
        <w:tab/>
        <w:t xml:space="preserve">This is a compilation of the </w:t>
      </w:r>
      <w:r>
        <w:rPr>
          <w:i/>
        </w:rPr>
        <w:t>Road Traffic (Miscellaneous) Regulations 2008.</w:t>
      </w:r>
      <w:r>
        <w:t xml:space="preserve">  </w:t>
      </w:r>
      <w:r>
        <w:rPr>
          <w:snapToGrid w:val="0"/>
        </w:rPr>
        <w:t>The following table contains information about those regulations</w:t>
      </w:r>
      <w:r>
        <w:rPr>
          <w:snapToGrid w:val="0"/>
          <w:vertAlign w:val="superscript"/>
        </w:rPr>
        <w:t> 1a</w:t>
      </w:r>
      <w:r>
        <w:rPr>
          <w:snapToGrid w:val="0"/>
        </w:rPr>
        <w:t>.</w:t>
      </w:r>
    </w:p>
    <w:p w:rsidR="00542CEF" w:rsidRDefault="008D59D4">
      <w:pPr>
        <w:pStyle w:val="nHeading3"/>
      </w:pPr>
      <w:bookmarkStart w:id="42" w:name="_Toc70311430"/>
      <w:bookmarkStart w:id="43" w:name="_Toc200768052"/>
      <w:bookmarkStart w:id="44" w:name="_Toc200959556"/>
      <w:r>
        <w:t>Compilation table</w:t>
      </w:r>
      <w:bookmarkEnd w:id="42"/>
      <w:bookmarkEnd w:id="43"/>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42CEF">
        <w:trPr>
          <w:tblHeader/>
        </w:trPr>
        <w:tc>
          <w:tcPr>
            <w:tcW w:w="3118" w:type="dxa"/>
          </w:tcPr>
          <w:p w:rsidR="00542CEF" w:rsidRDefault="008D59D4">
            <w:pPr>
              <w:pStyle w:val="nTable"/>
              <w:spacing w:after="40"/>
              <w:rPr>
                <w:b/>
                <w:sz w:val="19"/>
              </w:rPr>
            </w:pPr>
            <w:r>
              <w:rPr>
                <w:b/>
                <w:sz w:val="19"/>
              </w:rPr>
              <w:t>Citation</w:t>
            </w:r>
          </w:p>
        </w:tc>
        <w:tc>
          <w:tcPr>
            <w:tcW w:w="1276" w:type="dxa"/>
          </w:tcPr>
          <w:p w:rsidR="00542CEF" w:rsidRDefault="008D59D4">
            <w:pPr>
              <w:pStyle w:val="nTable"/>
              <w:spacing w:after="40"/>
              <w:rPr>
                <w:b/>
                <w:sz w:val="19"/>
              </w:rPr>
            </w:pPr>
            <w:r>
              <w:rPr>
                <w:b/>
                <w:sz w:val="19"/>
              </w:rPr>
              <w:t>Gazettal</w:t>
            </w:r>
          </w:p>
        </w:tc>
        <w:tc>
          <w:tcPr>
            <w:tcW w:w="2693" w:type="dxa"/>
          </w:tcPr>
          <w:p w:rsidR="00542CEF" w:rsidRDefault="008D59D4">
            <w:pPr>
              <w:pStyle w:val="nTable"/>
              <w:spacing w:after="40"/>
              <w:rPr>
                <w:b/>
                <w:sz w:val="19"/>
              </w:rPr>
            </w:pPr>
            <w:r>
              <w:rPr>
                <w:b/>
                <w:sz w:val="19"/>
              </w:rPr>
              <w:t>Commencement</w:t>
            </w:r>
          </w:p>
        </w:tc>
      </w:tr>
      <w:tr w:rsidR="00542CEF">
        <w:tc>
          <w:tcPr>
            <w:tcW w:w="3118" w:type="dxa"/>
          </w:tcPr>
          <w:p w:rsidR="00542CEF" w:rsidRDefault="008D59D4">
            <w:pPr>
              <w:pStyle w:val="nTable"/>
              <w:spacing w:after="40"/>
              <w:rPr>
                <w:iCs/>
                <w:sz w:val="19"/>
              </w:rPr>
            </w:pPr>
            <w:r>
              <w:rPr>
                <w:i/>
                <w:sz w:val="19"/>
              </w:rPr>
              <w:t>Road Traffic (Miscellaneous) Regulations 2008</w:t>
            </w:r>
            <w:r>
              <w:rPr>
                <w:iCs/>
                <w:sz w:val="19"/>
              </w:rPr>
              <w:t xml:space="preserve"> r. 1 and 2</w:t>
            </w:r>
          </w:p>
        </w:tc>
        <w:tc>
          <w:tcPr>
            <w:tcW w:w="1276" w:type="dxa"/>
          </w:tcPr>
          <w:p w:rsidR="00542CEF" w:rsidRDefault="008D59D4">
            <w:pPr>
              <w:pStyle w:val="nTable"/>
              <w:spacing w:after="40"/>
              <w:rPr>
                <w:sz w:val="19"/>
              </w:rPr>
            </w:pPr>
            <w:r>
              <w:rPr>
                <w:sz w:val="19"/>
              </w:rPr>
              <w:t>10 Jun 2008 p. 2431-2447</w:t>
            </w:r>
          </w:p>
        </w:tc>
        <w:tc>
          <w:tcPr>
            <w:tcW w:w="2693" w:type="dxa"/>
          </w:tcPr>
          <w:p w:rsidR="00542CEF" w:rsidRDefault="008D59D4">
            <w:pPr>
              <w:pStyle w:val="nTable"/>
              <w:spacing w:after="40"/>
              <w:rPr>
                <w:sz w:val="19"/>
              </w:rPr>
            </w:pPr>
            <w:r>
              <w:rPr>
                <w:sz w:val="19"/>
              </w:rPr>
              <w:t>10 Jun 2008 (see r. 2(a))</w:t>
            </w:r>
          </w:p>
        </w:tc>
      </w:tr>
    </w:tbl>
    <w:p w:rsidR="00542CEF" w:rsidRDefault="008D59D4">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42CEF" w:rsidRDefault="008D59D4">
      <w:pPr>
        <w:pStyle w:val="nHeading3"/>
        <w:rPr>
          <w:snapToGrid w:val="0"/>
        </w:rPr>
      </w:pPr>
      <w:bookmarkStart w:id="45" w:name="_Toc534778309"/>
      <w:bookmarkStart w:id="46" w:name="_Toc7405063"/>
      <w:bookmarkStart w:id="47" w:name="_Toc200768053"/>
      <w:bookmarkStart w:id="48" w:name="_Toc200959557"/>
      <w:r>
        <w:rPr>
          <w:snapToGrid w:val="0"/>
        </w:rPr>
        <w:t>Provisions that have not come into operation</w:t>
      </w:r>
      <w:bookmarkEnd w:id="45"/>
      <w:bookmarkEnd w:id="46"/>
      <w:bookmarkEnd w:id="47"/>
      <w:bookmarkEnd w:id="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42CEF">
        <w:trPr>
          <w:tblHeader/>
        </w:trPr>
        <w:tc>
          <w:tcPr>
            <w:tcW w:w="3118" w:type="dxa"/>
          </w:tcPr>
          <w:p w:rsidR="00542CEF" w:rsidRDefault="008D59D4">
            <w:pPr>
              <w:pStyle w:val="nTable"/>
              <w:spacing w:after="40"/>
              <w:rPr>
                <w:b/>
                <w:sz w:val="19"/>
              </w:rPr>
            </w:pPr>
            <w:r>
              <w:rPr>
                <w:b/>
                <w:sz w:val="19"/>
              </w:rPr>
              <w:t>Citation</w:t>
            </w:r>
          </w:p>
        </w:tc>
        <w:tc>
          <w:tcPr>
            <w:tcW w:w="1276" w:type="dxa"/>
          </w:tcPr>
          <w:p w:rsidR="00542CEF" w:rsidRDefault="008D59D4">
            <w:pPr>
              <w:pStyle w:val="nTable"/>
              <w:spacing w:after="40"/>
              <w:rPr>
                <w:b/>
                <w:sz w:val="19"/>
              </w:rPr>
            </w:pPr>
            <w:r>
              <w:rPr>
                <w:b/>
                <w:sz w:val="19"/>
              </w:rPr>
              <w:t>Gazettal</w:t>
            </w:r>
          </w:p>
        </w:tc>
        <w:tc>
          <w:tcPr>
            <w:tcW w:w="2693" w:type="dxa"/>
          </w:tcPr>
          <w:p w:rsidR="00542CEF" w:rsidRDefault="008D59D4">
            <w:pPr>
              <w:pStyle w:val="nTable"/>
              <w:spacing w:after="40"/>
              <w:rPr>
                <w:b/>
                <w:sz w:val="19"/>
              </w:rPr>
            </w:pPr>
            <w:r>
              <w:rPr>
                <w:b/>
                <w:sz w:val="19"/>
              </w:rPr>
              <w:t>Commencement</w:t>
            </w:r>
          </w:p>
        </w:tc>
      </w:tr>
      <w:tr w:rsidR="00542CEF">
        <w:tc>
          <w:tcPr>
            <w:tcW w:w="3118" w:type="dxa"/>
          </w:tcPr>
          <w:p w:rsidR="00542CEF" w:rsidRDefault="008D59D4">
            <w:pPr>
              <w:pStyle w:val="nTable"/>
              <w:spacing w:after="40"/>
              <w:rPr>
                <w:iCs/>
                <w:sz w:val="19"/>
              </w:rPr>
            </w:pPr>
            <w:r>
              <w:rPr>
                <w:i/>
                <w:sz w:val="19"/>
              </w:rPr>
              <w:t>Road Traffic (Miscellaneous) Regulations 2008</w:t>
            </w:r>
            <w:r>
              <w:rPr>
                <w:iCs/>
                <w:sz w:val="19"/>
              </w:rPr>
              <w:t xml:space="preserve"> r. 3, Pt. 2-4, Sch. 1 and 2 </w:t>
            </w:r>
            <w:r>
              <w:rPr>
                <w:iCs/>
                <w:sz w:val="19"/>
                <w:vertAlign w:val="superscript"/>
              </w:rPr>
              <w:t>2</w:t>
            </w:r>
          </w:p>
        </w:tc>
        <w:tc>
          <w:tcPr>
            <w:tcW w:w="1276" w:type="dxa"/>
          </w:tcPr>
          <w:p w:rsidR="00542CEF" w:rsidRDefault="008D59D4">
            <w:pPr>
              <w:pStyle w:val="nTable"/>
              <w:spacing w:after="40"/>
              <w:rPr>
                <w:sz w:val="19"/>
              </w:rPr>
            </w:pPr>
            <w:r>
              <w:rPr>
                <w:sz w:val="19"/>
              </w:rPr>
              <w:t>10 Jun 2008 p. 2431-2447</w:t>
            </w:r>
          </w:p>
        </w:tc>
        <w:tc>
          <w:tcPr>
            <w:tcW w:w="2693" w:type="dxa"/>
          </w:tcPr>
          <w:p w:rsidR="00542CEF" w:rsidRDefault="008D59D4">
            <w:pPr>
              <w:pStyle w:val="nTable"/>
              <w:spacing w:after="40"/>
              <w:rPr>
                <w:sz w:val="19"/>
              </w:rPr>
            </w:pPr>
            <w:r>
              <w:rPr>
                <w:sz w:val="19"/>
              </w:rPr>
              <w:t xml:space="preserve">30 Jun 2008 (see r. 2(b) and </w:t>
            </w:r>
            <w:r>
              <w:rPr>
                <w:i/>
                <w:iCs/>
                <w:sz w:val="19"/>
              </w:rPr>
              <w:t>Gazette</w:t>
            </w:r>
            <w:r>
              <w:rPr>
                <w:sz w:val="19"/>
              </w:rPr>
              <w:t xml:space="preserve"> 10 Jun 2008 p. 2471)</w:t>
            </w:r>
          </w:p>
        </w:tc>
      </w:tr>
    </w:tbl>
    <w:p w:rsidR="00542CEF" w:rsidRDefault="008D59D4">
      <w:pPr>
        <w:pStyle w:val="nSubsection"/>
        <w:rPr>
          <w:snapToGrid w:val="0"/>
        </w:rPr>
      </w:pPr>
      <w:r>
        <w:rPr>
          <w:snapToGrid w:val="0"/>
          <w:vertAlign w:val="superscript"/>
        </w:rPr>
        <w:t>2</w:t>
      </w:r>
      <w:r>
        <w:rPr>
          <w:snapToGrid w:val="0"/>
        </w:rPr>
        <w:tab/>
        <w:t xml:space="preserve">On the date as at which this compilation was prepared, the </w:t>
      </w:r>
      <w:r>
        <w:rPr>
          <w:i/>
          <w:sz w:val="19"/>
        </w:rPr>
        <w:t>Road Traffic (Miscellaneous) Regulations 2008</w:t>
      </w:r>
      <w:r>
        <w:rPr>
          <w:iCs/>
          <w:sz w:val="19"/>
        </w:rPr>
        <w:t xml:space="preserve"> r. 3, Pt. 2-4, Sch. 1 and 2</w:t>
      </w:r>
      <w:r>
        <w:rPr>
          <w:snapToGrid w:val="0"/>
        </w:rPr>
        <w:t xml:space="preserve"> had not come into operation.  They read as follows:</w:t>
      </w:r>
    </w:p>
    <w:p w:rsidR="00542CEF" w:rsidRDefault="008D59D4">
      <w:pPr>
        <w:pStyle w:val="MiscOpen"/>
        <w:rPr>
          <w:snapToGrid w:val="0"/>
        </w:rPr>
      </w:pPr>
      <w:r>
        <w:rPr>
          <w:snapToGrid w:val="0"/>
        </w:rPr>
        <w:t>“</w:t>
      </w:r>
    </w:p>
    <w:p w:rsidR="00542CEF" w:rsidRDefault="008D59D4">
      <w:pPr>
        <w:pStyle w:val="nzHeading5"/>
      </w:pPr>
      <w:bookmarkStart w:id="49" w:name="_Toc198464844"/>
      <w:r>
        <w:rPr>
          <w:rStyle w:val="CharSectno"/>
        </w:rPr>
        <w:t>3</w:t>
      </w:r>
      <w:r>
        <w:t>.</w:t>
      </w:r>
      <w:r>
        <w:tab/>
        <w:t>Terms used in these regulations</w:t>
      </w:r>
      <w:bookmarkEnd w:id="49"/>
    </w:p>
    <w:p w:rsidR="00542CEF" w:rsidRDefault="008D59D4">
      <w:pPr>
        <w:pStyle w:val="nzSubsection"/>
      </w:pPr>
      <w:r>
        <w:tab/>
      </w:r>
      <w:r>
        <w:tab/>
        <w:t xml:space="preserve">In these regulations — </w:t>
      </w:r>
    </w:p>
    <w:p w:rsidR="00542CEF" w:rsidRDefault="008D59D4">
      <w:pPr>
        <w:pStyle w:val="nzDefstart"/>
      </w:pPr>
      <w:r>
        <w:rPr>
          <w:b/>
        </w:rPr>
        <w:tab/>
        <w:t>“</w:t>
      </w:r>
      <w:r>
        <w:rPr>
          <w:rStyle w:val="CharDefText"/>
        </w:rPr>
        <w:t>novice driver (type 1A)</w:t>
      </w:r>
      <w:r>
        <w:rPr>
          <w:b/>
        </w:rPr>
        <w:t>”</w:t>
      </w:r>
      <w:r>
        <w:t xml:space="preserve"> has the meaning given in the </w:t>
      </w:r>
      <w:r>
        <w:rPr>
          <w:i/>
          <w:iCs/>
        </w:rPr>
        <w:t>Road Traffic (Authorisation to Drive) Regulations 2008</w:t>
      </w:r>
      <w:r>
        <w:t xml:space="preserve"> regulation 4(3).</w:t>
      </w:r>
    </w:p>
    <w:p w:rsidR="00542CEF" w:rsidRDefault="008D59D4">
      <w:pPr>
        <w:pStyle w:val="nzHeading2"/>
      </w:pPr>
      <w:bookmarkStart w:id="50" w:name="_Toc191461635"/>
      <w:bookmarkStart w:id="51" w:name="_Toc195507022"/>
      <w:bookmarkStart w:id="52" w:name="_Toc195590128"/>
      <w:bookmarkStart w:id="53" w:name="_Toc195785241"/>
      <w:bookmarkStart w:id="54" w:name="_Toc195785260"/>
      <w:bookmarkStart w:id="55" w:name="_Toc195795991"/>
      <w:bookmarkStart w:id="56" w:name="_Toc196882972"/>
      <w:bookmarkStart w:id="57" w:name="_Toc196883312"/>
      <w:bookmarkStart w:id="58" w:name="_Toc197505778"/>
      <w:bookmarkStart w:id="59" w:name="_Toc197762617"/>
      <w:bookmarkStart w:id="60" w:name="_Toc197763950"/>
      <w:bookmarkStart w:id="61" w:name="_Toc197764080"/>
      <w:bookmarkStart w:id="62" w:name="_Toc197764309"/>
      <w:bookmarkStart w:id="63" w:name="_Toc197764980"/>
      <w:bookmarkStart w:id="64" w:name="_Toc197942874"/>
      <w:bookmarkStart w:id="65" w:name="_Toc197943574"/>
      <w:bookmarkStart w:id="66" w:name="_Toc198002939"/>
      <w:bookmarkStart w:id="67" w:name="_Toc198003425"/>
      <w:bookmarkStart w:id="68" w:name="_Toc198003567"/>
      <w:bookmarkStart w:id="69" w:name="_Toc198003587"/>
      <w:bookmarkStart w:id="70" w:name="_Toc198003878"/>
      <w:bookmarkStart w:id="71" w:name="_Toc198088754"/>
      <w:bookmarkStart w:id="72" w:name="_Toc198090479"/>
      <w:bookmarkStart w:id="73" w:name="_Toc198090754"/>
      <w:bookmarkStart w:id="74" w:name="_Toc198090795"/>
      <w:bookmarkStart w:id="75" w:name="_Toc198090843"/>
      <w:bookmarkStart w:id="76" w:name="_Toc198464845"/>
      <w:r>
        <w:rPr>
          <w:rStyle w:val="CharPartNo"/>
        </w:rPr>
        <w:t>Part 2</w:t>
      </w:r>
      <w:r>
        <w:rPr>
          <w:rStyle w:val="CharDivNo"/>
        </w:rPr>
        <w:t> </w:t>
      </w:r>
      <w:r>
        <w:t>—</w:t>
      </w:r>
      <w:r>
        <w:rPr>
          <w:rStyle w:val="CharDivText"/>
        </w:rPr>
        <w:t> </w:t>
      </w:r>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General</w:t>
      </w:r>
      <w:bookmarkEnd w:id="64"/>
      <w:bookmarkEnd w:id="65"/>
      <w:bookmarkEnd w:id="66"/>
      <w:bookmarkEnd w:id="67"/>
      <w:bookmarkEnd w:id="68"/>
      <w:bookmarkEnd w:id="69"/>
      <w:bookmarkEnd w:id="70"/>
      <w:bookmarkEnd w:id="71"/>
      <w:bookmarkEnd w:id="72"/>
      <w:bookmarkEnd w:id="73"/>
      <w:bookmarkEnd w:id="74"/>
      <w:bookmarkEnd w:id="75"/>
      <w:bookmarkEnd w:id="76"/>
    </w:p>
    <w:p w:rsidR="00542CEF" w:rsidRDefault="008D59D4">
      <w:pPr>
        <w:pStyle w:val="nzHeading5"/>
      </w:pPr>
      <w:bookmarkStart w:id="77" w:name="_Toc198464846"/>
      <w:r>
        <w:rPr>
          <w:rStyle w:val="CharSectno"/>
        </w:rPr>
        <w:t>4</w:t>
      </w:r>
      <w:r>
        <w:t>.</w:t>
      </w:r>
      <w:r>
        <w:tab/>
        <w:t>Caution for certain unauthorised driving offences</w:t>
      </w:r>
      <w:bookmarkEnd w:id="77"/>
    </w:p>
    <w:p w:rsidR="00542CEF" w:rsidRDefault="008D59D4">
      <w:pPr>
        <w:pStyle w:val="nzSubsection"/>
      </w:pPr>
      <w:r>
        <w:tab/>
      </w:r>
      <w:r>
        <w:tab/>
        <w:t>The form set out in Schedule 1 is prescribed under section 49A(3) of the Act.</w:t>
      </w:r>
    </w:p>
    <w:p w:rsidR="00542CEF" w:rsidRDefault="008D59D4">
      <w:pPr>
        <w:pStyle w:val="nzHeading5"/>
      </w:pPr>
      <w:bookmarkStart w:id="78" w:name="_Toc198464847"/>
      <w:r>
        <w:rPr>
          <w:rStyle w:val="CharSectno"/>
        </w:rPr>
        <w:t>5</w:t>
      </w:r>
      <w:r>
        <w:t>.</w:t>
      </w:r>
      <w:r>
        <w:tab/>
        <w:t>Defence for failing to report minor damage</w:t>
      </w:r>
      <w:bookmarkEnd w:id="78"/>
    </w:p>
    <w:p w:rsidR="00542CEF" w:rsidRDefault="008D59D4">
      <w:pPr>
        <w:pStyle w:val="nzSubsection"/>
      </w:pPr>
      <w:r>
        <w:tab/>
      </w:r>
      <w:r>
        <w:tab/>
        <w:t>The amount prescribed for the purpose of section 56(6) of the Act is $3 000.</w:t>
      </w:r>
    </w:p>
    <w:p w:rsidR="00542CEF" w:rsidRDefault="008D59D4">
      <w:pPr>
        <w:pStyle w:val="nzHeading2"/>
      </w:pPr>
      <w:bookmarkStart w:id="79" w:name="_Toc191461638"/>
      <w:bookmarkStart w:id="80" w:name="_Toc195507025"/>
      <w:bookmarkStart w:id="81" w:name="_Toc195590131"/>
      <w:bookmarkStart w:id="82" w:name="_Toc195785244"/>
      <w:bookmarkStart w:id="83" w:name="_Toc195785263"/>
      <w:bookmarkStart w:id="84" w:name="_Toc195795994"/>
      <w:bookmarkStart w:id="85" w:name="_Toc196882974"/>
      <w:bookmarkStart w:id="86" w:name="_Toc196883314"/>
      <w:bookmarkStart w:id="87" w:name="_Toc197505780"/>
      <w:bookmarkStart w:id="88" w:name="_Toc197762619"/>
      <w:bookmarkStart w:id="89" w:name="_Toc197763952"/>
      <w:bookmarkStart w:id="90" w:name="_Toc197764082"/>
      <w:bookmarkStart w:id="91" w:name="_Toc197764311"/>
      <w:bookmarkStart w:id="92" w:name="_Toc197764982"/>
      <w:bookmarkStart w:id="93" w:name="_Toc197942877"/>
      <w:bookmarkStart w:id="94" w:name="_Toc197943577"/>
      <w:bookmarkStart w:id="95" w:name="_Toc198002942"/>
      <w:bookmarkStart w:id="96" w:name="_Toc198003428"/>
      <w:bookmarkStart w:id="97" w:name="_Toc198003570"/>
      <w:bookmarkStart w:id="98" w:name="_Toc198003590"/>
      <w:bookmarkStart w:id="99" w:name="_Toc198003881"/>
      <w:bookmarkStart w:id="100" w:name="_Toc198088757"/>
      <w:bookmarkStart w:id="101" w:name="_Toc198090482"/>
      <w:bookmarkStart w:id="102" w:name="_Toc198090757"/>
      <w:bookmarkStart w:id="103" w:name="_Toc198090798"/>
      <w:bookmarkStart w:id="104" w:name="_Toc198090846"/>
      <w:bookmarkStart w:id="105" w:name="_Toc198464848"/>
      <w:r>
        <w:rPr>
          <w:rStyle w:val="CharPartNo"/>
        </w:rPr>
        <w:t>Part 3</w:t>
      </w:r>
      <w:r>
        <w:rPr>
          <w:rStyle w:val="CharDivNo"/>
        </w:rPr>
        <w:t> </w:t>
      </w:r>
      <w:r>
        <w:t>—</w:t>
      </w:r>
      <w:r>
        <w:rPr>
          <w:rStyle w:val="CharDivText"/>
        </w:rPr>
        <w:t> </w:t>
      </w:r>
      <w:r>
        <w:rPr>
          <w:rStyle w:val="CharPartText"/>
        </w:rPr>
        <w:t>Demerit point scheme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rsidR="00542CEF" w:rsidRDefault="008D59D4">
      <w:pPr>
        <w:pStyle w:val="nzHeading5"/>
      </w:pPr>
      <w:bookmarkStart w:id="106" w:name="_Toc198464849"/>
      <w:r>
        <w:rPr>
          <w:rStyle w:val="CharSectno"/>
        </w:rPr>
        <w:t>6</w:t>
      </w:r>
      <w:r>
        <w:t>.</w:t>
      </w:r>
      <w:r>
        <w:tab/>
        <w:t>Demerit point offence in WA</w:t>
      </w:r>
      <w:bookmarkEnd w:id="106"/>
    </w:p>
    <w:p w:rsidR="00542CEF" w:rsidRDefault="008D59D4">
      <w:pPr>
        <w:pStyle w:val="nz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rsidR="00542CEF" w:rsidRDefault="008D59D4">
      <w:pPr>
        <w:pStyle w:val="nzSubsection"/>
      </w:pPr>
      <w:r>
        <w:tab/>
        <w:t>(2)</w:t>
      </w:r>
      <w:r>
        <w:tab/>
        <w:t xml:space="preserve">In Schedule 2 — </w:t>
      </w:r>
    </w:p>
    <w:p w:rsidR="00542CEF" w:rsidRDefault="008D59D4">
      <w:pPr>
        <w:pStyle w:val="nzDefstart"/>
      </w:pPr>
      <w:r>
        <w:rPr>
          <w:b/>
        </w:rPr>
        <w:tab/>
        <w:t>“</w:t>
      </w:r>
      <w:r>
        <w:rPr>
          <w:rStyle w:val="CharDefText"/>
        </w:rPr>
        <w:t>holiday period</w:t>
      </w:r>
      <w:r>
        <w:rPr>
          <w:b/>
        </w:rPr>
        <w:t>”</w:t>
      </w:r>
      <w:r>
        <w:t xml:space="preserve"> has the meaning given in regulation 7.</w:t>
      </w:r>
    </w:p>
    <w:p w:rsidR="00542CEF" w:rsidRDefault="008D59D4">
      <w:pPr>
        <w:pStyle w:val="nz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rsidR="00542CEF" w:rsidRDefault="008D59D4">
      <w:pPr>
        <w:pStyle w:val="nz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rsidR="00542CEF" w:rsidRDefault="008D59D4">
      <w:pPr>
        <w:pStyle w:val="nzHeading5"/>
      </w:pPr>
      <w:bookmarkStart w:id="107" w:name="_Toc198464850"/>
      <w:r>
        <w:rPr>
          <w:rStyle w:val="CharSectno"/>
        </w:rPr>
        <w:t>7</w:t>
      </w:r>
      <w:r>
        <w:t>.</w:t>
      </w:r>
      <w:r>
        <w:tab/>
        <w:t>What is regarded as a holiday period</w:t>
      </w:r>
      <w:bookmarkEnd w:id="107"/>
    </w:p>
    <w:p w:rsidR="00542CEF" w:rsidRDefault="008D59D4">
      <w:pPr>
        <w:pStyle w:val="nzSubsection"/>
      </w:pPr>
      <w:r>
        <w:tab/>
        <w:t>(1)</w:t>
      </w:r>
      <w:r>
        <w:tab/>
        <w:t xml:space="preserve">In this regulation — </w:t>
      </w:r>
    </w:p>
    <w:p w:rsidR="00542CEF" w:rsidRDefault="008D59D4">
      <w:pPr>
        <w:pStyle w:val="nzDefstart"/>
      </w:pPr>
      <w:r>
        <w:rPr>
          <w:b/>
        </w:rPr>
        <w:tab/>
        <w:t>“</w:t>
      </w:r>
      <w:r>
        <w:rPr>
          <w:rStyle w:val="CharDefText"/>
        </w:rPr>
        <w:t>public holiday</w:t>
      </w:r>
      <w:r>
        <w:rPr>
          <w:b/>
        </w:rPr>
        <w:t>”</w:t>
      </w:r>
      <w:r>
        <w:t xml:space="preserve"> means a day specified, or appointed under the power, in the </w:t>
      </w:r>
      <w:r>
        <w:rPr>
          <w:i/>
          <w:iCs/>
        </w:rPr>
        <w:t>Public and Bank Holidays Act 1972</w:t>
      </w:r>
      <w:r>
        <w:t xml:space="preserve"> Second Schedule to be a public holiday.</w:t>
      </w:r>
    </w:p>
    <w:p w:rsidR="00542CEF" w:rsidRDefault="008D59D4">
      <w:pPr>
        <w:pStyle w:val="nzSubsection"/>
      </w:pPr>
      <w:r>
        <w:tab/>
        <w:t>(2)</w:t>
      </w:r>
      <w:r>
        <w:tab/>
        <w:t>If a public holiday falls on a Monday, the period of 4 days beginning with the last Friday before that Monday and ending with that Monday is a holiday period.</w:t>
      </w:r>
    </w:p>
    <w:p w:rsidR="00542CEF" w:rsidRDefault="008D59D4">
      <w:pPr>
        <w:pStyle w:val="nzSubsection"/>
      </w:pPr>
      <w:r>
        <w:tab/>
        <w:t>(3)</w:t>
      </w:r>
      <w:r>
        <w:tab/>
        <w:t>If a public holiday falls on a Friday, the period of 4 days beginning with the Thursday before that Friday and ending with the next Sunday after that Friday is a holiday period.</w:t>
      </w:r>
    </w:p>
    <w:p w:rsidR="00542CEF" w:rsidRDefault="008D59D4">
      <w:pPr>
        <w:pStyle w:val="nzSubsection"/>
      </w:pPr>
      <w:r>
        <w:tab/>
        <w:t>(4)</w:t>
      </w:r>
      <w:r>
        <w:tab/>
        <w:t>Despite subregulations (2) and (3), the period of 5 days beginning with the Thursday before Good Friday and ending with Easter Monday is a holiday period.</w:t>
      </w:r>
    </w:p>
    <w:p w:rsidR="00542CEF" w:rsidRDefault="008D59D4">
      <w:pPr>
        <w:pStyle w:val="nzSubsection"/>
      </w:pPr>
      <w:r>
        <w:tab/>
        <w:t>(5)</w:t>
      </w:r>
      <w:r>
        <w:tab/>
        <w:t>Despite subregulations (2) and (3), the period of 17 days beginning with the last Friday before Christmas Day is a holiday period.</w:t>
      </w:r>
    </w:p>
    <w:p w:rsidR="00542CEF" w:rsidRDefault="008D59D4">
      <w:pPr>
        <w:pStyle w:val="nzHeading5"/>
      </w:pPr>
      <w:bookmarkStart w:id="108" w:name="_Toc198464851"/>
      <w:r>
        <w:rPr>
          <w:rStyle w:val="CharSectno"/>
        </w:rPr>
        <w:t>8</w:t>
      </w:r>
      <w:r>
        <w:t>.</w:t>
      </w:r>
      <w:r>
        <w:tab/>
        <w:t>Some consequences of removing demerit points from register</w:t>
      </w:r>
      <w:bookmarkEnd w:id="108"/>
    </w:p>
    <w:p w:rsidR="00542CEF" w:rsidRDefault="008D59D4">
      <w:pPr>
        <w:pStyle w:val="nzSubsection"/>
      </w:pPr>
      <w:r>
        <w:tab/>
        <w:t>(1)</w:t>
      </w:r>
      <w:r>
        <w:tab/>
        <w:t xml:space="preserve">In this regulation — </w:t>
      </w:r>
    </w:p>
    <w:p w:rsidR="00542CEF" w:rsidRDefault="008D59D4">
      <w:pPr>
        <w:pStyle w:val="nzDefstart"/>
      </w:pPr>
      <w:r>
        <w:rPr>
          <w:b/>
        </w:rPr>
        <w:tab/>
        <w:t>“</w:t>
      </w:r>
      <w:r>
        <w:rPr>
          <w:rStyle w:val="CharDefText"/>
        </w:rPr>
        <w:t>removed</w:t>
      </w:r>
      <w:r>
        <w:rPr>
          <w:b/>
        </w:rPr>
        <w:t>”</w:t>
      </w:r>
      <w:r>
        <w:t xml:space="preserve"> means removed or required to be removed.</w:t>
      </w:r>
    </w:p>
    <w:p w:rsidR="00542CEF" w:rsidRDefault="008D59D4">
      <w:pPr>
        <w:pStyle w:val="nzSubsection"/>
      </w:pPr>
      <w:r>
        <w:tab/>
        <w:t>(2)</w:t>
      </w:r>
      <w:r>
        <w:tab/>
        <w:t>This regulation applies if under section 104O(3) or (4) of the Act demerit points are removed from the demerit points register.</w:t>
      </w:r>
    </w:p>
    <w:p w:rsidR="00542CEF" w:rsidRDefault="008D59D4">
      <w:pPr>
        <w:pStyle w:val="nzSubsection"/>
      </w:pPr>
      <w:r>
        <w:tab/>
        <w:t>(3)</w:t>
      </w:r>
      <w:r>
        <w:tab/>
        <w:t xml:space="preserve">A notice under section 104I(1) of the Act ceases to have effect if the giving of the notice required the cancellation of the demerit points that are subsequently removed but the notice has not resulted in — </w:t>
      </w:r>
    </w:p>
    <w:p w:rsidR="00542CEF" w:rsidRDefault="008D59D4">
      <w:pPr>
        <w:pStyle w:val="nzIndenta"/>
      </w:pPr>
      <w:r>
        <w:tab/>
        <w:t>(a)</w:t>
      </w:r>
      <w:r>
        <w:tab/>
        <w:t>a period of disqualification commencing before the day on which the demerit points are removed; or</w:t>
      </w:r>
    </w:p>
    <w:p w:rsidR="00542CEF" w:rsidRDefault="008D59D4">
      <w:pPr>
        <w:pStyle w:val="nzIndenta"/>
      </w:pPr>
      <w:r>
        <w:tab/>
        <w:t>(b)</w:t>
      </w:r>
      <w:r>
        <w:tab/>
        <w:t>a person making a section 104J election.</w:t>
      </w:r>
    </w:p>
    <w:p w:rsidR="00542CEF" w:rsidRDefault="008D59D4">
      <w:pPr>
        <w:pStyle w:val="nz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rsidR="00542CEF" w:rsidRDefault="008D59D4">
      <w:pPr>
        <w:pStyle w:val="nzSubsection"/>
      </w:pPr>
      <w:r>
        <w:tab/>
        <w:t>(5)</w:t>
      </w:r>
      <w:r>
        <w:tab/>
        <w:t>In circumstances described in subregulation (3) or (4), any demerit points that were cancelled as a result of the notice, except any subsequently removed, have the effect, if any, that they would have if they had not been cancelled.</w:t>
      </w:r>
    </w:p>
    <w:p w:rsidR="00542CEF" w:rsidRDefault="008D59D4">
      <w:pPr>
        <w:pStyle w:val="nzSubsection"/>
      </w:pPr>
      <w:r>
        <w:tab/>
        <w:t>(6)</w:t>
      </w:r>
      <w:r>
        <w:tab/>
        <w:t xml:space="preserve">Subregulation (7) applies if — </w:t>
      </w:r>
    </w:p>
    <w:p w:rsidR="00542CEF" w:rsidRDefault="008D59D4">
      <w:pPr>
        <w:pStyle w:val="nzIndenta"/>
      </w:pPr>
      <w:r>
        <w:tab/>
        <w:t>(a)</w:t>
      </w:r>
      <w:r>
        <w:tab/>
        <w:t>the giving of a notice under section 104I(1) of the Act required the cancellation of any demerit point subsequently removed; and</w:t>
      </w:r>
    </w:p>
    <w:p w:rsidR="00542CEF" w:rsidRDefault="008D59D4">
      <w:pPr>
        <w:pStyle w:val="nzIndenta"/>
      </w:pPr>
      <w:r>
        <w:tab/>
        <w:t>(b)</w:t>
      </w:r>
      <w:r>
        <w:tab/>
        <w:t xml:space="preserve">at the time of removal — </w:t>
      </w:r>
    </w:p>
    <w:p w:rsidR="00542CEF" w:rsidRDefault="008D59D4">
      <w:pPr>
        <w:pStyle w:val="nzIndenti"/>
      </w:pPr>
      <w:r>
        <w:tab/>
        <w:t>(i)</w:t>
      </w:r>
      <w:r>
        <w:tab/>
        <w:t>the notice has resulted in a period of disqualification; or</w:t>
      </w:r>
    </w:p>
    <w:p w:rsidR="00542CEF" w:rsidRDefault="008D59D4">
      <w:pPr>
        <w:pStyle w:val="nz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rsidR="00542CEF" w:rsidRDefault="008D59D4">
      <w:pPr>
        <w:pStyle w:val="nzSubsection"/>
      </w:pPr>
      <w:r>
        <w:tab/>
        <w:t>(7)</w:t>
      </w:r>
      <w:r>
        <w:tab/>
        <w:t xml:space="preserve">In circumstances described in subregulation (6) — </w:t>
      </w:r>
    </w:p>
    <w:p w:rsidR="00542CEF" w:rsidRDefault="008D59D4">
      <w:pPr>
        <w:pStyle w:val="nzIndenta"/>
      </w:pPr>
      <w:r>
        <w:tab/>
        <w:t>(a)</w:t>
      </w:r>
      <w:r>
        <w:tab/>
        <w:t xml:space="preserve">if a notice under section 104I(1) would not have been given if each demerit point removed had never been recorded — </w:t>
      </w:r>
    </w:p>
    <w:p w:rsidR="00542CEF" w:rsidRDefault="008D59D4">
      <w:pPr>
        <w:pStyle w:val="nzIndenti"/>
      </w:pPr>
      <w:r>
        <w:tab/>
        <w:t>(i)</w:t>
      </w:r>
      <w:r>
        <w:tab/>
        <w:t>the period of disqualification ceases at the time of removal if it has not already expired; and</w:t>
      </w:r>
    </w:p>
    <w:p w:rsidR="00542CEF" w:rsidRDefault="008D59D4">
      <w:pPr>
        <w:pStyle w:val="nzIndenti"/>
      </w:pPr>
      <w:r>
        <w:tab/>
        <w:t>(ii)</w:t>
      </w:r>
      <w:r>
        <w:tab/>
        <w:t>any demerit points that were cancelled as a result of the notice, except any removed or under subregulation (8) credited as served, have the effect, if any, that they would have if they had not been cancelled;</w:t>
      </w:r>
    </w:p>
    <w:p w:rsidR="00542CEF" w:rsidRDefault="008D59D4">
      <w:pPr>
        <w:pStyle w:val="nzIndenta"/>
      </w:pPr>
      <w:r>
        <w:tab/>
      </w:r>
      <w:r>
        <w:tab/>
        <w:t>and</w:t>
      </w:r>
    </w:p>
    <w:p w:rsidR="00542CEF" w:rsidRDefault="008D59D4">
      <w:pPr>
        <w:pStyle w:val="nzIndenta"/>
      </w:pPr>
      <w:r>
        <w:tab/>
        <w:t>(b)</w:t>
      </w:r>
      <w:r>
        <w:tab/>
        <w:t xml:space="preserve">if a notice under section 104I(1) would have been given even if each demerit point removed had never been recorded — </w:t>
      </w:r>
    </w:p>
    <w:p w:rsidR="00542CEF" w:rsidRDefault="008D59D4">
      <w:pPr>
        <w:pStyle w:val="nzIndenti"/>
      </w:pPr>
      <w:r>
        <w:tab/>
        <w:t>(i)</w:t>
      </w:r>
      <w:r>
        <w:tab/>
        <w:t>the period of disqualification, whether or not it has already expired, is adjusted, if required, to what it would have been if the points removed had never been recorded; and</w:t>
      </w:r>
    </w:p>
    <w:p w:rsidR="00542CEF" w:rsidRDefault="008D59D4">
      <w:pPr>
        <w:pStyle w:val="nzIndenti"/>
      </w:pPr>
      <w:r>
        <w:tab/>
        <w:t>(ii)</w:t>
      </w:r>
      <w:r>
        <w:tab/>
        <w:t xml:space="preserve">if a greater period of disqualification has already been served than the adjusted period (in which case the difference is called the </w:t>
      </w:r>
      <w:r>
        <w:rPr>
          <w:b/>
        </w:rPr>
        <w:t>“</w:t>
      </w:r>
      <w:r>
        <w:rPr>
          <w:rStyle w:val="CharDefText"/>
        </w:rPr>
        <w:t>excess period served</w:t>
      </w:r>
      <w:r>
        <w:rPr>
          <w:b/>
        </w:rPr>
        <w:t>”</w:t>
      </w:r>
      <w:r>
        <w:t>), the number of current demerit points, if any, then recorded against the person is to be reduced by cancelling one or more points according to subregulation (9).</w:t>
      </w:r>
    </w:p>
    <w:p w:rsidR="00542CEF" w:rsidRDefault="008D59D4">
      <w:pPr>
        <w:pStyle w:val="nz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rsidR="00542CEF" w:rsidRDefault="008D59D4">
      <w:pPr>
        <w:pStyle w:val="nz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rsidR="00542CEF" w:rsidRDefault="008D59D4">
      <w:pPr>
        <w:pStyle w:val="nzSubsection"/>
      </w:pPr>
      <w:r>
        <w:rPr>
          <w:i/>
          <w:iCs/>
        </w:rPr>
        <w:t>N</w:t>
      </w:r>
      <w:r>
        <w:t xml:space="preserve"> = (4*</w:t>
      </w:r>
      <w:r>
        <w:rPr>
          <w:i/>
          <w:iCs/>
        </w:rPr>
        <w:t>d</w:t>
      </w:r>
      <w:r>
        <w:t>)/30</w:t>
      </w:r>
    </w:p>
    <w:p w:rsidR="00542CEF" w:rsidRDefault="008D59D4">
      <w:pPr>
        <w:pStyle w:val="nzSubsection"/>
      </w:pPr>
      <w:r>
        <w:tab/>
      </w:r>
      <w:r>
        <w:tab/>
        <w:t xml:space="preserve">where — </w:t>
      </w:r>
    </w:p>
    <w:p w:rsidR="00542CEF" w:rsidRDefault="008D59D4">
      <w:pPr>
        <w:pStyle w:val="nzSubsection"/>
      </w:pPr>
      <w:r>
        <w:tab/>
      </w:r>
      <w:r>
        <w:tab/>
      </w:r>
      <w:r>
        <w:rPr>
          <w:i/>
          <w:iCs/>
        </w:rPr>
        <w:t>d</w:t>
      </w:r>
      <w:r>
        <w:t xml:space="preserve"> is the number of days in the excess period served.</w:t>
      </w:r>
    </w:p>
    <w:p w:rsidR="00542CEF" w:rsidRDefault="008D59D4">
      <w:pPr>
        <w:pStyle w:val="nzSubsection"/>
      </w:pPr>
      <w:r>
        <w:tab/>
        <w:t>(10)</w:t>
      </w:r>
      <w:r>
        <w:tab/>
        <w:t>Neither subregulation (3), (4) nor (7)(a)(i) prevents a further notice from being given under section 104I(1).</w:t>
      </w:r>
    </w:p>
    <w:p w:rsidR="00542CEF" w:rsidRDefault="008D59D4">
      <w:pPr>
        <w:pStyle w:val="nzHeading5"/>
      </w:pPr>
      <w:bookmarkStart w:id="109" w:name="_Toc198464852"/>
      <w:r>
        <w:rPr>
          <w:rStyle w:val="CharSectno"/>
        </w:rPr>
        <w:t>9</w:t>
      </w:r>
      <w:r>
        <w:t>.</w:t>
      </w:r>
      <w:r>
        <w:tab/>
        <w:t>Alternative to giving certain notices personally</w:t>
      </w:r>
      <w:bookmarkEnd w:id="109"/>
    </w:p>
    <w:p w:rsidR="00542CEF" w:rsidRDefault="008D59D4">
      <w:pPr>
        <w:pStyle w:val="nzSubsection"/>
      </w:pPr>
      <w:r>
        <w:tab/>
      </w:r>
      <w:r>
        <w:tab/>
        <w:t>A notice referred to in section 104R of the Act may be given to a person by a form of mail that involves the person taking personal delivery of the notice and acknowledging in writing having taken delivery of it.</w:t>
      </w:r>
    </w:p>
    <w:p w:rsidR="00542CEF" w:rsidRDefault="008D59D4">
      <w:pPr>
        <w:pStyle w:val="nzHeading5"/>
      </w:pPr>
      <w:bookmarkStart w:id="110" w:name="_Toc198464853"/>
      <w:r>
        <w:rPr>
          <w:rStyle w:val="CharSectno"/>
        </w:rPr>
        <w:t>10</w:t>
      </w:r>
      <w:r>
        <w:t>.</w:t>
      </w:r>
      <w:r>
        <w:tab/>
        <w:t>Transitional matters</w:t>
      </w:r>
      <w:bookmarkEnd w:id="110"/>
    </w:p>
    <w:p w:rsidR="00542CEF" w:rsidRDefault="008D59D4">
      <w:pPr>
        <w:pStyle w:val="nzSubsection"/>
        <w:keepNext/>
      </w:pPr>
      <w:r>
        <w:tab/>
        <w:t>(1)</w:t>
      </w:r>
      <w:r>
        <w:tab/>
        <w:t xml:space="preserve">In this regulation — </w:t>
      </w:r>
    </w:p>
    <w:p w:rsidR="00542CEF" w:rsidRDefault="008D59D4">
      <w:pPr>
        <w:pStyle w:val="nzDefstart"/>
      </w:pPr>
      <w:r>
        <w:rPr>
          <w:b/>
        </w:rPr>
        <w:tab/>
        <w:t>“</w:t>
      </w:r>
      <w:r>
        <w:rPr>
          <w:rStyle w:val="CharDefText"/>
        </w:rPr>
        <w:t>transition day</w:t>
      </w:r>
      <w:r>
        <w:rPr>
          <w:b/>
        </w:rPr>
        <w:t>”</w:t>
      </w:r>
      <w:r>
        <w:t xml:space="preserve"> means the day on which the</w:t>
      </w:r>
      <w:r>
        <w:rPr>
          <w:i/>
          <w:iCs/>
        </w:rPr>
        <w:t xml:space="preserve"> Road Traffic Amendment Act 2006</w:t>
      </w:r>
      <w:r>
        <w:t xml:space="preserve"> section 31 comes into operation.</w:t>
      </w:r>
    </w:p>
    <w:p w:rsidR="00542CEF" w:rsidRDefault="008D59D4">
      <w:pPr>
        <w:pStyle w:val="nzSubsection"/>
      </w:pPr>
      <w:r>
        <w:tab/>
        <w:t>(2)</w:t>
      </w:r>
      <w:r>
        <w:tab/>
        <w:t xml:space="preserve">Nothing in this regulation is intended to exclude any provision of the </w:t>
      </w:r>
      <w:r>
        <w:rPr>
          <w:i/>
        </w:rPr>
        <w:t>Interpretation Act 1984</w:t>
      </w:r>
      <w:r>
        <w:t xml:space="preserve"> Part V.</w:t>
      </w:r>
    </w:p>
    <w:p w:rsidR="00542CEF" w:rsidRDefault="008D59D4">
      <w:pPr>
        <w:pStyle w:val="nz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rsidR="00542CEF" w:rsidRDefault="008D59D4">
      <w:pPr>
        <w:pStyle w:val="nzSubsection"/>
      </w:pPr>
      <w:r>
        <w:tab/>
        <w:t>(4)</w:t>
      </w:r>
      <w:r>
        <w:tab/>
        <w:t>Subregulation (3) does not affect the continuation of any disqualification to which the person is subject immediately before the transition day.</w:t>
      </w:r>
    </w:p>
    <w:p w:rsidR="00542CEF" w:rsidRDefault="008D59D4">
      <w:pPr>
        <w:pStyle w:val="nz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rsidR="00542CEF" w:rsidRDefault="008D59D4">
      <w:pPr>
        <w:pStyle w:val="nzSubsection"/>
      </w:pPr>
      <w:r>
        <w:tab/>
        <w:t>(6)</w:t>
      </w:r>
      <w:r>
        <w:tab/>
        <w:t xml:space="preserve">The reference in the </w:t>
      </w:r>
      <w:r>
        <w:rPr>
          <w:i/>
          <w:iCs/>
        </w:rPr>
        <w:t>Road Traffic Act 1974</w:t>
      </w:r>
      <w:r>
        <w:t xml:space="preserve"> section 76(1ac) to a person being disqualified under Part VI does not include a person disqualified by a notice of disqualification served under the </w:t>
      </w:r>
      <w:r>
        <w:rPr>
          <w:i/>
          <w:iCs/>
        </w:rPr>
        <w:t>Road Traffic Act 1974</w:t>
      </w:r>
      <w:r>
        <w:t xml:space="preserve"> section 103 before the transition day.</w:t>
      </w:r>
    </w:p>
    <w:p w:rsidR="00542CEF" w:rsidRDefault="008D59D4">
      <w:pPr>
        <w:pStyle w:val="nzHeading2"/>
      </w:pPr>
      <w:bookmarkStart w:id="111" w:name="_Toc195507031"/>
      <w:bookmarkStart w:id="112" w:name="_Toc195590137"/>
      <w:bookmarkStart w:id="113" w:name="_Toc195785250"/>
      <w:bookmarkStart w:id="114" w:name="_Toc195785269"/>
      <w:bookmarkStart w:id="115" w:name="_Toc195796000"/>
      <w:bookmarkStart w:id="116" w:name="_Toc196882980"/>
      <w:bookmarkStart w:id="117" w:name="_Toc196883320"/>
      <w:bookmarkStart w:id="118" w:name="_Toc197505786"/>
      <w:bookmarkStart w:id="119" w:name="_Toc197762625"/>
      <w:bookmarkStart w:id="120" w:name="_Toc197763958"/>
      <w:bookmarkStart w:id="121" w:name="_Toc197764088"/>
      <w:bookmarkStart w:id="122" w:name="_Toc197764317"/>
      <w:bookmarkStart w:id="123" w:name="_Toc197764988"/>
      <w:bookmarkStart w:id="124" w:name="_Toc197942883"/>
      <w:bookmarkStart w:id="125" w:name="_Toc197943583"/>
      <w:bookmarkStart w:id="126" w:name="_Toc198002948"/>
      <w:bookmarkStart w:id="127" w:name="_Toc198003434"/>
      <w:bookmarkStart w:id="128" w:name="_Toc198003576"/>
      <w:bookmarkStart w:id="129" w:name="_Toc198003596"/>
      <w:bookmarkStart w:id="130" w:name="_Toc198003887"/>
      <w:bookmarkStart w:id="131" w:name="_Toc198088763"/>
      <w:bookmarkStart w:id="132" w:name="_Toc198090488"/>
      <w:bookmarkStart w:id="133" w:name="_Toc198090763"/>
      <w:bookmarkStart w:id="134" w:name="_Toc198090804"/>
      <w:bookmarkStart w:id="135" w:name="_Toc198090852"/>
      <w:bookmarkStart w:id="136" w:name="_Toc198464854"/>
      <w:bookmarkStart w:id="137" w:name="_Toc191461644"/>
      <w:r>
        <w:rPr>
          <w:rStyle w:val="CharPartNo"/>
        </w:rPr>
        <w:t>Part 4</w:t>
      </w:r>
      <w:r>
        <w:rPr>
          <w:rStyle w:val="CharDivNo"/>
        </w:rPr>
        <w:t> </w:t>
      </w:r>
      <w:r>
        <w:t>—</w:t>
      </w:r>
      <w:r>
        <w:rPr>
          <w:rStyle w:val="CharDivText"/>
        </w:rPr>
        <w:t> </w:t>
      </w:r>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Repeal</w:t>
      </w:r>
      <w:bookmarkEnd w:id="124"/>
      <w:bookmarkEnd w:id="125"/>
      <w:bookmarkEnd w:id="126"/>
      <w:bookmarkEnd w:id="127"/>
      <w:bookmarkEnd w:id="128"/>
      <w:bookmarkEnd w:id="129"/>
      <w:bookmarkEnd w:id="130"/>
      <w:bookmarkEnd w:id="131"/>
      <w:bookmarkEnd w:id="132"/>
      <w:bookmarkEnd w:id="133"/>
      <w:bookmarkEnd w:id="134"/>
      <w:bookmarkEnd w:id="135"/>
      <w:bookmarkEnd w:id="136"/>
    </w:p>
    <w:p w:rsidR="00542CEF" w:rsidRDefault="008D59D4">
      <w:pPr>
        <w:pStyle w:val="nzHeading5"/>
      </w:pPr>
      <w:bookmarkStart w:id="138" w:name="_Toc198464855"/>
      <w:r>
        <w:rPr>
          <w:rStyle w:val="CharSectno"/>
        </w:rPr>
        <w:t>11</w:t>
      </w:r>
      <w:r>
        <w:t>.</w:t>
      </w:r>
      <w:r>
        <w:tab/>
        <w:t>Repeal</w:t>
      </w:r>
      <w:bookmarkEnd w:id="138"/>
    </w:p>
    <w:p w:rsidR="00542CEF" w:rsidRDefault="008D59D4">
      <w:pPr>
        <w:pStyle w:val="nzSubsection"/>
      </w:pPr>
      <w:r>
        <w:tab/>
      </w:r>
      <w:r>
        <w:tab/>
        <w:t xml:space="preserve">The </w:t>
      </w:r>
      <w:r>
        <w:rPr>
          <w:i/>
        </w:rPr>
        <w:t>Road Traffic (General) Regulations 2008</w:t>
      </w:r>
      <w:r>
        <w:t xml:space="preserve"> are repealed.</w:t>
      </w:r>
    </w:p>
    <w:p w:rsidR="00542CEF" w:rsidRDefault="008D59D4">
      <w:pPr>
        <w:pStyle w:val="nzHeading2"/>
        <w:spacing w:before="240"/>
      </w:pPr>
      <w:bookmarkStart w:id="139" w:name="_Toc198002950"/>
      <w:bookmarkStart w:id="140" w:name="_Toc198003436"/>
      <w:bookmarkStart w:id="141" w:name="_Toc198003578"/>
      <w:bookmarkStart w:id="142" w:name="_Toc198003598"/>
      <w:bookmarkStart w:id="143" w:name="_Toc198003889"/>
      <w:bookmarkStart w:id="144" w:name="_Toc198088765"/>
      <w:bookmarkStart w:id="145" w:name="_Toc198090490"/>
      <w:bookmarkStart w:id="146" w:name="_Toc198090765"/>
      <w:bookmarkStart w:id="147" w:name="_Toc198090806"/>
      <w:bookmarkStart w:id="148" w:name="_Toc198090854"/>
      <w:bookmarkStart w:id="149" w:name="_Toc198464856"/>
      <w:bookmarkEnd w:id="137"/>
      <w:r>
        <w:rPr>
          <w:rStyle w:val="CharSchNo"/>
        </w:rPr>
        <w:t>Schedule 1</w:t>
      </w:r>
      <w:r>
        <w:rPr>
          <w:rStyle w:val="CharSDivNo"/>
        </w:rPr>
        <w:t> </w:t>
      </w:r>
      <w:r>
        <w:t>—</w:t>
      </w:r>
      <w:bookmarkStart w:id="150" w:name="AutoSch"/>
      <w:bookmarkEnd w:id="150"/>
      <w:r>
        <w:rPr>
          <w:rStyle w:val="CharSDivText"/>
        </w:rPr>
        <w:t> </w:t>
      </w:r>
      <w:r>
        <w:rPr>
          <w:rStyle w:val="CharSchText"/>
        </w:rPr>
        <w:t>Form of caution</w:t>
      </w:r>
      <w:bookmarkEnd w:id="139"/>
      <w:bookmarkEnd w:id="140"/>
      <w:bookmarkEnd w:id="141"/>
      <w:bookmarkEnd w:id="142"/>
      <w:bookmarkEnd w:id="143"/>
      <w:bookmarkEnd w:id="144"/>
      <w:bookmarkEnd w:id="145"/>
      <w:bookmarkEnd w:id="146"/>
      <w:bookmarkEnd w:id="147"/>
      <w:bookmarkEnd w:id="148"/>
      <w:bookmarkEnd w:id="149"/>
    </w:p>
    <w:p w:rsidR="00542CEF" w:rsidRDefault="008D59D4">
      <w:pPr>
        <w:pStyle w:val="nzMiscellaneousBody"/>
        <w:jc w:val="right"/>
      </w:pPr>
      <w:r>
        <w:t>[r. 4]</w:t>
      </w:r>
    </w:p>
    <w:p w:rsidR="00542CEF" w:rsidRDefault="008D59D4">
      <w:pPr>
        <w:pStyle w:val="nzMiscellaneousHeading"/>
      </w:pPr>
      <w:r>
        <w:rPr>
          <w:b/>
          <w:bCs/>
        </w:rPr>
        <w:t>CAUTION (Penalty Enforcement Suspension)</w:t>
      </w:r>
    </w:p>
    <w:p w:rsidR="00542CEF" w:rsidRDefault="008D59D4">
      <w:pPr>
        <w:pStyle w:val="nzMiscellaneousHeading"/>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rsidR="00542CEF" w:rsidRDefault="008D59D4">
      <w:pPr>
        <w:pStyle w:val="nzMiscellaneousHeading"/>
        <w:rPr>
          <w:sz w:val="16"/>
          <w:szCs w:val="16"/>
        </w:rPr>
      </w:pPr>
      <w:r>
        <w:rPr>
          <w:sz w:val="16"/>
          <w:szCs w:val="16"/>
        </w:rPr>
        <w:t>You are cautioned for driving while a licence suspension order applies for unpaid fines.</w:t>
      </w:r>
    </w:p>
    <w:tbl>
      <w:tblPr>
        <w:tblW w:w="62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0"/>
        <w:gridCol w:w="4920"/>
      </w:tblGrid>
      <w:tr w:rsidR="00542CEF">
        <w:tc>
          <w:tcPr>
            <w:tcW w:w="1320" w:type="dxa"/>
          </w:tcPr>
          <w:p w:rsidR="00542CEF" w:rsidRDefault="008D59D4">
            <w:pPr>
              <w:pStyle w:val="nzTable"/>
            </w:pPr>
            <w:r>
              <w:t>Driver:</w:t>
            </w:r>
          </w:p>
        </w:tc>
        <w:tc>
          <w:tcPr>
            <w:tcW w:w="4920" w:type="dxa"/>
          </w:tcPr>
          <w:p w:rsidR="00542CEF" w:rsidRDefault="008D59D4">
            <w:pPr>
              <w:pStyle w:val="nzTable"/>
              <w:tabs>
                <w:tab w:val="left" w:pos="2278"/>
              </w:tabs>
            </w:pPr>
            <w:r>
              <w:tab/>
              <w:t>DOB:</w:t>
            </w:r>
            <w:r>
              <w:tab/>
              <w:t>/</w:t>
            </w:r>
            <w:r>
              <w:tab/>
              <w:t>/</w:t>
            </w:r>
          </w:p>
        </w:tc>
      </w:tr>
      <w:tr w:rsidR="00542CEF">
        <w:tc>
          <w:tcPr>
            <w:tcW w:w="1320" w:type="dxa"/>
          </w:tcPr>
          <w:p w:rsidR="00542CEF" w:rsidRDefault="008D59D4">
            <w:pPr>
              <w:pStyle w:val="nzTable"/>
            </w:pPr>
            <w:r>
              <w:t>Address:</w:t>
            </w:r>
          </w:p>
        </w:tc>
        <w:tc>
          <w:tcPr>
            <w:tcW w:w="4920" w:type="dxa"/>
          </w:tcPr>
          <w:p w:rsidR="00542CEF" w:rsidRDefault="008D59D4">
            <w:pPr>
              <w:pStyle w:val="nzTable"/>
              <w:tabs>
                <w:tab w:val="left" w:pos="2278"/>
              </w:tabs>
            </w:pPr>
            <w:r>
              <w:tab/>
              <w:t>Phone:</w:t>
            </w:r>
          </w:p>
        </w:tc>
      </w:tr>
      <w:tr w:rsidR="00542CEF">
        <w:tc>
          <w:tcPr>
            <w:tcW w:w="1320" w:type="dxa"/>
          </w:tcPr>
          <w:p w:rsidR="00542CEF" w:rsidRDefault="008D59D4">
            <w:pPr>
              <w:pStyle w:val="nzTable"/>
            </w:pPr>
            <w:r>
              <w:t>Driver’s licence details:</w:t>
            </w:r>
          </w:p>
        </w:tc>
        <w:tc>
          <w:tcPr>
            <w:tcW w:w="4920" w:type="dxa"/>
          </w:tcPr>
          <w:p w:rsidR="00542CEF" w:rsidRDefault="008D59D4">
            <w:pPr>
              <w:pStyle w:val="nzTable"/>
            </w:pPr>
            <w:r>
              <w:br/>
              <w:t>MDL No.:</w:t>
            </w:r>
            <w:r>
              <w:br/>
              <w:t>Issued in:</w:t>
            </w:r>
            <w:r>
              <w:tab/>
            </w:r>
            <w:r>
              <w:tab/>
              <w:t>Expiry:</w:t>
            </w:r>
            <w:r>
              <w:tab/>
              <w:t>/</w:t>
            </w:r>
            <w:r>
              <w:tab/>
              <w:t>/</w:t>
            </w:r>
          </w:p>
        </w:tc>
      </w:tr>
      <w:tr w:rsidR="00542CEF">
        <w:tc>
          <w:tcPr>
            <w:tcW w:w="1320" w:type="dxa"/>
          </w:tcPr>
          <w:p w:rsidR="00542CEF" w:rsidRDefault="00542CEF">
            <w:pPr>
              <w:pStyle w:val="nzTable"/>
            </w:pPr>
          </w:p>
          <w:p w:rsidR="00542CEF" w:rsidRDefault="008D59D4">
            <w:pPr>
              <w:pStyle w:val="nzTable"/>
            </w:pPr>
            <w:r>
              <w:t>Vehicle:</w:t>
            </w:r>
          </w:p>
        </w:tc>
        <w:tc>
          <w:tcPr>
            <w:tcW w:w="4920" w:type="dxa"/>
          </w:tcPr>
          <w:p w:rsidR="00542CEF" w:rsidRDefault="008D59D4">
            <w:pPr>
              <w:pStyle w:val="nzTable"/>
            </w:pPr>
            <w:r>
              <w:t>Reg. No.:</w:t>
            </w:r>
          </w:p>
          <w:p w:rsidR="00542CEF" w:rsidRDefault="008D59D4">
            <w:pPr>
              <w:pStyle w:val="nzTable"/>
            </w:pPr>
            <w:r>
              <w:t>Make / Model:</w:t>
            </w:r>
          </w:p>
        </w:tc>
      </w:tr>
      <w:tr w:rsidR="00542CEF">
        <w:tc>
          <w:tcPr>
            <w:tcW w:w="1320" w:type="dxa"/>
          </w:tcPr>
          <w:p w:rsidR="00542CEF" w:rsidRDefault="008D59D4">
            <w:pPr>
              <w:pStyle w:val="nzTable"/>
            </w:pPr>
            <w:r>
              <w:t>Time and date stopped:</w:t>
            </w:r>
          </w:p>
        </w:tc>
        <w:tc>
          <w:tcPr>
            <w:tcW w:w="4920" w:type="dxa"/>
          </w:tcPr>
          <w:p w:rsidR="00542CEF" w:rsidRDefault="008D59D4">
            <w:pPr>
              <w:pStyle w:val="nzTable"/>
              <w:tabs>
                <w:tab w:val="left" w:pos="2278"/>
              </w:tabs>
            </w:pPr>
            <w:r>
              <w:br/>
            </w:r>
            <w:r>
              <w:tab/>
              <w:t>hrs on</w:t>
            </w:r>
            <w:r>
              <w:tab/>
              <w:t>/</w:t>
            </w:r>
            <w:r>
              <w:tab/>
              <w:t>/</w:t>
            </w:r>
          </w:p>
        </w:tc>
      </w:tr>
      <w:tr w:rsidR="00542CEF">
        <w:tc>
          <w:tcPr>
            <w:tcW w:w="1320" w:type="dxa"/>
          </w:tcPr>
          <w:p w:rsidR="00542CEF" w:rsidRDefault="008D59D4">
            <w:pPr>
              <w:pStyle w:val="nzTable"/>
            </w:pPr>
            <w:r>
              <w:t>Location stopped:</w:t>
            </w:r>
          </w:p>
        </w:tc>
        <w:tc>
          <w:tcPr>
            <w:tcW w:w="4920" w:type="dxa"/>
          </w:tcPr>
          <w:p w:rsidR="00542CEF" w:rsidRDefault="00542CEF">
            <w:pPr>
              <w:pStyle w:val="nzTable"/>
            </w:pPr>
          </w:p>
        </w:tc>
      </w:tr>
      <w:tr w:rsidR="00542CEF">
        <w:tc>
          <w:tcPr>
            <w:tcW w:w="1320" w:type="dxa"/>
          </w:tcPr>
          <w:p w:rsidR="00542CEF" w:rsidRDefault="008D59D4">
            <w:pPr>
              <w:pStyle w:val="nzTable"/>
            </w:pPr>
            <w:r>
              <w:t>Driver’s signature:</w:t>
            </w:r>
          </w:p>
        </w:tc>
        <w:tc>
          <w:tcPr>
            <w:tcW w:w="4920" w:type="dxa"/>
          </w:tcPr>
          <w:p w:rsidR="00542CEF" w:rsidRDefault="008D59D4">
            <w:pPr>
              <w:pStyle w:val="nzTable"/>
              <w:tabs>
                <w:tab w:val="left" w:pos="2278"/>
              </w:tabs>
            </w:pPr>
            <w:r>
              <w:br/>
            </w:r>
            <w:r>
              <w:tab/>
              <w:t>Time signed:</w:t>
            </w:r>
          </w:p>
        </w:tc>
      </w:tr>
      <w:tr w:rsidR="00542CEF">
        <w:tc>
          <w:tcPr>
            <w:tcW w:w="1320" w:type="dxa"/>
          </w:tcPr>
          <w:p w:rsidR="00542CEF" w:rsidRDefault="008D59D4">
            <w:pPr>
              <w:pStyle w:val="nzTable"/>
            </w:pPr>
            <w:r>
              <w:t>Police officer issuing caution:</w:t>
            </w:r>
          </w:p>
        </w:tc>
        <w:tc>
          <w:tcPr>
            <w:tcW w:w="4920" w:type="dxa"/>
          </w:tcPr>
          <w:p w:rsidR="00542CEF" w:rsidRDefault="008D59D4">
            <w:pPr>
              <w:pStyle w:val="nzTable"/>
              <w:tabs>
                <w:tab w:val="left" w:pos="2292"/>
              </w:tabs>
            </w:pPr>
            <w:r>
              <w:t>Signature:</w:t>
            </w:r>
            <w:r>
              <w:br/>
              <w:t>Name:</w:t>
            </w:r>
            <w:r>
              <w:tab/>
              <w:t>Rank/Reg:</w:t>
            </w:r>
          </w:p>
          <w:p w:rsidR="00542CEF" w:rsidRDefault="008D59D4">
            <w:pPr>
              <w:pStyle w:val="nzTable"/>
              <w:tabs>
                <w:tab w:val="left" w:pos="2292"/>
              </w:tabs>
            </w:pPr>
            <w:r>
              <w:t>Station:</w:t>
            </w:r>
            <w:r>
              <w:tab/>
              <w:t>Phone No.:</w:t>
            </w:r>
          </w:p>
        </w:tc>
      </w:tr>
      <w:tr w:rsidR="00542CEF">
        <w:tc>
          <w:tcPr>
            <w:tcW w:w="1320" w:type="dxa"/>
          </w:tcPr>
          <w:p w:rsidR="00542CEF" w:rsidRDefault="008D59D4">
            <w:pPr>
              <w:pStyle w:val="nzTable"/>
            </w:pPr>
            <w:r>
              <w:t>Licence suspension details:</w:t>
            </w:r>
          </w:p>
        </w:tc>
        <w:tc>
          <w:tcPr>
            <w:tcW w:w="4920" w:type="dxa"/>
          </w:tcPr>
          <w:p w:rsidR="00542CEF" w:rsidRDefault="008D59D4">
            <w:pPr>
              <w:pStyle w:val="nzTable"/>
              <w:tabs>
                <w:tab w:val="left" w:pos="2292"/>
              </w:tabs>
            </w:pPr>
            <w:r>
              <w:br/>
            </w:r>
            <w:r>
              <w:br/>
              <w:t>Start date:</w:t>
            </w:r>
            <w:r>
              <w:tab/>
              <w:t>Case No.:</w:t>
            </w:r>
          </w:p>
        </w:tc>
      </w:tr>
    </w:tbl>
    <w:p w:rsidR="00542CEF" w:rsidRDefault="008D59D4">
      <w:pPr>
        <w:pStyle w:val="nzMiscellaneousHeading"/>
      </w:pPr>
      <w:r>
        <w:rPr>
          <w:b/>
          <w:sz w:val="22"/>
        </w:rPr>
        <w:t>RESTRICTED PERMIT TO DRIVE / TRAVEL</w:t>
      </w:r>
    </w:p>
    <w:tbl>
      <w:tblPr>
        <w:tblW w:w="62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0"/>
        <w:gridCol w:w="4920"/>
      </w:tblGrid>
      <w:tr w:rsidR="00542CEF">
        <w:tc>
          <w:tcPr>
            <w:tcW w:w="1320" w:type="dxa"/>
          </w:tcPr>
          <w:p w:rsidR="00542CEF" w:rsidRDefault="008D59D4">
            <w:pPr>
              <w:pStyle w:val="nzTable"/>
            </w:pPr>
            <w:r>
              <w:t>Driving / travel is authorised only until:</w:t>
            </w:r>
          </w:p>
        </w:tc>
        <w:tc>
          <w:tcPr>
            <w:tcW w:w="4920" w:type="dxa"/>
          </w:tcPr>
          <w:p w:rsidR="00542CEF" w:rsidRDefault="008D59D4">
            <w:pPr>
              <w:pStyle w:val="nzTable"/>
              <w:tabs>
                <w:tab w:val="left" w:pos="2292"/>
              </w:tabs>
            </w:pPr>
            <w:r>
              <w:br/>
            </w:r>
            <w:r>
              <w:br/>
            </w:r>
            <w:r>
              <w:br/>
            </w:r>
            <w:r>
              <w:tab/>
              <w:t>hrs on</w:t>
            </w:r>
            <w:r>
              <w:tab/>
              <w:t>/</w:t>
            </w:r>
            <w:r>
              <w:tab/>
              <w:t>/</w:t>
            </w:r>
          </w:p>
        </w:tc>
      </w:tr>
      <w:tr w:rsidR="00542CEF">
        <w:tc>
          <w:tcPr>
            <w:tcW w:w="1320" w:type="dxa"/>
          </w:tcPr>
          <w:p w:rsidR="00542CEF" w:rsidRDefault="008D59D4">
            <w:pPr>
              <w:pStyle w:val="nzTable"/>
            </w:pPr>
            <w:r>
              <w:t>Journey is only authorised as mentioned:</w:t>
            </w:r>
          </w:p>
        </w:tc>
        <w:tc>
          <w:tcPr>
            <w:tcW w:w="4920" w:type="dxa"/>
          </w:tcPr>
          <w:p w:rsidR="00542CEF" w:rsidRDefault="008D59D4">
            <w:pPr>
              <w:pStyle w:val="nzTable"/>
            </w:pPr>
            <w:r>
              <w:t>Travel from  …..……………………….........................</w:t>
            </w:r>
            <w:r>
              <w:br/>
            </w:r>
            <w:r>
              <w:br/>
              <w:t>to ……………………………………………………....</w:t>
            </w:r>
            <w:r>
              <w:br/>
              <w:t>by shortest practicable route.</w:t>
            </w:r>
          </w:p>
        </w:tc>
      </w:tr>
      <w:tr w:rsidR="00542CEF">
        <w:tc>
          <w:tcPr>
            <w:tcW w:w="1320" w:type="dxa"/>
          </w:tcPr>
          <w:p w:rsidR="00542CEF" w:rsidRDefault="008D59D4">
            <w:pPr>
              <w:pStyle w:val="nzTable"/>
            </w:pPr>
            <w:r>
              <w:t>Conditions:</w:t>
            </w:r>
          </w:p>
        </w:tc>
        <w:tc>
          <w:tcPr>
            <w:tcW w:w="4920" w:type="dxa"/>
          </w:tcPr>
          <w:p w:rsidR="00542CEF" w:rsidRDefault="00542CEF">
            <w:pPr>
              <w:pStyle w:val="nzTable"/>
            </w:pPr>
          </w:p>
        </w:tc>
      </w:tr>
    </w:tbl>
    <w:p w:rsidR="00542CEF" w:rsidRDefault="008D59D4">
      <w:pPr>
        <w:pStyle w:val="nzMiscellaneousBody"/>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rsidR="00542CEF" w:rsidRDefault="008D59D4">
      <w:pPr>
        <w:pStyle w:val="nzMiscellaneousBody"/>
        <w:rPr>
          <w:color w:val="FF0000"/>
        </w:rPr>
      </w:pPr>
      <w:r>
        <w:rPr>
          <w:color w:val="FF0000"/>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bookmarkStart w:id="151" w:name="_Toc198002951"/>
    <w:bookmarkStart w:id="152" w:name="_Toc198003437"/>
    <w:bookmarkStart w:id="153" w:name="_Toc198003579"/>
    <w:bookmarkStart w:id="154" w:name="_Toc198003599"/>
    <w:bookmarkStart w:id="155" w:name="_Toc198003890"/>
    <w:p w:rsidR="00542CEF" w:rsidRDefault="008D59D4">
      <w:pPr>
        <w:pStyle w:val="nzMiscellaneousBody"/>
      </w:pPr>
      <w:r>
        <w:rPr>
          <w:noProof/>
          <w:lang w:eastAsia="en-AU"/>
        </w:rPr>
        <mc:AlternateContent>
          <mc:Choice Requires="wps">
            <w:drawing>
              <wp:anchor distT="0" distB="0" distL="114300" distR="114300" simplePos="0" relativeHeight="251657728" behindDoc="0" locked="0" layoutInCell="1" allowOverlap="1">
                <wp:simplePos x="0" y="0"/>
                <wp:positionH relativeFrom="column">
                  <wp:posOffset>368935</wp:posOffset>
                </wp:positionH>
                <wp:positionV relativeFrom="paragraph">
                  <wp:posOffset>51435</wp:posOffset>
                </wp:positionV>
                <wp:extent cx="228600" cy="228600"/>
                <wp:effectExtent l="0" t="0" r="0" b="0"/>
                <wp:wrapNone/>
                <wp:docPr id="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29.05pt;margin-top:4.0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"/>
            </w:pict>
          </mc:Fallback>
        </mc:AlternateContent>
      </w:r>
      <w:r>
        <w:tab/>
        <w:t>Entered on Frontline IMS.</w:t>
      </w:r>
    </w:p>
    <w:p w:rsidR="00542CEF" w:rsidRDefault="00542CEF">
      <w:pPr>
        <w:pStyle w:val="nzMiscellaneousBody"/>
      </w:pPr>
    </w:p>
    <w:p w:rsidR="00542CEF" w:rsidRDefault="008D59D4">
      <w:pPr>
        <w:pStyle w:val="nzHeading2"/>
      </w:pPr>
      <w:bookmarkStart w:id="156" w:name="_Toc198088766"/>
      <w:bookmarkStart w:id="157" w:name="_Toc198090491"/>
      <w:bookmarkStart w:id="158" w:name="_Toc198090766"/>
      <w:bookmarkStart w:id="159" w:name="_Toc198090807"/>
      <w:bookmarkStart w:id="160" w:name="_Toc198090855"/>
      <w:bookmarkStart w:id="161" w:name="_Toc198464857"/>
      <w:r>
        <w:rPr>
          <w:rStyle w:val="CharSchNo"/>
        </w:rPr>
        <w:t>Schedule 2</w:t>
      </w:r>
      <w:r>
        <w:rPr>
          <w:rStyle w:val="CharSDivNo"/>
        </w:rPr>
        <w:t> </w:t>
      </w:r>
      <w:r>
        <w:t>—</w:t>
      </w:r>
      <w:r>
        <w:rPr>
          <w:rStyle w:val="CharSDivText"/>
        </w:rPr>
        <w:t> </w:t>
      </w:r>
      <w:r>
        <w:rPr>
          <w:rStyle w:val="CharSchText"/>
        </w:rPr>
        <w:t>Demerit point offences in WA</w:t>
      </w:r>
      <w:bookmarkEnd w:id="151"/>
      <w:bookmarkEnd w:id="152"/>
      <w:bookmarkEnd w:id="153"/>
      <w:bookmarkEnd w:id="154"/>
      <w:bookmarkEnd w:id="155"/>
      <w:bookmarkEnd w:id="156"/>
      <w:bookmarkEnd w:id="157"/>
      <w:bookmarkEnd w:id="158"/>
      <w:bookmarkEnd w:id="159"/>
      <w:bookmarkEnd w:id="160"/>
      <w:bookmarkEnd w:id="161"/>
    </w:p>
    <w:p w:rsidR="00542CEF" w:rsidRDefault="008D59D4">
      <w:pPr>
        <w:pStyle w:val="nzMiscellaneousBody"/>
        <w:keepNext/>
        <w:jc w:val="right"/>
      </w:pPr>
      <w:r>
        <w:t>[r. 6]</w:t>
      </w:r>
    </w:p>
    <w:tbl>
      <w:tblPr>
        <w:tblW w:w="6360" w:type="dxa"/>
        <w:tblInd w:w="588" w:type="dxa"/>
        <w:tblLook w:val="0000" w:firstRow="0" w:lastRow="0" w:firstColumn="0" w:lastColumn="0" w:noHBand="0" w:noVBand="0"/>
      </w:tblPr>
      <w:tblGrid>
        <w:gridCol w:w="1080"/>
        <w:gridCol w:w="4320"/>
        <w:gridCol w:w="960"/>
      </w:tblGrid>
      <w:tr w:rsidR="00542CEF">
        <w:tc>
          <w:tcPr>
            <w:tcW w:w="1080" w:type="dxa"/>
          </w:tcPr>
          <w:p w:rsidR="00542CEF" w:rsidRDefault="008D59D4">
            <w:pPr>
              <w:pStyle w:val="nzTable"/>
            </w:pPr>
            <w:r>
              <w:rPr>
                <w:b/>
                <w:bCs/>
                <w:i/>
                <w:iCs/>
              </w:rPr>
              <w:t>column 1</w:t>
            </w:r>
          </w:p>
        </w:tc>
        <w:tc>
          <w:tcPr>
            <w:tcW w:w="4320" w:type="dxa"/>
          </w:tcPr>
          <w:p w:rsidR="00542CEF" w:rsidRDefault="008D59D4">
            <w:pPr>
              <w:pStyle w:val="nzTable"/>
            </w:pPr>
            <w:r>
              <w:rPr>
                <w:b/>
                <w:bCs/>
                <w:i/>
                <w:iCs/>
              </w:rPr>
              <w:t>column 2</w:t>
            </w:r>
          </w:p>
        </w:tc>
        <w:tc>
          <w:tcPr>
            <w:tcW w:w="960" w:type="dxa"/>
          </w:tcPr>
          <w:p w:rsidR="00542CEF" w:rsidRDefault="008D59D4">
            <w:pPr>
              <w:pStyle w:val="nzTable"/>
            </w:pPr>
            <w:r>
              <w:rPr>
                <w:b/>
                <w:bCs/>
                <w:i/>
                <w:iCs/>
              </w:rPr>
              <w:t>column 3</w:t>
            </w:r>
          </w:p>
        </w:tc>
      </w:tr>
      <w:tr w:rsidR="00542CEF">
        <w:tc>
          <w:tcPr>
            <w:tcW w:w="1080" w:type="dxa"/>
          </w:tcPr>
          <w:p w:rsidR="00542CEF" w:rsidRDefault="008D59D4">
            <w:pPr>
              <w:pStyle w:val="nzTable"/>
            </w:pPr>
            <w:r>
              <w:rPr>
                <w:b/>
                <w:bCs/>
              </w:rPr>
              <w:t>provision</w:t>
            </w:r>
          </w:p>
        </w:tc>
        <w:tc>
          <w:tcPr>
            <w:tcW w:w="4320" w:type="dxa"/>
          </w:tcPr>
          <w:p w:rsidR="00542CEF" w:rsidRDefault="008D59D4">
            <w:pPr>
              <w:pStyle w:val="nzTable"/>
            </w:pPr>
            <w:r>
              <w:rPr>
                <w:b/>
                <w:bCs/>
              </w:rPr>
              <w:t>description of offence</w:t>
            </w:r>
          </w:p>
        </w:tc>
        <w:tc>
          <w:tcPr>
            <w:tcW w:w="960" w:type="dxa"/>
          </w:tcPr>
          <w:p w:rsidR="00542CEF" w:rsidRDefault="008D59D4">
            <w:pPr>
              <w:pStyle w:val="nzTable"/>
            </w:pPr>
            <w:r>
              <w:rPr>
                <w:b/>
                <w:bCs/>
              </w:rPr>
              <w:t>points</w:t>
            </w:r>
          </w:p>
        </w:tc>
      </w:tr>
      <w:tr w:rsidR="00542CEF">
        <w:tc>
          <w:tcPr>
            <w:tcW w:w="1080" w:type="dxa"/>
          </w:tcPr>
          <w:p w:rsidR="00542CEF" w:rsidRDefault="008D59D4">
            <w:pPr>
              <w:pStyle w:val="nzTable"/>
              <w:jc w:val="center"/>
            </w:pPr>
            <w:r>
              <w:t>49(1)</w:t>
            </w:r>
          </w:p>
        </w:tc>
        <w:tc>
          <w:tcPr>
            <w:tcW w:w="4320" w:type="dxa"/>
          </w:tcPr>
          <w:p w:rsidR="00542CEF" w:rsidRDefault="008D59D4">
            <w:pPr>
              <w:pStyle w:val="nzTable"/>
            </w:pPr>
            <w:r>
              <w:t>A first offence of driving while not authorised if the driving is by a novice driver (type 1A) and between midnight and the following 5 a.m., other than if s. 49(3) of the Act applies</w:t>
            </w:r>
          </w:p>
        </w:tc>
        <w:tc>
          <w:tcPr>
            <w:tcW w:w="960" w:type="dxa"/>
          </w:tcPr>
          <w:p w:rsidR="00542CEF" w:rsidRDefault="008D59D4">
            <w:pPr>
              <w:pStyle w:val="nzTable"/>
            </w:pPr>
            <w:r>
              <w:br/>
            </w:r>
            <w:r>
              <w:br/>
            </w:r>
            <w:r>
              <w:br/>
              <w:t>2</w:t>
            </w:r>
          </w:p>
        </w:tc>
      </w:tr>
      <w:tr w:rsidR="00542CEF">
        <w:tc>
          <w:tcPr>
            <w:tcW w:w="1080" w:type="dxa"/>
          </w:tcPr>
          <w:p w:rsidR="00542CEF" w:rsidRDefault="008D59D4">
            <w:pPr>
              <w:pStyle w:val="nzTable"/>
              <w:jc w:val="center"/>
            </w:pPr>
            <w:r>
              <w:t>61</w:t>
            </w:r>
          </w:p>
        </w:tc>
        <w:tc>
          <w:tcPr>
            <w:tcW w:w="4320" w:type="dxa"/>
          </w:tcPr>
          <w:p w:rsidR="00542CEF" w:rsidRDefault="008D59D4">
            <w:pPr>
              <w:pStyle w:val="nzTable"/>
            </w:pPr>
            <w:r>
              <w:t>A first offence of dangerous driving</w:t>
            </w:r>
          </w:p>
        </w:tc>
        <w:tc>
          <w:tcPr>
            <w:tcW w:w="960" w:type="dxa"/>
          </w:tcPr>
          <w:p w:rsidR="00542CEF" w:rsidRDefault="008D59D4">
            <w:pPr>
              <w:pStyle w:val="nzTable"/>
            </w:pPr>
            <w:r>
              <w:t>6</w:t>
            </w:r>
          </w:p>
        </w:tc>
      </w:tr>
      <w:tr w:rsidR="00542CEF">
        <w:tc>
          <w:tcPr>
            <w:tcW w:w="1080" w:type="dxa"/>
          </w:tcPr>
          <w:p w:rsidR="00542CEF" w:rsidRDefault="008D59D4">
            <w:pPr>
              <w:pStyle w:val="nzTable"/>
              <w:jc w:val="center"/>
            </w:pPr>
            <w:r>
              <w:t>62</w:t>
            </w:r>
          </w:p>
        </w:tc>
        <w:tc>
          <w:tcPr>
            <w:tcW w:w="4320" w:type="dxa"/>
          </w:tcPr>
          <w:p w:rsidR="00542CEF" w:rsidRDefault="008D59D4">
            <w:pPr>
              <w:pStyle w:val="nzTable"/>
            </w:pPr>
            <w:r>
              <w:t>Careless driving</w:t>
            </w:r>
          </w:p>
        </w:tc>
        <w:tc>
          <w:tcPr>
            <w:tcW w:w="960" w:type="dxa"/>
          </w:tcPr>
          <w:p w:rsidR="00542CEF" w:rsidRDefault="008D59D4">
            <w:pPr>
              <w:pStyle w:val="nzTable"/>
            </w:pPr>
            <w:r>
              <w:t>3</w:t>
            </w:r>
          </w:p>
        </w:tc>
      </w:tr>
      <w:tr w:rsidR="00542CEF">
        <w:tc>
          <w:tcPr>
            <w:tcW w:w="1080" w:type="dxa"/>
          </w:tcPr>
          <w:p w:rsidR="00542CEF" w:rsidRDefault="008D59D4">
            <w:pPr>
              <w:pStyle w:val="nzTable"/>
              <w:jc w:val="center"/>
            </w:pPr>
            <w:r>
              <w:t>62A</w:t>
            </w:r>
          </w:p>
        </w:tc>
        <w:tc>
          <w:tcPr>
            <w:tcW w:w="4320" w:type="dxa"/>
          </w:tcPr>
          <w:p w:rsidR="00542CEF" w:rsidRDefault="008D59D4">
            <w:pPr>
              <w:pStyle w:val="nzTable"/>
            </w:pPr>
            <w:r>
              <w:t>Causing excessive noise, smoke</w:t>
            </w:r>
          </w:p>
        </w:tc>
        <w:tc>
          <w:tcPr>
            <w:tcW w:w="960" w:type="dxa"/>
          </w:tcPr>
          <w:p w:rsidR="00542CEF" w:rsidRDefault="008D59D4">
            <w:pPr>
              <w:pStyle w:val="nzTable"/>
            </w:pPr>
            <w:r>
              <w:t>3</w:t>
            </w:r>
          </w:p>
        </w:tc>
      </w:tr>
      <w:tr w:rsidR="00542CEF">
        <w:tc>
          <w:tcPr>
            <w:tcW w:w="1080" w:type="dxa"/>
          </w:tcPr>
          <w:p w:rsidR="00542CEF" w:rsidRDefault="008D59D4">
            <w:pPr>
              <w:pStyle w:val="nzTable"/>
              <w:jc w:val="center"/>
            </w:pPr>
            <w:r>
              <w:t>64AA</w:t>
            </w:r>
          </w:p>
        </w:tc>
        <w:tc>
          <w:tcPr>
            <w:tcW w:w="4320" w:type="dxa"/>
          </w:tcPr>
          <w:p w:rsidR="00542CEF" w:rsidRDefault="008D59D4">
            <w:pPr>
              <w:pStyle w:val="nzTable"/>
            </w:pPr>
            <w:r>
              <w:t>A first offence of driving or attempting to drive a motor vehicle while having a blood alcohol content —</w:t>
            </w:r>
          </w:p>
        </w:tc>
        <w:tc>
          <w:tcPr>
            <w:tcW w:w="960" w:type="dxa"/>
          </w:tcPr>
          <w:p w:rsidR="00542CEF" w:rsidRDefault="00542CEF">
            <w:pPr>
              <w:pStyle w:val="nzTable"/>
            </w:pPr>
          </w:p>
        </w:tc>
      </w:tr>
      <w:tr w:rsidR="00542CEF">
        <w:tc>
          <w:tcPr>
            <w:tcW w:w="1080" w:type="dxa"/>
          </w:tcPr>
          <w:p w:rsidR="00542CEF" w:rsidRDefault="00542CEF">
            <w:pPr>
              <w:pStyle w:val="yTable"/>
              <w:jc w:val="center"/>
            </w:pPr>
          </w:p>
        </w:tc>
        <w:tc>
          <w:tcPr>
            <w:tcW w:w="4320" w:type="dxa"/>
          </w:tcPr>
          <w:p w:rsidR="00542CEF" w:rsidRDefault="008D59D4">
            <w:pPr>
              <w:pStyle w:val="nzTable"/>
              <w:tabs>
                <w:tab w:val="left" w:pos="492"/>
              </w:tabs>
            </w:pPr>
            <w:r>
              <w:t>(a)</w:t>
            </w:r>
            <w:r>
              <w:tab/>
              <w:t xml:space="preserve">of or above 0.05 g but less than 0.06 g of </w:t>
            </w:r>
            <w:r>
              <w:tab/>
              <w:t>alcohol per 100 mL of blood —</w:t>
            </w:r>
            <w:r>
              <w:tab/>
            </w:r>
          </w:p>
        </w:tc>
        <w:tc>
          <w:tcPr>
            <w:tcW w:w="960" w:type="dxa"/>
          </w:tcPr>
          <w:p w:rsidR="00542CEF" w:rsidRDefault="00542CEF">
            <w:pPr>
              <w:pStyle w:val="nzTable"/>
            </w:pPr>
          </w:p>
        </w:tc>
      </w:tr>
      <w:tr w:rsidR="00542CEF">
        <w:tc>
          <w:tcPr>
            <w:tcW w:w="1080" w:type="dxa"/>
          </w:tcPr>
          <w:p w:rsidR="00542CEF" w:rsidRDefault="00542CEF">
            <w:pPr>
              <w:pStyle w:val="yTable"/>
              <w:jc w:val="center"/>
            </w:pPr>
          </w:p>
        </w:tc>
        <w:tc>
          <w:tcPr>
            <w:tcW w:w="4320" w:type="dxa"/>
          </w:tcPr>
          <w:p w:rsidR="00542CEF" w:rsidRDefault="008D59D4">
            <w:pPr>
              <w:pStyle w:val="nzTable"/>
              <w:tabs>
                <w:tab w:val="left" w:pos="492"/>
                <w:tab w:val="left" w:pos="852"/>
              </w:tabs>
            </w:pPr>
            <w:r>
              <w:tab/>
              <w:t>(i)</w:t>
            </w:r>
            <w:r>
              <w:tab/>
              <w:t>during a holiday period</w:t>
            </w:r>
          </w:p>
        </w:tc>
        <w:tc>
          <w:tcPr>
            <w:tcW w:w="960" w:type="dxa"/>
          </w:tcPr>
          <w:p w:rsidR="00542CEF" w:rsidRDefault="008D59D4">
            <w:pPr>
              <w:pStyle w:val="nzTable"/>
            </w:pPr>
            <w:r>
              <w:t>6</w:t>
            </w:r>
          </w:p>
        </w:tc>
      </w:tr>
      <w:tr w:rsidR="00542CEF">
        <w:tc>
          <w:tcPr>
            <w:tcW w:w="1080" w:type="dxa"/>
          </w:tcPr>
          <w:p w:rsidR="00542CEF" w:rsidRDefault="00542CEF">
            <w:pPr>
              <w:pStyle w:val="yTable"/>
              <w:jc w:val="center"/>
            </w:pPr>
          </w:p>
        </w:tc>
        <w:tc>
          <w:tcPr>
            <w:tcW w:w="4320" w:type="dxa"/>
          </w:tcPr>
          <w:p w:rsidR="00542CEF" w:rsidRDefault="008D59D4">
            <w:pPr>
              <w:pStyle w:val="nzTable"/>
              <w:tabs>
                <w:tab w:val="left" w:pos="492"/>
                <w:tab w:val="left" w:pos="852"/>
              </w:tabs>
            </w:pPr>
            <w:r>
              <w:tab/>
              <w:t>(ii)</w:t>
            </w:r>
            <w:r>
              <w:tab/>
              <w:t>other than during a holiday period</w:t>
            </w:r>
          </w:p>
        </w:tc>
        <w:tc>
          <w:tcPr>
            <w:tcW w:w="960" w:type="dxa"/>
          </w:tcPr>
          <w:p w:rsidR="00542CEF" w:rsidRDefault="008D59D4">
            <w:pPr>
              <w:pStyle w:val="nzTable"/>
            </w:pPr>
            <w:r>
              <w:t>3</w:t>
            </w:r>
          </w:p>
        </w:tc>
      </w:tr>
      <w:tr w:rsidR="00542CEF">
        <w:tc>
          <w:tcPr>
            <w:tcW w:w="1080" w:type="dxa"/>
          </w:tcPr>
          <w:p w:rsidR="00542CEF" w:rsidRDefault="00542CEF">
            <w:pPr>
              <w:pStyle w:val="yTable"/>
              <w:jc w:val="center"/>
            </w:pPr>
          </w:p>
        </w:tc>
        <w:tc>
          <w:tcPr>
            <w:tcW w:w="4320" w:type="dxa"/>
          </w:tcPr>
          <w:p w:rsidR="00542CEF" w:rsidRDefault="008D59D4">
            <w:pPr>
              <w:pStyle w:val="nzTable"/>
              <w:tabs>
                <w:tab w:val="left" w:pos="492"/>
              </w:tabs>
            </w:pPr>
            <w:r>
              <w:t>(b)</w:t>
            </w:r>
            <w:r>
              <w:tab/>
              <w:t xml:space="preserve">of or above 0.06 g but less than 0.07 g of </w:t>
            </w:r>
            <w:r>
              <w:tab/>
              <w:t>alcohol per 100 mL of blood —</w:t>
            </w:r>
            <w:r>
              <w:tab/>
            </w:r>
          </w:p>
        </w:tc>
        <w:tc>
          <w:tcPr>
            <w:tcW w:w="960" w:type="dxa"/>
          </w:tcPr>
          <w:p w:rsidR="00542CEF" w:rsidRDefault="00542CEF">
            <w:pPr>
              <w:pStyle w:val="nzTable"/>
            </w:pPr>
          </w:p>
        </w:tc>
      </w:tr>
      <w:tr w:rsidR="00542CEF">
        <w:tc>
          <w:tcPr>
            <w:tcW w:w="1080" w:type="dxa"/>
          </w:tcPr>
          <w:p w:rsidR="00542CEF" w:rsidRDefault="00542CEF">
            <w:pPr>
              <w:pStyle w:val="yTable"/>
              <w:jc w:val="center"/>
            </w:pPr>
          </w:p>
        </w:tc>
        <w:tc>
          <w:tcPr>
            <w:tcW w:w="4320" w:type="dxa"/>
          </w:tcPr>
          <w:p w:rsidR="00542CEF" w:rsidRDefault="008D59D4">
            <w:pPr>
              <w:pStyle w:val="nzTable"/>
              <w:tabs>
                <w:tab w:val="left" w:pos="492"/>
                <w:tab w:val="left" w:pos="852"/>
              </w:tabs>
            </w:pPr>
            <w:r>
              <w:tab/>
              <w:t>(i)</w:t>
            </w:r>
            <w:r>
              <w:tab/>
              <w:t>during a holiday period</w:t>
            </w:r>
          </w:p>
        </w:tc>
        <w:tc>
          <w:tcPr>
            <w:tcW w:w="960" w:type="dxa"/>
          </w:tcPr>
          <w:p w:rsidR="00542CEF" w:rsidRDefault="008D59D4">
            <w:pPr>
              <w:pStyle w:val="nzTable"/>
            </w:pPr>
            <w:r>
              <w:t>8</w:t>
            </w:r>
          </w:p>
        </w:tc>
      </w:tr>
      <w:tr w:rsidR="00542CEF">
        <w:tc>
          <w:tcPr>
            <w:tcW w:w="1080" w:type="dxa"/>
          </w:tcPr>
          <w:p w:rsidR="00542CEF" w:rsidRDefault="00542CEF">
            <w:pPr>
              <w:pStyle w:val="yTable"/>
              <w:jc w:val="center"/>
            </w:pPr>
          </w:p>
        </w:tc>
        <w:tc>
          <w:tcPr>
            <w:tcW w:w="4320" w:type="dxa"/>
          </w:tcPr>
          <w:p w:rsidR="00542CEF" w:rsidRDefault="008D59D4">
            <w:pPr>
              <w:pStyle w:val="nzTable"/>
              <w:tabs>
                <w:tab w:val="left" w:pos="492"/>
                <w:tab w:val="left" w:pos="852"/>
              </w:tabs>
            </w:pPr>
            <w:r>
              <w:tab/>
              <w:t>(ii)</w:t>
            </w:r>
            <w:r>
              <w:tab/>
              <w:t>other than during a holiday period</w:t>
            </w:r>
          </w:p>
        </w:tc>
        <w:tc>
          <w:tcPr>
            <w:tcW w:w="960" w:type="dxa"/>
          </w:tcPr>
          <w:p w:rsidR="00542CEF" w:rsidRDefault="008D59D4">
            <w:pPr>
              <w:pStyle w:val="nzTable"/>
            </w:pPr>
            <w:r>
              <w:t>4</w:t>
            </w:r>
          </w:p>
        </w:tc>
      </w:tr>
      <w:tr w:rsidR="00542CEF">
        <w:tc>
          <w:tcPr>
            <w:tcW w:w="1080" w:type="dxa"/>
          </w:tcPr>
          <w:p w:rsidR="00542CEF" w:rsidRDefault="00542CEF">
            <w:pPr>
              <w:pStyle w:val="yTable"/>
              <w:jc w:val="center"/>
            </w:pPr>
          </w:p>
        </w:tc>
        <w:tc>
          <w:tcPr>
            <w:tcW w:w="4320" w:type="dxa"/>
          </w:tcPr>
          <w:p w:rsidR="00542CEF" w:rsidRDefault="008D59D4">
            <w:pPr>
              <w:pStyle w:val="nzTable"/>
              <w:tabs>
                <w:tab w:val="left" w:pos="492"/>
              </w:tabs>
            </w:pPr>
            <w:r>
              <w:t>(c)</w:t>
            </w:r>
            <w:r>
              <w:tab/>
              <w:t xml:space="preserve">of or above 0.07 g of alcohol per 100 mL of </w:t>
            </w:r>
            <w:r>
              <w:tab/>
              <w:t>blood —</w:t>
            </w:r>
            <w:r>
              <w:tab/>
            </w:r>
          </w:p>
        </w:tc>
        <w:tc>
          <w:tcPr>
            <w:tcW w:w="960" w:type="dxa"/>
          </w:tcPr>
          <w:p w:rsidR="00542CEF" w:rsidRDefault="00542CEF">
            <w:pPr>
              <w:pStyle w:val="nzTable"/>
            </w:pPr>
          </w:p>
        </w:tc>
      </w:tr>
      <w:tr w:rsidR="00542CEF">
        <w:tc>
          <w:tcPr>
            <w:tcW w:w="1080" w:type="dxa"/>
          </w:tcPr>
          <w:p w:rsidR="00542CEF" w:rsidRDefault="00542CEF">
            <w:pPr>
              <w:pStyle w:val="yTable"/>
              <w:jc w:val="center"/>
            </w:pPr>
          </w:p>
        </w:tc>
        <w:tc>
          <w:tcPr>
            <w:tcW w:w="4320" w:type="dxa"/>
          </w:tcPr>
          <w:p w:rsidR="00542CEF" w:rsidRDefault="008D59D4">
            <w:pPr>
              <w:pStyle w:val="nzTable"/>
              <w:tabs>
                <w:tab w:val="left" w:pos="492"/>
                <w:tab w:val="left" w:pos="852"/>
              </w:tabs>
            </w:pPr>
            <w:r>
              <w:tab/>
              <w:t>(i)</w:t>
            </w:r>
            <w:r>
              <w:tab/>
              <w:t>during a holiday period</w:t>
            </w:r>
          </w:p>
        </w:tc>
        <w:tc>
          <w:tcPr>
            <w:tcW w:w="960" w:type="dxa"/>
          </w:tcPr>
          <w:p w:rsidR="00542CEF" w:rsidRDefault="008D59D4">
            <w:pPr>
              <w:pStyle w:val="nzTable"/>
            </w:pPr>
            <w:r>
              <w:t>10</w:t>
            </w:r>
          </w:p>
        </w:tc>
      </w:tr>
      <w:tr w:rsidR="00542CEF">
        <w:tc>
          <w:tcPr>
            <w:tcW w:w="1080" w:type="dxa"/>
          </w:tcPr>
          <w:p w:rsidR="00542CEF" w:rsidRDefault="00542CEF">
            <w:pPr>
              <w:pStyle w:val="yTable"/>
              <w:jc w:val="center"/>
            </w:pPr>
          </w:p>
        </w:tc>
        <w:tc>
          <w:tcPr>
            <w:tcW w:w="4320" w:type="dxa"/>
          </w:tcPr>
          <w:p w:rsidR="00542CEF" w:rsidRDefault="008D59D4">
            <w:pPr>
              <w:pStyle w:val="nzTable"/>
              <w:tabs>
                <w:tab w:val="left" w:pos="492"/>
                <w:tab w:val="left" w:pos="852"/>
              </w:tabs>
            </w:pPr>
            <w:r>
              <w:tab/>
              <w:t>(ii)</w:t>
            </w:r>
            <w:r>
              <w:tab/>
              <w:t>other than during a holiday period</w:t>
            </w:r>
          </w:p>
        </w:tc>
        <w:tc>
          <w:tcPr>
            <w:tcW w:w="960" w:type="dxa"/>
          </w:tcPr>
          <w:p w:rsidR="00542CEF" w:rsidRDefault="008D59D4">
            <w:pPr>
              <w:pStyle w:val="nzTable"/>
            </w:pPr>
            <w:r>
              <w:t>5</w:t>
            </w:r>
          </w:p>
        </w:tc>
      </w:tr>
      <w:tr w:rsidR="00542CEF">
        <w:tc>
          <w:tcPr>
            <w:tcW w:w="1080" w:type="dxa"/>
          </w:tcPr>
          <w:p w:rsidR="00542CEF" w:rsidRDefault="008D59D4">
            <w:pPr>
              <w:pStyle w:val="nzTable"/>
              <w:jc w:val="center"/>
            </w:pPr>
            <w:r>
              <w:t>64AC</w:t>
            </w:r>
          </w:p>
        </w:tc>
        <w:tc>
          <w:tcPr>
            <w:tcW w:w="4320" w:type="dxa"/>
          </w:tcPr>
          <w:p w:rsidR="00542CEF" w:rsidRDefault="008D59D4">
            <w:pPr>
              <w:pStyle w:val="nzTable"/>
            </w:pPr>
            <w:r>
              <w:t xml:space="preserve">A first offence of driving or attempting to drive a motor vehicle while a prescribed illicit drug is present in the person’s oral fluid or blood — </w:t>
            </w:r>
          </w:p>
        </w:tc>
        <w:tc>
          <w:tcPr>
            <w:tcW w:w="960" w:type="dxa"/>
          </w:tcPr>
          <w:p w:rsidR="00542CEF" w:rsidRDefault="00542CEF">
            <w:pPr>
              <w:pStyle w:val="nzTable"/>
            </w:pPr>
          </w:p>
        </w:tc>
      </w:tr>
      <w:tr w:rsidR="00542CEF">
        <w:tc>
          <w:tcPr>
            <w:tcW w:w="1080" w:type="dxa"/>
          </w:tcPr>
          <w:p w:rsidR="00542CEF" w:rsidRDefault="00542CEF">
            <w:pPr>
              <w:pStyle w:val="yTable"/>
              <w:jc w:val="center"/>
            </w:pPr>
          </w:p>
        </w:tc>
        <w:tc>
          <w:tcPr>
            <w:tcW w:w="4320" w:type="dxa"/>
          </w:tcPr>
          <w:p w:rsidR="00542CEF" w:rsidRDefault="008D59D4">
            <w:pPr>
              <w:pStyle w:val="nzTable"/>
              <w:tabs>
                <w:tab w:val="left" w:pos="492"/>
              </w:tabs>
            </w:pPr>
            <w:r>
              <w:t>(a)</w:t>
            </w:r>
            <w:r>
              <w:tab/>
              <w:t>during a holiday period</w:t>
            </w:r>
          </w:p>
        </w:tc>
        <w:tc>
          <w:tcPr>
            <w:tcW w:w="960" w:type="dxa"/>
          </w:tcPr>
          <w:p w:rsidR="00542CEF" w:rsidRDefault="008D59D4">
            <w:pPr>
              <w:pStyle w:val="nzTable"/>
            </w:pPr>
            <w:r>
              <w:t>6</w:t>
            </w:r>
          </w:p>
        </w:tc>
      </w:tr>
      <w:tr w:rsidR="00542CEF">
        <w:tc>
          <w:tcPr>
            <w:tcW w:w="1080" w:type="dxa"/>
          </w:tcPr>
          <w:p w:rsidR="00542CEF" w:rsidRDefault="00542CEF">
            <w:pPr>
              <w:pStyle w:val="yTable"/>
              <w:jc w:val="center"/>
            </w:pPr>
          </w:p>
        </w:tc>
        <w:tc>
          <w:tcPr>
            <w:tcW w:w="4320" w:type="dxa"/>
          </w:tcPr>
          <w:p w:rsidR="00542CEF" w:rsidRDefault="008D59D4">
            <w:pPr>
              <w:pStyle w:val="nzTable"/>
              <w:tabs>
                <w:tab w:val="left" w:pos="492"/>
              </w:tabs>
            </w:pPr>
            <w:r>
              <w:t>(b)</w:t>
            </w:r>
            <w:r>
              <w:tab/>
              <w:t>other than during a holiday period</w:t>
            </w:r>
          </w:p>
        </w:tc>
        <w:tc>
          <w:tcPr>
            <w:tcW w:w="960" w:type="dxa"/>
          </w:tcPr>
          <w:p w:rsidR="00542CEF" w:rsidRDefault="008D59D4">
            <w:pPr>
              <w:pStyle w:val="nzTable"/>
            </w:pPr>
            <w:r>
              <w:t>3</w:t>
            </w:r>
          </w:p>
        </w:tc>
      </w:tr>
      <w:tr w:rsidR="00542CEF">
        <w:tc>
          <w:tcPr>
            <w:tcW w:w="1080" w:type="dxa"/>
          </w:tcPr>
          <w:p w:rsidR="00542CEF" w:rsidRDefault="008D59D4">
            <w:pPr>
              <w:pStyle w:val="nzTable"/>
              <w:jc w:val="center"/>
            </w:pPr>
            <w:r>
              <w:t>67AB</w:t>
            </w:r>
          </w:p>
        </w:tc>
        <w:tc>
          <w:tcPr>
            <w:tcW w:w="4320" w:type="dxa"/>
          </w:tcPr>
          <w:p w:rsidR="00542CEF" w:rsidRDefault="008D59D4">
            <w:pPr>
              <w:pStyle w:val="nzTable"/>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960" w:type="dxa"/>
          </w:tcPr>
          <w:p w:rsidR="00542CEF" w:rsidRDefault="00542CEF">
            <w:pPr>
              <w:pStyle w:val="nzTable"/>
            </w:pPr>
          </w:p>
        </w:tc>
      </w:tr>
      <w:tr w:rsidR="00542CEF">
        <w:tc>
          <w:tcPr>
            <w:tcW w:w="1080" w:type="dxa"/>
          </w:tcPr>
          <w:p w:rsidR="00542CEF" w:rsidRDefault="00542CEF">
            <w:pPr>
              <w:pStyle w:val="yTable"/>
              <w:jc w:val="center"/>
            </w:pPr>
          </w:p>
        </w:tc>
        <w:tc>
          <w:tcPr>
            <w:tcW w:w="4320" w:type="dxa"/>
          </w:tcPr>
          <w:p w:rsidR="00542CEF" w:rsidRDefault="008D59D4">
            <w:pPr>
              <w:pStyle w:val="nzTable"/>
              <w:tabs>
                <w:tab w:val="left" w:pos="492"/>
              </w:tabs>
            </w:pPr>
            <w:r>
              <w:t>(a)</w:t>
            </w:r>
            <w:r>
              <w:tab/>
              <w:t>during a holiday period</w:t>
            </w:r>
          </w:p>
        </w:tc>
        <w:tc>
          <w:tcPr>
            <w:tcW w:w="960" w:type="dxa"/>
          </w:tcPr>
          <w:p w:rsidR="00542CEF" w:rsidRDefault="008D59D4">
            <w:pPr>
              <w:pStyle w:val="nzTable"/>
            </w:pPr>
            <w:r>
              <w:t>6</w:t>
            </w:r>
          </w:p>
        </w:tc>
      </w:tr>
      <w:tr w:rsidR="00542CEF">
        <w:tc>
          <w:tcPr>
            <w:tcW w:w="1080" w:type="dxa"/>
          </w:tcPr>
          <w:p w:rsidR="00542CEF" w:rsidRDefault="00542CEF">
            <w:pPr>
              <w:pStyle w:val="yTable"/>
              <w:jc w:val="center"/>
            </w:pPr>
          </w:p>
        </w:tc>
        <w:tc>
          <w:tcPr>
            <w:tcW w:w="4320" w:type="dxa"/>
          </w:tcPr>
          <w:p w:rsidR="00542CEF" w:rsidRDefault="008D59D4">
            <w:pPr>
              <w:pStyle w:val="nzTable"/>
              <w:tabs>
                <w:tab w:val="left" w:pos="492"/>
              </w:tabs>
            </w:pPr>
            <w:r>
              <w:t>(b)</w:t>
            </w:r>
            <w:r>
              <w:tab/>
              <w:t>other than during a holiday period</w:t>
            </w:r>
          </w:p>
        </w:tc>
        <w:tc>
          <w:tcPr>
            <w:tcW w:w="960" w:type="dxa"/>
          </w:tcPr>
          <w:p w:rsidR="00542CEF" w:rsidRDefault="008D59D4">
            <w:pPr>
              <w:pStyle w:val="nzTable"/>
            </w:pPr>
            <w:r>
              <w:t>3</w:t>
            </w:r>
          </w:p>
        </w:tc>
      </w:tr>
    </w:tbl>
    <w:p w:rsidR="00542CEF" w:rsidRDefault="008D59D4">
      <w:pPr>
        <w:pStyle w:val="MiscClose"/>
        <w:rPr>
          <w:snapToGrid w:val="0"/>
        </w:rPr>
      </w:pPr>
      <w:bookmarkStart w:id="162" w:name="_Toc198003600"/>
      <w:bookmarkStart w:id="163" w:name="_Toc198003891"/>
      <w:bookmarkStart w:id="164" w:name="_Toc198088767"/>
      <w:bookmarkStart w:id="165" w:name="_Toc198090492"/>
      <w:bookmarkStart w:id="166" w:name="_Toc198090767"/>
      <w:bookmarkStart w:id="167" w:name="_Toc198090808"/>
      <w:bookmarkStart w:id="168" w:name="_Toc198090856"/>
      <w:bookmarkStart w:id="169" w:name="_Toc198464858"/>
      <w:r>
        <w:rPr>
          <w:snapToGrid w:val="0"/>
        </w:rPr>
        <w:t>”.</w:t>
      </w:r>
    </w:p>
    <w:p w:rsidR="00542CEF" w:rsidRDefault="008D59D4">
      <w:pPr>
        <w:pStyle w:val="nzHeading2"/>
      </w:pPr>
      <w:bookmarkStart w:id="170" w:name="_Toc200950603"/>
      <w:r>
        <w:t>Defined Terms</w:t>
      </w:r>
      <w:bookmarkEnd w:id="162"/>
      <w:bookmarkEnd w:id="163"/>
      <w:bookmarkEnd w:id="164"/>
      <w:bookmarkEnd w:id="165"/>
      <w:bookmarkEnd w:id="166"/>
      <w:bookmarkEnd w:id="167"/>
      <w:bookmarkEnd w:id="168"/>
      <w:bookmarkEnd w:id="169"/>
      <w:bookmarkEnd w:id="170"/>
    </w:p>
    <w:p w:rsidR="00542CEF" w:rsidRDefault="00542CEF">
      <w:pPr>
        <w:ind w:left="850" w:right="850"/>
        <w:jc w:val="center"/>
        <w:rPr>
          <w:i/>
          <w:sz w:val="18"/>
        </w:rPr>
      </w:pPr>
    </w:p>
    <w:p w:rsidR="00542CEF" w:rsidRDefault="008D59D4">
      <w:pPr>
        <w:ind w:left="850" w:right="850"/>
        <w:jc w:val="center"/>
        <w:rPr>
          <w:i/>
          <w:sz w:val="18"/>
        </w:rPr>
      </w:pPr>
      <w:r>
        <w:rPr>
          <w:i/>
          <w:sz w:val="18"/>
        </w:rPr>
        <w:t>[This is a list of terms defined and the provisions where they are defined.  The list is not part of the law.]</w:t>
      </w:r>
    </w:p>
    <w:p w:rsidR="00542CEF" w:rsidRDefault="008D59D4">
      <w:pPr>
        <w:pBdr>
          <w:bottom w:val="single" w:sz="4" w:space="1" w:color="auto"/>
        </w:pBdr>
        <w:tabs>
          <w:tab w:val="right" w:pos="7070"/>
        </w:tabs>
        <w:ind w:left="578"/>
        <w:rPr>
          <w:b/>
          <w:sz w:val="20"/>
        </w:rPr>
      </w:pPr>
      <w:r>
        <w:rPr>
          <w:b/>
          <w:sz w:val="20"/>
        </w:rPr>
        <w:t>Defined Term</w:t>
      </w:r>
      <w:r>
        <w:rPr>
          <w:b/>
          <w:sz w:val="20"/>
        </w:rPr>
        <w:tab/>
        <w:t>Provision(s)</w:t>
      </w:r>
    </w:p>
    <w:p w:rsidR="00542CEF" w:rsidRDefault="008D59D4">
      <w:pPr>
        <w:pStyle w:val="DefinedTerms"/>
      </w:pPr>
      <w:bookmarkStart w:id="171" w:name="DefinedTerms"/>
      <w:bookmarkEnd w:id="171"/>
      <w:r>
        <w:t>excess period served</w:t>
      </w:r>
      <w:r>
        <w:tab/>
        <w:t>8(7)</w:t>
      </w:r>
    </w:p>
    <w:p w:rsidR="00542CEF" w:rsidRDefault="008D59D4">
      <w:pPr>
        <w:pStyle w:val="DefinedTerms"/>
      </w:pPr>
      <w:r>
        <w:t>holiday period</w:t>
      </w:r>
      <w:r>
        <w:tab/>
        <w:t>6(2)</w:t>
      </w:r>
    </w:p>
    <w:p w:rsidR="00542CEF" w:rsidRDefault="008D59D4">
      <w:pPr>
        <w:pStyle w:val="DefinedTerms"/>
      </w:pPr>
      <w:r>
        <w:t>novice driver (type 1A)</w:t>
      </w:r>
      <w:r>
        <w:tab/>
        <w:t>3</w:t>
      </w:r>
    </w:p>
    <w:p w:rsidR="00542CEF" w:rsidRDefault="008D59D4">
      <w:pPr>
        <w:pStyle w:val="DefinedTerms"/>
      </w:pPr>
      <w:r>
        <w:t>public holiday</w:t>
      </w:r>
      <w:r>
        <w:tab/>
        <w:t>7(1)</w:t>
      </w:r>
    </w:p>
    <w:p w:rsidR="00542CEF" w:rsidRDefault="008D59D4">
      <w:pPr>
        <w:pStyle w:val="DefinedTerms"/>
      </w:pPr>
      <w:r>
        <w:t>removed</w:t>
      </w:r>
      <w:r>
        <w:tab/>
        <w:t>8(1)</w:t>
      </w:r>
    </w:p>
    <w:p w:rsidR="00542CEF" w:rsidRDefault="008D59D4">
      <w:pPr>
        <w:pStyle w:val="DefinedTerms"/>
      </w:pPr>
      <w:r>
        <w:t>transition day</w:t>
      </w:r>
      <w:r>
        <w:tab/>
        <w:t>10(1)</w:t>
      </w:r>
    </w:p>
    <w:p w:rsidR="00542CEF" w:rsidRDefault="00542CEF"/>
    <w:p w:rsidR="00542CEF" w:rsidRDefault="00542CEF">
      <w:pPr>
        <w:sectPr w:rsidR="00542CEF">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542CEF" w:rsidRDefault="00542CEF"/>
    <w:sectPr w:rsidR="00542CEF">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CEF" w:rsidRDefault="008D59D4">
      <w:pPr>
        <w:rPr>
          <w:b/>
          <w:sz w:val="28"/>
        </w:rPr>
      </w:pPr>
      <w:r>
        <w:rPr>
          <w:b/>
          <w:sz w:val="28"/>
        </w:rPr>
        <w:t>Endnotes</w:t>
      </w:r>
    </w:p>
    <w:p w:rsidR="00542CEF" w:rsidRDefault="008D59D4">
      <w:pPr>
        <w:spacing w:after="240"/>
        <w:rPr>
          <w:rFonts w:ascii="Times" w:hAnsi="Times"/>
          <w:sz w:val="18"/>
        </w:rPr>
      </w:pPr>
      <w:r>
        <w:rPr>
          <w:sz w:val="20"/>
        </w:rPr>
        <w:t>[For ease of reference detach these notes and read them alongside the draft.]</w:t>
      </w:r>
    </w:p>
    <w:p w:rsidR="00542CEF" w:rsidRDefault="00542CEF"/>
  </w:endnote>
  <w:endnote w:type="continuationSeparator" w:id="0">
    <w:p w:rsidR="00542CEF" w:rsidRDefault="00542CEF">
      <w:pPr>
        <w:pStyle w:val="Footer"/>
      </w:pPr>
    </w:p>
    <w:p w:rsidR="00542CEF" w:rsidRDefault="00542C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542CEF">
    <w:pPr>
      <w:pStyle w:val="Footer"/>
      <w:tabs>
        <w:tab w:val="clear" w:pos="4153"/>
        <w:tab w:val="right" w:pos="7088"/>
      </w:tabs>
      <w:rPr>
        <w:rStyle w:val="PageNumber"/>
      </w:rPr>
    </w:pPr>
  </w:p>
  <w:p w:rsidR="00542CEF" w:rsidRDefault="008D59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B5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B56">
      <w:rPr>
        <w:rFonts w:ascii="Arial" w:hAnsi="Arial" w:cs="Arial"/>
        <w:sz w:val="20"/>
        <w:lang w:val="en-US"/>
      </w:rPr>
      <w:t>10 Jun 2008</w:t>
    </w:r>
    <w:r>
      <w:rPr>
        <w:rFonts w:ascii="Arial" w:hAnsi="Arial" w:cs="Arial"/>
        <w:sz w:val="20"/>
        <w:lang w:val="en-US"/>
      </w:rPr>
      <w:fldChar w:fldCharType="end"/>
    </w:r>
  </w:p>
  <w:p w:rsidR="00542CEF" w:rsidRDefault="008D59D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542CEF">
    <w:pPr>
      <w:pStyle w:val="Footer"/>
      <w:tabs>
        <w:tab w:val="clear" w:pos="4153"/>
        <w:tab w:val="right" w:pos="7088"/>
      </w:tabs>
      <w:rPr>
        <w:rStyle w:val="PageNumber"/>
      </w:rPr>
    </w:pPr>
  </w:p>
  <w:p w:rsidR="00542CEF" w:rsidRDefault="008D59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B56">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B5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542CEF" w:rsidRDefault="008D59D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542CEF">
    <w:pPr>
      <w:pStyle w:val="Footer"/>
      <w:tabs>
        <w:tab w:val="clear" w:pos="4153"/>
        <w:tab w:val="right" w:pos="7088"/>
      </w:tabs>
      <w:rPr>
        <w:rStyle w:val="PageNumber"/>
      </w:rPr>
    </w:pPr>
  </w:p>
  <w:p w:rsidR="00542CEF" w:rsidRDefault="008D59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B56">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B5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542CEF" w:rsidRDefault="008D59D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542CEF">
    <w:pPr>
      <w:pStyle w:val="Footer"/>
      <w:tabs>
        <w:tab w:val="clear" w:pos="4153"/>
        <w:tab w:val="right" w:pos="7088"/>
      </w:tabs>
      <w:rPr>
        <w:rStyle w:val="PageNumber"/>
      </w:rPr>
    </w:pPr>
  </w:p>
  <w:p w:rsidR="00542CEF" w:rsidRDefault="008D59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B5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B56">
      <w:rPr>
        <w:rFonts w:ascii="Arial" w:hAnsi="Arial" w:cs="Arial"/>
        <w:sz w:val="20"/>
        <w:lang w:val="en-US"/>
      </w:rPr>
      <w:t>10 Jun 2008</w:t>
    </w:r>
    <w:r>
      <w:rPr>
        <w:rFonts w:ascii="Arial" w:hAnsi="Arial" w:cs="Arial"/>
        <w:sz w:val="20"/>
        <w:lang w:val="en-US"/>
      </w:rPr>
      <w:fldChar w:fldCharType="end"/>
    </w:r>
  </w:p>
  <w:p w:rsidR="00542CEF" w:rsidRDefault="008D59D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542CEF">
    <w:pPr>
      <w:pStyle w:val="Footer"/>
      <w:tabs>
        <w:tab w:val="clear" w:pos="4153"/>
        <w:tab w:val="right" w:pos="7088"/>
      </w:tabs>
      <w:rPr>
        <w:rStyle w:val="PageNumber"/>
      </w:rPr>
    </w:pPr>
  </w:p>
  <w:p w:rsidR="00542CEF" w:rsidRDefault="008D59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B56">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B5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42CEF" w:rsidRDefault="008D59D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542CEF">
    <w:pPr>
      <w:pStyle w:val="Footer"/>
      <w:tabs>
        <w:tab w:val="clear" w:pos="4153"/>
        <w:tab w:val="right" w:pos="7088"/>
      </w:tabs>
      <w:rPr>
        <w:rStyle w:val="PageNumber"/>
      </w:rPr>
    </w:pPr>
  </w:p>
  <w:p w:rsidR="00542CEF" w:rsidRDefault="008D59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B56">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B5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6B56">
      <w:rPr>
        <w:rStyle w:val="PageNumber"/>
        <w:rFonts w:ascii="Arial" w:hAnsi="Arial" w:cs="Arial"/>
        <w:noProof/>
      </w:rPr>
      <w:t>i</w:t>
    </w:r>
    <w:r>
      <w:rPr>
        <w:rStyle w:val="PageNumber"/>
        <w:rFonts w:ascii="Arial" w:hAnsi="Arial" w:cs="Arial"/>
      </w:rPr>
      <w:fldChar w:fldCharType="end"/>
    </w:r>
  </w:p>
  <w:p w:rsidR="00542CEF" w:rsidRDefault="008D59D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542CEF">
    <w:pPr>
      <w:pStyle w:val="Footer"/>
      <w:tabs>
        <w:tab w:val="clear" w:pos="4153"/>
        <w:tab w:val="right" w:pos="7088"/>
      </w:tabs>
      <w:rPr>
        <w:rStyle w:val="PageNumber"/>
      </w:rPr>
    </w:pPr>
  </w:p>
  <w:p w:rsidR="00542CEF" w:rsidRDefault="008D59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6B56">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B5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B56">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 xml:space="preserve"> </w:t>
    </w:r>
  </w:p>
  <w:p w:rsidR="00542CEF" w:rsidRDefault="008D59D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542CEF">
    <w:pPr>
      <w:pStyle w:val="Footer"/>
      <w:tabs>
        <w:tab w:val="clear" w:pos="4153"/>
        <w:tab w:val="right" w:pos="7088"/>
      </w:tabs>
      <w:rPr>
        <w:rStyle w:val="PageNumber"/>
      </w:rPr>
    </w:pPr>
  </w:p>
  <w:p w:rsidR="00542CEF" w:rsidRDefault="008D59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B56">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B5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6B56">
      <w:rPr>
        <w:rStyle w:val="CharPageNo"/>
        <w:rFonts w:ascii="Arial" w:hAnsi="Arial"/>
        <w:noProof/>
      </w:rPr>
      <w:t>9</w:t>
    </w:r>
    <w:r>
      <w:rPr>
        <w:rStyle w:val="CharPageNo"/>
        <w:rFonts w:ascii="Arial" w:hAnsi="Arial"/>
      </w:rPr>
      <w:fldChar w:fldCharType="end"/>
    </w:r>
  </w:p>
  <w:p w:rsidR="00542CEF" w:rsidRDefault="008D59D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542CEF">
    <w:pPr>
      <w:pStyle w:val="Footer"/>
      <w:tabs>
        <w:tab w:val="clear" w:pos="4153"/>
        <w:tab w:val="right" w:pos="7088"/>
      </w:tabs>
      <w:rPr>
        <w:rStyle w:val="PageNumber"/>
      </w:rPr>
    </w:pPr>
  </w:p>
  <w:p w:rsidR="00542CEF" w:rsidRDefault="008D59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B56">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B5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6B56">
      <w:rPr>
        <w:rStyle w:val="CharPageNo"/>
        <w:rFonts w:ascii="Arial" w:hAnsi="Arial"/>
        <w:noProof/>
      </w:rPr>
      <w:t>1</w:t>
    </w:r>
    <w:r>
      <w:rPr>
        <w:rStyle w:val="CharPageNo"/>
        <w:rFonts w:ascii="Arial" w:hAnsi="Arial"/>
      </w:rPr>
      <w:fldChar w:fldCharType="end"/>
    </w:r>
  </w:p>
  <w:p w:rsidR="00542CEF" w:rsidRDefault="008D59D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CEF" w:rsidRDefault="008D59D4">
      <w:r>
        <w:separator/>
      </w:r>
    </w:p>
  </w:footnote>
  <w:footnote w:type="continuationSeparator" w:id="0">
    <w:p w:rsidR="00542CEF" w:rsidRDefault="008D59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8D59D4">
    <w:pPr>
      <w:pStyle w:val="headerpartodd"/>
      <w:ind w:left="0" w:firstLine="0"/>
      <w:rPr>
        <w:i/>
      </w:rPr>
    </w:pPr>
    <w:r>
      <w:rPr>
        <w:i/>
      </w:rPr>
      <w:fldChar w:fldCharType="begin"/>
    </w:r>
    <w:r>
      <w:rPr>
        <w:i/>
      </w:rPr>
      <w:instrText xml:space="preserve"> Styleref "Name of Act/Reg" </w:instrText>
    </w:r>
    <w:r>
      <w:rPr>
        <w:i/>
      </w:rPr>
      <w:fldChar w:fldCharType="separate"/>
    </w:r>
    <w:r w:rsidR="00506B56">
      <w:rPr>
        <w:i/>
        <w:noProof/>
      </w:rPr>
      <w:t>Road Traffic (Miscellaneous) Regulations 2008</w:t>
    </w:r>
    <w:r>
      <w:rPr>
        <w:i/>
      </w:rPr>
      <w:fldChar w:fldCharType="end"/>
    </w:r>
  </w:p>
  <w:p w:rsidR="00542CEF" w:rsidRDefault="008D59D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42CEF" w:rsidRDefault="008D59D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42CEF" w:rsidRDefault="00542CEF">
    <w:pPr>
      <w:pStyle w:val="headerpart"/>
    </w:pPr>
  </w:p>
  <w:p w:rsidR="00542CEF" w:rsidRDefault="00542CEF">
    <w:pPr>
      <w:pBdr>
        <w:bottom w:val="single" w:sz="6" w:space="1" w:color="auto"/>
      </w:pBdr>
      <w:rPr>
        <w:b/>
      </w:rPr>
    </w:pPr>
  </w:p>
  <w:p w:rsidR="00542CEF" w:rsidRDefault="00542C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542C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542CE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42CEF">
      <w:trPr>
        <w:cantSplit/>
      </w:trPr>
      <w:tc>
        <w:tcPr>
          <w:tcW w:w="7258" w:type="dxa"/>
          <w:gridSpan w:val="2"/>
        </w:tcPr>
        <w:p w:rsidR="00542CEF" w:rsidRDefault="008D59D4">
          <w:pPr>
            <w:pStyle w:val="HeaderActNameLeft"/>
          </w:pPr>
          <w:fldSimple w:instr=" Styleref &quot;Name of Act/Reg&quot; ">
            <w:r w:rsidR="00506B56">
              <w:rPr>
                <w:noProof/>
              </w:rPr>
              <w:t>Road Traffic (Miscellaneous) Regulations 2008</w:t>
            </w:r>
          </w:fldSimple>
        </w:p>
      </w:tc>
    </w:tr>
    <w:tr w:rsidR="00542CEF">
      <w:tc>
        <w:tcPr>
          <w:tcW w:w="1548" w:type="dxa"/>
        </w:tcPr>
        <w:p w:rsidR="00542CEF" w:rsidRDefault="00542CEF">
          <w:pPr>
            <w:pStyle w:val="HeaderNumberLeft"/>
          </w:pPr>
        </w:p>
      </w:tc>
      <w:tc>
        <w:tcPr>
          <w:tcW w:w="5715" w:type="dxa"/>
        </w:tcPr>
        <w:p w:rsidR="00542CEF" w:rsidRDefault="00542CEF">
          <w:pPr>
            <w:pStyle w:val="HeaderTextLeft"/>
          </w:pPr>
        </w:p>
      </w:tc>
    </w:tr>
    <w:tr w:rsidR="00542CEF">
      <w:tc>
        <w:tcPr>
          <w:tcW w:w="1548" w:type="dxa"/>
        </w:tcPr>
        <w:p w:rsidR="00542CEF" w:rsidRDefault="00542CEF">
          <w:pPr>
            <w:pStyle w:val="HeaderNumberLeft"/>
          </w:pPr>
        </w:p>
      </w:tc>
      <w:tc>
        <w:tcPr>
          <w:tcW w:w="5715" w:type="dxa"/>
        </w:tcPr>
        <w:p w:rsidR="00542CEF" w:rsidRDefault="00542CEF">
          <w:pPr>
            <w:pStyle w:val="HeaderTextLeft"/>
          </w:pPr>
        </w:p>
      </w:tc>
    </w:tr>
    <w:tr w:rsidR="00542CEF">
      <w:trPr>
        <w:cantSplit/>
      </w:trPr>
      <w:tc>
        <w:tcPr>
          <w:tcW w:w="7258" w:type="dxa"/>
          <w:gridSpan w:val="2"/>
        </w:tcPr>
        <w:p w:rsidR="00542CEF" w:rsidRDefault="008D59D4">
          <w:pPr>
            <w:pStyle w:val="HeaderSectionLeft"/>
            <w:rPr>
              <w:b w:val="0"/>
            </w:rPr>
          </w:pPr>
          <w:r>
            <w:rPr>
              <w:b w:val="0"/>
            </w:rPr>
            <w:t>Contents</w:t>
          </w:r>
        </w:p>
      </w:tc>
    </w:tr>
  </w:tbl>
  <w:p w:rsidR="00542CEF" w:rsidRDefault="00542CE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42CEF">
      <w:trPr>
        <w:cantSplit/>
      </w:trPr>
      <w:tc>
        <w:tcPr>
          <w:tcW w:w="7258" w:type="dxa"/>
          <w:gridSpan w:val="2"/>
        </w:tcPr>
        <w:p w:rsidR="00542CEF" w:rsidRDefault="008D59D4">
          <w:pPr>
            <w:pStyle w:val="HeaderActNameRight"/>
            <w:ind w:right="17"/>
          </w:pPr>
          <w:fldSimple w:instr=" Styleref &quot;Name of Act/Reg&quot; ">
            <w:r w:rsidR="00506B56">
              <w:rPr>
                <w:noProof/>
              </w:rPr>
              <w:t>Road Traffic (Miscellaneous) Regulations 2008</w:t>
            </w:r>
          </w:fldSimple>
        </w:p>
      </w:tc>
    </w:tr>
    <w:tr w:rsidR="00542CEF">
      <w:tc>
        <w:tcPr>
          <w:tcW w:w="5715" w:type="dxa"/>
        </w:tcPr>
        <w:p w:rsidR="00542CEF" w:rsidRDefault="00542CEF">
          <w:pPr>
            <w:pStyle w:val="HeaderTextRight"/>
          </w:pPr>
        </w:p>
      </w:tc>
      <w:tc>
        <w:tcPr>
          <w:tcW w:w="1548" w:type="dxa"/>
        </w:tcPr>
        <w:p w:rsidR="00542CEF" w:rsidRDefault="00542CEF">
          <w:pPr>
            <w:pStyle w:val="HeaderNumberRight"/>
            <w:ind w:right="17"/>
          </w:pPr>
        </w:p>
      </w:tc>
    </w:tr>
    <w:tr w:rsidR="00542CEF">
      <w:tc>
        <w:tcPr>
          <w:tcW w:w="5715" w:type="dxa"/>
        </w:tcPr>
        <w:p w:rsidR="00542CEF" w:rsidRDefault="00542CEF">
          <w:pPr>
            <w:pStyle w:val="HeaderTextRight"/>
          </w:pPr>
        </w:p>
      </w:tc>
      <w:tc>
        <w:tcPr>
          <w:tcW w:w="1548" w:type="dxa"/>
        </w:tcPr>
        <w:p w:rsidR="00542CEF" w:rsidRDefault="00542CEF">
          <w:pPr>
            <w:pStyle w:val="HeaderNumberRight"/>
            <w:ind w:right="17"/>
          </w:pPr>
        </w:p>
      </w:tc>
    </w:tr>
    <w:tr w:rsidR="00542CEF">
      <w:trPr>
        <w:cantSplit/>
      </w:trPr>
      <w:tc>
        <w:tcPr>
          <w:tcW w:w="7258" w:type="dxa"/>
          <w:gridSpan w:val="2"/>
        </w:tcPr>
        <w:p w:rsidR="00542CEF" w:rsidRDefault="008D59D4">
          <w:pPr>
            <w:pStyle w:val="HeaderSectionRight"/>
            <w:ind w:right="17"/>
            <w:rPr>
              <w:b w:val="0"/>
            </w:rPr>
          </w:pPr>
          <w:r>
            <w:rPr>
              <w:b w:val="0"/>
            </w:rPr>
            <w:t>Contents</w:t>
          </w:r>
        </w:p>
      </w:tc>
    </w:tr>
  </w:tbl>
  <w:p w:rsidR="00542CEF" w:rsidRDefault="00542CE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42CEF">
      <w:trPr>
        <w:cantSplit/>
      </w:trPr>
      <w:tc>
        <w:tcPr>
          <w:tcW w:w="7258" w:type="dxa"/>
          <w:gridSpan w:val="2"/>
        </w:tcPr>
        <w:p w:rsidR="00542CEF" w:rsidRDefault="008D59D4">
          <w:pPr>
            <w:pStyle w:val="HeaderActNameLeft"/>
          </w:pPr>
          <w:fldSimple w:instr=" Styleref &quot;Name of Act/Reg&quot; ">
            <w:r w:rsidR="00506B56">
              <w:rPr>
                <w:noProof/>
              </w:rPr>
              <w:t>Road Traffic (Miscellaneous) Regulations 2008</w:t>
            </w:r>
          </w:fldSimple>
        </w:p>
      </w:tc>
    </w:tr>
    <w:tr w:rsidR="00542CEF">
      <w:tc>
        <w:tcPr>
          <w:tcW w:w="1548" w:type="dxa"/>
        </w:tcPr>
        <w:p w:rsidR="00542CEF" w:rsidRDefault="008D59D4">
          <w:pPr>
            <w:pStyle w:val="HeaderNumberLeft"/>
          </w:pPr>
          <w:r>
            <w:fldChar w:fldCharType="begin"/>
          </w:r>
          <w:r>
            <w:instrText xml:space="preserve"> styleref CharPartNo </w:instrText>
          </w:r>
          <w:r>
            <w:fldChar w:fldCharType="end"/>
          </w:r>
        </w:p>
      </w:tc>
      <w:tc>
        <w:tcPr>
          <w:tcW w:w="5715" w:type="dxa"/>
          <w:vAlign w:val="bottom"/>
        </w:tcPr>
        <w:p w:rsidR="00542CEF" w:rsidRDefault="008D59D4">
          <w:pPr>
            <w:pStyle w:val="HeaderTextLeft"/>
          </w:pPr>
          <w:r>
            <w:fldChar w:fldCharType="begin"/>
          </w:r>
          <w:r>
            <w:instrText xml:space="preserve"> styleref CharPartText </w:instrText>
          </w:r>
          <w:r>
            <w:fldChar w:fldCharType="end"/>
          </w:r>
        </w:p>
      </w:tc>
    </w:tr>
    <w:tr w:rsidR="00542CEF">
      <w:tc>
        <w:tcPr>
          <w:tcW w:w="1548" w:type="dxa"/>
        </w:tcPr>
        <w:p w:rsidR="00542CEF" w:rsidRDefault="008D59D4">
          <w:pPr>
            <w:pStyle w:val="HeaderNumberLeft"/>
          </w:pPr>
          <w:r>
            <w:fldChar w:fldCharType="begin"/>
          </w:r>
          <w:r>
            <w:instrText xml:space="preserve"> styleref CharDivNo </w:instrText>
          </w:r>
          <w:r>
            <w:fldChar w:fldCharType="end"/>
          </w:r>
        </w:p>
      </w:tc>
      <w:tc>
        <w:tcPr>
          <w:tcW w:w="5715" w:type="dxa"/>
        </w:tcPr>
        <w:p w:rsidR="00542CEF" w:rsidRDefault="008D59D4">
          <w:pPr>
            <w:pStyle w:val="HeaderTextLeft"/>
          </w:pPr>
          <w:r>
            <w:fldChar w:fldCharType="begin"/>
          </w:r>
          <w:r>
            <w:instrText xml:space="preserve"> styleref CharDivText </w:instrText>
          </w:r>
          <w:r>
            <w:fldChar w:fldCharType="end"/>
          </w:r>
        </w:p>
      </w:tc>
    </w:tr>
    <w:tr w:rsidR="00542CEF">
      <w:trPr>
        <w:cantSplit/>
      </w:trPr>
      <w:tc>
        <w:tcPr>
          <w:tcW w:w="7258" w:type="dxa"/>
          <w:gridSpan w:val="2"/>
        </w:tcPr>
        <w:p w:rsidR="00542CEF" w:rsidRDefault="008D59D4">
          <w:pPr>
            <w:pStyle w:val="HeaderSectionLeft"/>
          </w:pPr>
          <w:r>
            <w:t xml:space="preserve">r. </w:t>
          </w:r>
          <w:fldSimple w:instr=" styleref CharSectno ">
            <w:r w:rsidR="00506B56">
              <w:rPr>
                <w:noProof/>
              </w:rPr>
              <w:t>1</w:t>
            </w:r>
          </w:fldSimple>
        </w:p>
      </w:tc>
    </w:tr>
  </w:tbl>
  <w:p w:rsidR="00542CEF" w:rsidRDefault="00542CE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42CEF">
      <w:trPr>
        <w:cantSplit/>
      </w:trPr>
      <w:tc>
        <w:tcPr>
          <w:tcW w:w="7258" w:type="dxa"/>
          <w:gridSpan w:val="2"/>
        </w:tcPr>
        <w:p w:rsidR="00542CEF" w:rsidRDefault="008D59D4">
          <w:pPr>
            <w:pStyle w:val="HeaderActNameRight"/>
            <w:ind w:right="17"/>
          </w:pPr>
          <w:fldSimple w:instr=" Styleref &quot;Name of Act/Reg&quot; ">
            <w:r w:rsidR="00506B56">
              <w:rPr>
                <w:noProof/>
              </w:rPr>
              <w:t>Road Traffic (Miscellaneous) Regulations 2008</w:t>
            </w:r>
          </w:fldSimple>
        </w:p>
      </w:tc>
    </w:tr>
    <w:tr w:rsidR="00542CEF">
      <w:tc>
        <w:tcPr>
          <w:tcW w:w="5715" w:type="dxa"/>
        </w:tcPr>
        <w:p w:rsidR="00542CEF" w:rsidRDefault="008D59D4">
          <w:pPr>
            <w:pStyle w:val="HeaderTextRight"/>
          </w:pPr>
          <w:r>
            <w:fldChar w:fldCharType="begin"/>
          </w:r>
          <w:r>
            <w:instrText xml:space="preserve"> styleref CharPartText </w:instrText>
          </w:r>
          <w:r>
            <w:fldChar w:fldCharType="end"/>
          </w:r>
        </w:p>
      </w:tc>
      <w:tc>
        <w:tcPr>
          <w:tcW w:w="1548" w:type="dxa"/>
        </w:tcPr>
        <w:p w:rsidR="00542CEF" w:rsidRDefault="008D59D4">
          <w:pPr>
            <w:pStyle w:val="HeaderNumberRight"/>
            <w:ind w:right="17"/>
          </w:pPr>
          <w:r>
            <w:fldChar w:fldCharType="begin"/>
          </w:r>
          <w:r>
            <w:instrText xml:space="preserve"> styleref CharPartNo </w:instrText>
          </w:r>
          <w:r>
            <w:fldChar w:fldCharType="end"/>
          </w:r>
        </w:p>
      </w:tc>
    </w:tr>
    <w:tr w:rsidR="00542CEF">
      <w:tc>
        <w:tcPr>
          <w:tcW w:w="5715" w:type="dxa"/>
        </w:tcPr>
        <w:p w:rsidR="00542CEF" w:rsidRDefault="008D59D4">
          <w:pPr>
            <w:pStyle w:val="HeaderTextRight"/>
          </w:pPr>
          <w:r>
            <w:fldChar w:fldCharType="begin"/>
          </w:r>
          <w:r>
            <w:instrText xml:space="preserve"> styleref CharDivText </w:instrText>
          </w:r>
          <w:r>
            <w:fldChar w:fldCharType="end"/>
          </w:r>
        </w:p>
      </w:tc>
      <w:tc>
        <w:tcPr>
          <w:tcW w:w="1548" w:type="dxa"/>
        </w:tcPr>
        <w:p w:rsidR="00542CEF" w:rsidRDefault="008D59D4">
          <w:pPr>
            <w:pStyle w:val="HeaderNumberRight"/>
            <w:ind w:right="17"/>
          </w:pPr>
          <w:r>
            <w:fldChar w:fldCharType="begin"/>
          </w:r>
          <w:r>
            <w:instrText xml:space="preserve"> styleref CharDivNo </w:instrText>
          </w:r>
          <w:r>
            <w:fldChar w:fldCharType="end"/>
          </w:r>
        </w:p>
      </w:tc>
    </w:tr>
    <w:tr w:rsidR="00542CEF">
      <w:trPr>
        <w:cantSplit/>
      </w:trPr>
      <w:tc>
        <w:tcPr>
          <w:tcW w:w="7258" w:type="dxa"/>
          <w:gridSpan w:val="2"/>
        </w:tcPr>
        <w:p w:rsidR="00542CEF" w:rsidRDefault="008D59D4">
          <w:pPr>
            <w:pStyle w:val="HeaderSectionRight"/>
            <w:ind w:right="17"/>
          </w:pPr>
          <w:r>
            <w:t xml:space="preserve">r. </w:t>
          </w:r>
          <w:fldSimple w:instr=" styleref CharSectno ">
            <w:r w:rsidR="00506B56">
              <w:rPr>
                <w:noProof/>
              </w:rPr>
              <w:t>1</w:t>
            </w:r>
          </w:fldSimple>
        </w:p>
      </w:tc>
    </w:tr>
  </w:tbl>
  <w:p w:rsidR="00542CEF" w:rsidRDefault="00542CE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542CE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42CEF">
      <w:trPr>
        <w:cantSplit/>
      </w:trPr>
      <w:tc>
        <w:tcPr>
          <w:tcW w:w="7258" w:type="dxa"/>
          <w:gridSpan w:val="2"/>
        </w:tcPr>
        <w:p w:rsidR="00542CEF" w:rsidRDefault="008D59D4">
          <w:pPr>
            <w:pStyle w:val="HeaderActNameLeft"/>
          </w:pPr>
          <w:fldSimple w:instr=" Styleref &quot;Name of Act/Reg&quot; ">
            <w:r w:rsidR="00506B56">
              <w:rPr>
                <w:noProof/>
              </w:rPr>
              <w:t>Road Traffic (Miscellaneous) Regulations 2008</w:t>
            </w:r>
          </w:fldSimple>
        </w:p>
      </w:tc>
    </w:tr>
    <w:tr w:rsidR="00542CEF">
      <w:tc>
        <w:tcPr>
          <w:tcW w:w="1548" w:type="dxa"/>
        </w:tcPr>
        <w:p w:rsidR="00542CEF" w:rsidRDefault="00542CEF">
          <w:pPr>
            <w:pStyle w:val="HeaderNumberLeft"/>
          </w:pPr>
        </w:p>
      </w:tc>
      <w:tc>
        <w:tcPr>
          <w:tcW w:w="5715" w:type="dxa"/>
        </w:tcPr>
        <w:p w:rsidR="00542CEF" w:rsidRDefault="00542CEF">
          <w:pPr>
            <w:pStyle w:val="HeaderTextLeft"/>
          </w:pPr>
        </w:p>
      </w:tc>
    </w:tr>
    <w:tr w:rsidR="00542CEF">
      <w:tc>
        <w:tcPr>
          <w:tcW w:w="1548" w:type="dxa"/>
        </w:tcPr>
        <w:p w:rsidR="00542CEF" w:rsidRDefault="00542CEF">
          <w:pPr>
            <w:pStyle w:val="HeaderNumberLeft"/>
          </w:pPr>
        </w:p>
      </w:tc>
      <w:tc>
        <w:tcPr>
          <w:tcW w:w="5715" w:type="dxa"/>
        </w:tcPr>
        <w:p w:rsidR="00542CEF" w:rsidRDefault="00542CEF">
          <w:pPr>
            <w:pStyle w:val="HeaderTextLeft"/>
          </w:pPr>
        </w:p>
      </w:tc>
    </w:tr>
    <w:tr w:rsidR="00542CEF">
      <w:trPr>
        <w:cantSplit/>
      </w:trPr>
      <w:tc>
        <w:tcPr>
          <w:tcW w:w="7258" w:type="dxa"/>
          <w:gridSpan w:val="2"/>
        </w:tcPr>
        <w:p w:rsidR="00542CEF" w:rsidRDefault="00542CEF">
          <w:pPr>
            <w:pStyle w:val="HeaderSectionRight"/>
            <w:ind w:right="17"/>
            <w:jc w:val="left"/>
          </w:pPr>
        </w:p>
      </w:tc>
    </w:tr>
  </w:tbl>
  <w:p w:rsidR="00542CEF" w:rsidRDefault="00542CE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42CEF">
      <w:trPr>
        <w:cantSplit/>
      </w:trPr>
      <w:tc>
        <w:tcPr>
          <w:tcW w:w="7258" w:type="dxa"/>
          <w:gridSpan w:val="2"/>
        </w:tcPr>
        <w:p w:rsidR="00542CEF" w:rsidRDefault="008D59D4">
          <w:pPr>
            <w:pStyle w:val="HeaderActNameRight"/>
            <w:ind w:right="17"/>
          </w:pPr>
          <w:fldSimple w:instr=" Styleref &quot;Name of Act/Reg&quot; ">
            <w:r w:rsidR="00506B56">
              <w:rPr>
                <w:noProof/>
              </w:rPr>
              <w:t>Road Traffic (Miscellaneous) Regulations 2008</w:t>
            </w:r>
          </w:fldSimple>
        </w:p>
      </w:tc>
    </w:tr>
    <w:tr w:rsidR="00542CEF">
      <w:tc>
        <w:tcPr>
          <w:tcW w:w="5715" w:type="dxa"/>
        </w:tcPr>
        <w:p w:rsidR="00542CEF" w:rsidRDefault="00542CEF">
          <w:pPr>
            <w:pStyle w:val="HeaderTextRight"/>
          </w:pPr>
        </w:p>
      </w:tc>
      <w:tc>
        <w:tcPr>
          <w:tcW w:w="1548" w:type="dxa"/>
        </w:tcPr>
        <w:p w:rsidR="00542CEF" w:rsidRDefault="00542CEF">
          <w:pPr>
            <w:pStyle w:val="HeaderNumberRight"/>
            <w:ind w:right="17"/>
          </w:pPr>
        </w:p>
      </w:tc>
    </w:tr>
    <w:tr w:rsidR="00542CEF">
      <w:tc>
        <w:tcPr>
          <w:tcW w:w="5715" w:type="dxa"/>
        </w:tcPr>
        <w:p w:rsidR="00542CEF" w:rsidRDefault="00542CEF">
          <w:pPr>
            <w:pStyle w:val="HeaderTextRight"/>
          </w:pPr>
        </w:p>
      </w:tc>
      <w:tc>
        <w:tcPr>
          <w:tcW w:w="1548" w:type="dxa"/>
        </w:tcPr>
        <w:p w:rsidR="00542CEF" w:rsidRDefault="00542CEF">
          <w:pPr>
            <w:pStyle w:val="HeaderNumberRight"/>
            <w:ind w:right="17"/>
          </w:pPr>
        </w:p>
      </w:tc>
    </w:tr>
    <w:tr w:rsidR="00542CEF">
      <w:trPr>
        <w:cantSplit/>
      </w:trPr>
      <w:tc>
        <w:tcPr>
          <w:tcW w:w="7258" w:type="dxa"/>
          <w:gridSpan w:val="2"/>
        </w:tcPr>
        <w:p w:rsidR="00542CEF" w:rsidRDefault="00542CEF">
          <w:pPr>
            <w:pStyle w:val="HeaderSectionRight"/>
            <w:ind w:right="17"/>
          </w:pPr>
        </w:p>
      </w:tc>
    </w:tr>
  </w:tbl>
  <w:p w:rsidR="00542CEF" w:rsidRDefault="00542CE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542CE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EF" w:rsidRDefault="00542C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9D4"/>
    <w:rsid w:val="00506B56"/>
    <w:rsid w:val="00542CEF"/>
    <w:rsid w:val="0077261B"/>
    <w:rsid w:val="008D59D4"/>
    <w:rsid w:val="00B60A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2356</Words>
  <Characters>11499</Characters>
  <Application>Microsoft Office Word</Application>
  <DocSecurity>0</DocSecurity>
  <Lines>425</Lines>
  <Paragraphs>247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vt:lpstr>
      <vt:lpstr>    Notes</vt:lpstr>
    </vt:vector>
  </TitlesOfParts>
  <Company>Parliamentary Counsel's Office</Company>
  <LinksUpToDate>false</LinksUpToDate>
  <CharactersWithSpaces>13608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2008 - 00-a0-01</dc:title>
  <dc:subject>Subsidiary Legislation</dc:subject>
  <dc:creator>svcMRProcess</dc:creator>
  <cp:keywords>Brought into Production 7 June 2002</cp:keywords>
  <dc:description/>
  <cp:lastModifiedBy>svcMRProcess</cp:lastModifiedBy>
  <cp:revision>4</cp:revision>
  <cp:lastPrinted>2008-05-13T09:55:00Z</cp:lastPrinted>
  <dcterms:created xsi:type="dcterms:W3CDTF">2013-02-18T00:59:00Z</dcterms:created>
  <dcterms:modified xsi:type="dcterms:W3CDTF">2013-02-18T00:59:00Z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20080610</vt:lpwstr>
  </property>
  <property fmtid="{D5CDD505-2E9C-101B-9397-08002B2CF9AE}" pid="4" name="DocumentType">
    <vt:lpwstr>Reg</vt:lpwstr>
  </property>
  <property fmtid="{D5CDD505-2E9C-101B-9397-08002B2CF9AE}" pid="5" name="AsAtDate">
    <vt:lpwstr>10 Jun 2008</vt:lpwstr>
  </property>
  <property fmtid="{D5CDD505-2E9C-101B-9397-08002B2CF9AE}" pid="6" name="Suffix">
    <vt:lpwstr>00-a0-01</vt:lpwstr>
  </property>
  <property fmtid="{D5CDD505-2E9C-101B-9397-08002B2CF9AE}" pid="7" name="OwlsUID">
    <vt:i4>40377</vt:i4>
  </property>
</Properties>
</file>