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Taxation Administration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_Toc390071094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_Toc390071095 \h </w:instrText>
      </w:r>
      <w:r>
        <w:fldChar w:fldCharType="separate"/>
      </w:r>
      <w:r>
        <w:t>2</w:t>
      </w:r>
      <w:r>
        <w:fldChar w:fldCharType="end"/>
      </w:r>
    </w:p>
    <w:p>
      <w:pPr>
        <w:pStyle w:val="TOC8"/>
        <w:rPr>
          <w:rFonts w:asciiTheme="minorHAnsi" w:eastAsiaTheme="minorEastAsia" w:hAnsiTheme="minorHAnsi" w:cstheme="minorBidi"/>
          <w:szCs w:val="22"/>
        </w:rPr>
      </w:pPr>
      <w:r>
        <w:t>3.</w:t>
      </w:r>
      <w:r>
        <w:tab/>
        <w:t>The taxation Acts</w:t>
      </w:r>
      <w:r>
        <w:tab/>
      </w:r>
      <w:r>
        <w:fldChar w:fldCharType="begin"/>
      </w:r>
      <w:r>
        <w:instrText xml:space="preserve"> PAGEREF _Toc390071096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Meaning of terms used in this Act</w:t>
      </w:r>
      <w:r>
        <w:tab/>
      </w:r>
      <w:r>
        <w:fldChar w:fldCharType="begin"/>
      </w:r>
      <w:r>
        <w:instrText xml:space="preserve"> PAGEREF _Toc390071097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_Toc390071098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tab/>
        <w:t>Commissioner of State Revenue</w:t>
      </w:r>
      <w:r>
        <w:tab/>
      </w:r>
      <w:r>
        <w:fldChar w:fldCharType="begin"/>
      </w:r>
      <w:r>
        <w:instrText xml:space="preserve"> PAGEREF _Toc390071100 \h </w:instrText>
      </w:r>
      <w:r>
        <w:fldChar w:fldCharType="separate"/>
      </w:r>
      <w:r>
        <w:t>4</w:t>
      </w:r>
      <w:r>
        <w:fldChar w:fldCharType="end"/>
      </w:r>
    </w:p>
    <w:p>
      <w:pPr>
        <w:pStyle w:val="TOC8"/>
        <w:rPr>
          <w:rFonts w:asciiTheme="minorHAnsi" w:eastAsiaTheme="minorEastAsia" w:hAnsiTheme="minorHAnsi" w:cstheme="minorBidi"/>
          <w:szCs w:val="22"/>
        </w:rPr>
      </w:pPr>
      <w:r>
        <w:t>7.</w:t>
      </w:r>
      <w:r>
        <w:tab/>
        <w:t>Administration of taxation Acts</w:t>
      </w:r>
      <w:r>
        <w:tab/>
      </w:r>
      <w:r>
        <w:fldChar w:fldCharType="begin"/>
      </w:r>
      <w:r>
        <w:instrText xml:space="preserve"> PAGEREF _Toc390071101 \h </w:instrText>
      </w:r>
      <w:r>
        <w:fldChar w:fldCharType="separate"/>
      </w:r>
      <w:r>
        <w:t>4</w:t>
      </w:r>
      <w:r>
        <w:fldChar w:fldCharType="end"/>
      </w:r>
    </w:p>
    <w:p>
      <w:pPr>
        <w:pStyle w:val="TOC8"/>
        <w:rPr>
          <w:rFonts w:asciiTheme="minorHAnsi" w:eastAsiaTheme="minorEastAsia" w:hAnsiTheme="minorHAnsi" w:cstheme="minorBidi"/>
          <w:szCs w:val="22"/>
        </w:rPr>
      </w:pPr>
      <w:r>
        <w:t>8.</w:t>
      </w:r>
      <w:r>
        <w:tab/>
        <w:t>Commissioner’s functions</w:t>
      </w:r>
      <w:r>
        <w:tab/>
      </w:r>
      <w:r>
        <w:fldChar w:fldCharType="begin"/>
      </w:r>
      <w:r>
        <w:instrText xml:space="preserve"> PAGEREF _Toc390071102 \h </w:instrText>
      </w:r>
      <w:r>
        <w:fldChar w:fldCharType="separate"/>
      </w:r>
      <w:r>
        <w:t>4</w:t>
      </w:r>
      <w:r>
        <w:fldChar w:fldCharType="end"/>
      </w:r>
    </w:p>
    <w:p>
      <w:pPr>
        <w:pStyle w:val="TOC8"/>
        <w:rPr>
          <w:rFonts w:asciiTheme="minorHAnsi" w:eastAsiaTheme="minorEastAsia" w:hAnsiTheme="minorHAnsi" w:cstheme="minorBidi"/>
          <w:szCs w:val="22"/>
        </w:rPr>
      </w:pPr>
      <w:r>
        <w:t>9.</w:t>
      </w:r>
      <w:r>
        <w:tab/>
        <w:t>Judicial notice of appointment and signature</w:t>
      </w:r>
      <w:r>
        <w:tab/>
      </w:r>
      <w:r>
        <w:fldChar w:fldCharType="begin"/>
      </w:r>
      <w:r>
        <w:instrText xml:space="preserve"> PAGEREF _Toc390071103 \h </w:instrText>
      </w:r>
      <w:r>
        <w:fldChar w:fldCharType="separate"/>
      </w:r>
      <w:r>
        <w:t>4</w:t>
      </w:r>
      <w:r>
        <w:fldChar w:fldCharType="end"/>
      </w:r>
    </w:p>
    <w:p>
      <w:pPr>
        <w:pStyle w:val="TOC8"/>
        <w:rPr>
          <w:rFonts w:asciiTheme="minorHAnsi" w:eastAsiaTheme="minorEastAsia" w:hAnsiTheme="minorHAnsi" w:cstheme="minorBidi"/>
          <w:szCs w:val="22"/>
        </w:rPr>
      </w:pPr>
      <w:r>
        <w:t>10.</w:t>
      </w:r>
      <w:r>
        <w:tab/>
        <w:t>Delegation</w:t>
      </w:r>
      <w:r>
        <w:tab/>
      </w:r>
      <w:r>
        <w:fldChar w:fldCharType="begin"/>
      </w:r>
      <w:r>
        <w:instrText xml:space="preserve"> PAGEREF _Toc390071104 \h </w:instrText>
      </w:r>
      <w:r>
        <w:fldChar w:fldCharType="separate"/>
      </w:r>
      <w:r>
        <w:t>5</w:t>
      </w:r>
      <w:r>
        <w:fldChar w:fldCharType="end"/>
      </w:r>
    </w:p>
    <w:p>
      <w:pPr>
        <w:pStyle w:val="TOC8"/>
        <w:rPr>
          <w:rFonts w:asciiTheme="minorHAnsi" w:eastAsiaTheme="minorEastAsia" w:hAnsiTheme="minorHAnsi" w:cstheme="minorBidi"/>
          <w:szCs w:val="22"/>
        </w:rPr>
      </w:pPr>
      <w:r>
        <w:t>11.</w:t>
      </w:r>
      <w:r>
        <w:tab/>
        <w:t>Tax investigators</w:t>
      </w:r>
      <w:r>
        <w:tab/>
      </w:r>
      <w:r>
        <w:fldChar w:fldCharType="begin"/>
      </w:r>
      <w:r>
        <w:instrText xml:space="preserve"> PAGEREF _Toc390071105 \h </w:instrText>
      </w:r>
      <w:r>
        <w:fldChar w:fldCharType="separate"/>
      </w:r>
      <w:r>
        <w:t>5</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_Toc390071106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Assessments of tax</w:t>
      </w:r>
    </w:p>
    <w:p>
      <w:pPr>
        <w:pStyle w:val="TOC4"/>
        <w:tabs>
          <w:tab w:val="right" w:leader="dot" w:pos="7086"/>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_Toc390071109 \h </w:instrText>
      </w:r>
      <w:r>
        <w:fldChar w:fldCharType="separate"/>
      </w:r>
      <w:r>
        <w:t>7</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_Toc390071110 \h </w:instrText>
      </w:r>
      <w:r>
        <w:fldChar w:fldCharType="separate"/>
      </w:r>
      <w:r>
        <w:t>7</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_Toc390071111 \h </w:instrText>
      </w:r>
      <w:r>
        <w:fldChar w:fldCharType="separate"/>
      </w:r>
      <w:r>
        <w:t>7</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_Toc390071112 \h </w:instrText>
      </w:r>
      <w:r>
        <w:fldChar w:fldCharType="separate"/>
      </w:r>
      <w:r>
        <w:t>8</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_Toc390071113 \h </w:instrText>
      </w:r>
      <w:r>
        <w:fldChar w:fldCharType="separate"/>
      </w:r>
      <w:r>
        <w:t>9</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_Toc390071114 \h </w:instrText>
      </w:r>
      <w:r>
        <w:fldChar w:fldCharType="separate"/>
      </w:r>
      <w:r>
        <w:t>9</w:t>
      </w:r>
      <w:r>
        <w:fldChar w:fldCharType="end"/>
      </w:r>
    </w:p>
    <w:p>
      <w:pPr>
        <w:pStyle w:val="TOC8"/>
        <w:rPr>
          <w:rFonts w:asciiTheme="minorHAnsi" w:eastAsiaTheme="minorEastAsia" w:hAnsiTheme="minorHAnsi" w:cstheme="minorBidi"/>
          <w:szCs w:val="22"/>
        </w:rPr>
      </w:pPr>
      <w:r>
        <w:t>18A</w:t>
      </w:r>
      <w:r>
        <w:rPr>
          <w:color w:val="000000"/>
        </w:rPr>
        <w:t>.</w:t>
      </w:r>
      <w:r>
        <w:rPr>
          <w:color w:val="000000"/>
        </w:rPr>
        <w:tab/>
        <w:t>Withdrawal of assessment</w:t>
      </w:r>
      <w:r>
        <w:tab/>
      </w:r>
      <w:r>
        <w:fldChar w:fldCharType="begin"/>
      </w:r>
      <w:r>
        <w:instrText xml:space="preserve"> PAGEREF _Toc390071115 \h </w:instrText>
      </w:r>
      <w:r>
        <w:fldChar w:fldCharType="separate"/>
      </w:r>
      <w:r>
        <w:t>10</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_Toc390071116 \h </w:instrText>
      </w:r>
      <w:r>
        <w:fldChar w:fldCharType="separate"/>
      </w:r>
      <w:r>
        <w:t>10</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_Toc390071117 \h </w:instrText>
      </w:r>
      <w:r>
        <w:fldChar w:fldCharType="separate"/>
      </w:r>
      <w:r>
        <w:t>11</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_Toc390071118 \h </w:instrText>
      </w:r>
      <w:r>
        <w:fldChar w:fldCharType="separate"/>
      </w:r>
      <w:r>
        <w:t>12</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_Toc390071119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_Toc390071121 \h </w:instrText>
      </w:r>
      <w:r>
        <w:fldChar w:fldCharType="separate"/>
      </w:r>
      <w:r>
        <w:t>13</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_Toc390071122 \h </w:instrText>
      </w:r>
      <w:r>
        <w:fldChar w:fldCharType="separate"/>
      </w:r>
      <w:r>
        <w:t>14</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_Toc390071123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_Toc390071125 \h </w:instrText>
      </w:r>
      <w:r>
        <w:fldChar w:fldCharType="separate"/>
      </w:r>
      <w:r>
        <w:t>15</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_Toc390071126 \h </w:instrText>
      </w:r>
      <w:r>
        <w:fldChar w:fldCharType="separate"/>
      </w:r>
      <w:r>
        <w:t>16</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_Toc390071127 \h </w:instrText>
      </w:r>
      <w:r>
        <w:fldChar w:fldCharType="separate"/>
      </w:r>
      <w:r>
        <w:t>17</w:t>
      </w:r>
      <w:r>
        <w:fldChar w:fldCharType="end"/>
      </w:r>
    </w:p>
    <w:p>
      <w:pPr>
        <w:pStyle w:val="TOC8"/>
        <w:rPr>
          <w:rFonts w:asciiTheme="minorHAnsi" w:eastAsiaTheme="minorEastAsia" w:hAnsiTheme="minorHAnsi" w:cstheme="minorBidi"/>
          <w:szCs w:val="22"/>
        </w:rPr>
      </w:pPr>
      <w:r>
        <w:t>29.</w:t>
      </w:r>
      <w:r>
        <w:tab/>
        <w:t>Remission of penalty tax</w:t>
      </w:r>
      <w:r>
        <w:tab/>
      </w:r>
      <w:r>
        <w:fldChar w:fldCharType="begin"/>
      </w:r>
      <w:r>
        <w:instrText xml:space="preserve"> PAGEREF _Toc390071128 \h </w:instrText>
      </w:r>
      <w:r>
        <w:fldChar w:fldCharType="separate"/>
      </w:r>
      <w:r>
        <w:t>17</w:t>
      </w:r>
      <w:r>
        <w:fldChar w:fldCharType="end"/>
      </w:r>
    </w:p>
    <w:p>
      <w:pPr>
        <w:pStyle w:val="TOC8"/>
        <w:rPr>
          <w:rFonts w:asciiTheme="minorHAnsi" w:eastAsiaTheme="minorEastAsia" w:hAnsiTheme="minorHAnsi" w:cstheme="minorBidi"/>
          <w:szCs w:val="22"/>
        </w:rPr>
      </w:pPr>
      <w:r>
        <w:t>30.</w:t>
      </w:r>
      <w:r>
        <w:tab/>
        <w:t>Guidelines for imposing penalty tax</w:t>
      </w:r>
      <w:r>
        <w:tab/>
      </w:r>
      <w:r>
        <w:fldChar w:fldCharType="begin"/>
      </w:r>
      <w:r>
        <w:instrText xml:space="preserve"> PAGEREF _Toc390071129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4 — Objections and review proceedings</w:t>
      </w:r>
    </w:p>
    <w:p>
      <w:pPr>
        <w:pStyle w:val="TOC4"/>
        <w:tabs>
          <w:tab w:val="right" w:leader="dot" w:pos="7086"/>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_Toc390071132 \h </w:instrText>
      </w:r>
      <w:r>
        <w:fldChar w:fldCharType="separate"/>
      </w:r>
      <w:r>
        <w:t>18</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_Toc390071133 \h </w:instrText>
      </w:r>
      <w:r>
        <w:fldChar w:fldCharType="separate"/>
      </w:r>
      <w:r>
        <w:t>18</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_Toc390071134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_Toc390071136 \h </w:instrText>
      </w:r>
      <w:r>
        <w:fldChar w:fldCharType="separate"/>
      </w:r>
      <w:r>
        <w:t>19</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_Toc390071137 \h </w:instrText>
      </w:r>
      <w:r>
        <w:fldChar w:fldCharType="separate"/>
      </w:r>
      <w:r>
        <w:t>19</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_Toc390071138 \h </w:instrText>
      </w:r>
      <w:r>
        <w:fldChar w:fldCharType="separate"/>
      </w:r>
      <w:r>
        <w:t>19</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_Toc390071139 \h </w:instrText>
      </w:r>
      <w:r>
        <w:fldChar w:fldCharType="separate"/>
      </w:r>
      <w:r>
        <w:t>20</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_Toc390071140 \h </w:instrText>
      </w:r>
      <w:r>
        <w:fldChar w:fldCharType="separate"/>
      </w:r>
      <w:r>
        <w:t>21</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_Toc390071141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3 — Reviews and stated cases</w:t>
      </w:r>
    </w:p>
    <w:p>
      <w:pPr>
        <w:pStyle w:val="TOC8"/>
        <w:rPr>
          <w:rFonts w:asciiTheme="minorHAnsi" w:eastAsiaTheme="minorEastAsia" w:hAnsiTheme="minorHAnsi" w:cstheme="minorBidi"/>
          <w:szCs w:val="22"/>
        </w:rPr>
      </w:pPr>
      <w:r>
        <w:t>40.</w:t>
      </w:r>
      <w:r>
        <w:tab/>
        <w:t>Right of review</w:t>
      </w:r>
      <w:r>
        <w:tab/>
      </w:r>
      <w:r>
        <w:fldChar w:fldCharType="begin"/>
      </w:r>
      <w:r>
        <w:instrText xml:space="preserve"> PAGEREF _Toc390071143 \h </w:instrText>
      </w:r>
      <w:r>
        <w:fldChar w:fldCharType="separate"/>
      </w:r>
      <w:r>
        <w:t>23</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_Toc390071144 \h </w:instrText>
      </w:r>
      <w:r>
        <w:fldChar w:fldCharType="separate"/>
      </w:r>
      <w:r>
        <w:t>23</w:t>
      </w:r>
      <w:r>
        <w:fldChar w:fldCharType="end"/>
      </w:r>
    </w:p>
    <w:p>
      <w:pPr>
        <w:pStyle w:val="TOC8"/>
        <w:rPr>
          <w:rFonts w:asciiTheme="minorHAnsi" w:eastAsiaTheme="minorEastAsia" w:hAnsiTheme="minorHAnsi" w:cstheme="minorBidi"/>
          <w:szCs w:val="22"/>
        </w:rPr>
      </w:pPr>
      <w:r>
        <w:t>43.</w:t>
      </w:r>
      <w:r>
        <w:tab/>
        <w:t>Proceedings before State Administrative Tribunal</w:t>
      </w:r>
      <w:r>
        <w:tab/>
      </w:r>
      <w:r>
        <w:fldChar w:fldCharType="begin"/>
      </w:r>
      <w:r>
        <w:instrText xml:space="preserve"> PAGEREF _Toc390071145 \h </w:instrText>
      </w:r>
      <w:r>
        <w:fldChar w:fldCharType="separate"/>
      </w:r>
      <w:r>
        <w:t>23</w:t>
      </w:r>
      <w:r>
        <w:fldChar w:fldCharType="end"/>
      </w:r>
    </w:p>
    <w:p>
      <w:pPr>
        <w:pStyle w:val="TOC8"/>
        <w:rPr>
          <w:rFonts w:asciiTheme="minorHAnsi" w:eastAsiaTheme="minorEastAsia" w:hAnsiTheme="minorHAnsi" w:cstheme="minorBidi"/>
          <w:szCs w:val="22"/>
        </w:rPr>
      </w:pPr>
      <w:r>
        <w:t>43A.</w:t>
      </w:r>
      <w:r>
        <w:tab/>
        <w:t>Appeal from decision of State Administrative Tribunal</w:t>
      </w:r>
      <w:r>
        <w:tab/>
      </w:r>
      <w:r>
        <w:fldChar w:fldCharType="begin"/>
      </w:r>
      <w:r>
        <w:instrText xml:space="preserve"> PAGEREF _Toc390071146 \h </w:instrText>
      </w:r>
      <w:r>
        <w:fldChar w:fldCharType="separate"/>
      </w:r>
      <w:r>
        <w:t>26</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_Toc390071147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rPr>
      </w:pPr>
      <w:r>
        <w:t>Part 5 — Payment and refund of tax</w:t>
      </w:r>
    </w:p>
    <w:p>
      <w:pPr>
        <w:pStyle w:val="TOC4"/>
        <w:tabs>
          <w:tab w:val="right" w:leader="dot" w:pos="7086"/>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_Toc390071150 \h </w:instrText>
      </w:r>
      <w:r>
        <w:fldChar w:fldCharType="separate"/>
      </w:r>
      <w:r>
        <w:t>27</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_Toc390071151 \h </w:instrText>
      </w:r>
      <w:r>
        <w:fldChar w:fldCharType="separate"/>
      </w:r>
      <w:r>
        <w:t>27</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_Toc390071152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_Toc390071154 \h </w:instrText>
      </w:r>
      <w:r>
        <w:fldChar w:fldCharType="separate"/>
      </w:r>
      <w:r>
        <w:t>29</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_Toc390071155 \h </w:instrText>
      </w:r>
      <w:r>
        <w:fldChar w:fldCharType="separate"/>
      </w:r>
      <w:r>
        <w:t>29</w:t>
      </w:r>
      <w:r>
        <w:fldChar w:fldCharType="end"/>
      </w:r>
    </w:p>
    <w:p>
      <w:pPr>
        <w:pStyle w:val="TOC8"/>
        <w:rPr>
          <w:rFonts w:asciiTheme="minorHAnsi" w:eastAsiaTheme="minorEastAsia" w:hAnsiTheme="minorHAnsi" w:cstheme="minorBidi"/>
          <w:szCs w:val="22"/>
        </w:rPr>
      </w:pPr>
      <w:r>
        <w:t>51.</w:t>
      </w:r>
      <w:r>
        <w:tab/>
        <w:t>Instruments stamped or endorsed under a special tax return arrangement</w:t>
      </w:r>
      <w:r>
        <w:tab/>
      </w:r>
      <w:r>
        <w:fldChar w:fldCharType="begin"/>
      </w:r>
      <w:r>
        <w:instrText xml:space="preserve"> PAGEREF _Toc390071156 \h </w:instrText>
      </w:r>
      <w:r>
        <w:fldChar w:fldCharType="separate"/>
      </w:r>
      <w:r>
        <w:t>30</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_Toc390071157 \h </w:instrText>
      </w:r>
      <w:r>
        <w:fldChar w:fldCharType="separate"/>
      </w:r>
      <w:r>
        <w:t>31</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_Toc390071158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Power to make refund</w:t>
      </w:r>
      <w:r>
        <w:tab/>
      </w:r>
      <w:r>
        <w:fldChar w:fldCharType="begin"/>
      </w:r>
      <w:r>
        <w:instrText xml:space="preserve"> PAGEREF _Toc390071160 \h </w:instrText>
      </w:r>
      <w:r>
        <w:fldChar w:fldCharType="separate"/>
      </w:r>
      <w:r>
        <w:t>32</w:t>
      </w:r>
      <w:r>
        <w:fldChar w:fldCharType="end"/>
      </w:r>
    </w:p>
    <w:p>
      <w:pPr>
        <w:pStyle w:val="TOC8"/>
        <w:rPr>
          <w:rFonts w:asciiTheme="minorHAnsi" w:eastAsiaTheme="minorEastAsia" w:hAnsiTheme="minorHAnsi" w:cstheme="minorBidi"/>
          <w:szCs w:val="22"/>
        </w:rPr>
      </w:pPr>
      <w:r>
        <w:t>55A.</w:t>
      </w:r>
      <w:r>
        <w:tab/>
        <w:t>Unused credit</w:t>
      </w:r>
      <w:r>
        <w:tab/>
      </w:r>
      <w:r>
        <w:fldChar w:fldCharType="begin"/>
      </w:r>
      <w:r>
        <w:instrText xml:space="preserve"> PAGEREF _Toc390071161 \h </w:instrText>
      </w:r>
      <w:r>
        <w:fldChar w:fldCharType="separate"/>
      </w:r>
      <w:r>
        <w:t>33</w:t>
      </w:r>
      <w:r>
        <w:fldChar w:fldCharType="end"/>
      </w:r>
    </w:p>
    <w:p>
      <w:pPr>
        <w:pStyle w:val="TOC8"/>
        <w:rPr>
          <w:rFonts w:asciiTheme="minorHAnsi" w:eastAsiaTheme="minorEastAsia" w:hAnsiTheme="minorHAnsi" w:cstheme="minorBidi"/>
          <w:szCs w:val="22"/>
        </w:rPr>
      </w:pPr>
      <w:r>
        <w:t>55.</w:t>
      </w:r>
      <w:r>
        <w:tab/>
        <w:t>Refund to be passed on in certain cases</w:t>
      </w:r>
      <w:r>
        <w:tab/>
      </w:r>
      <w:r>
        <w:fldChar w:fldCharType="begin"/>
      </w:r>
      <w:r>
        <w:instrText xml:space="preserve"> PAGEREF _Toc390071162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Waiver of tax</w:t>
      </w:r>
      <w:r>
        <w:tab/>
      </w:r>
      <w:r>
        <w:fldChar w:fldCharType="begin"/>
      </w:r>
      <w:r>
        <w:instrText xml:space="preserve"> PAGEREF _Toc390071164 \h </w:instrText>
      </w:r>
      <w:r>
        <w:fldChar w:fldCharType="separate"/>
      </w:r>
      <w:r>
        <w:t>35</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_Toc390071165 \h </w:instrText>
      </w:r>
      <w:r>
        <w:fldChar w:fldCharType="separate"/>
      </w:r>
      <w:r>
        <w:t>35</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_Toc390071166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6 — Recovery of tax</w:t>
      </w:r>
    </w:p>
    <w:p>
      <w:pPr>
        <w:pStyle w:val="TOC4"/>
        <w:tabs>
          <w:tab w:val="right" w:leader="dot" w:pos="7086"/>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tab/>
        <w:t>Recovery of unpaid tax</w:t>
      </w:r>
      <w:r>
        <w:tab/>
      </w:r>
      <w:r>
        <w:fldChar w:fldCharType="begin"/>
      </w:r>
      <w:r>
        <w:instrText xml:space="preserve"> PAGEREF _Toc390071169 \h </w:instrText>
      </w:r>
      <w:r>
        <w:fldChar w:fldCharType="separate"/>
      </w:r>
      <w:r>
        <w:t>36</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_Toc390071170 \h </w:instrText>
      </w:r>
      <w:r>
        <w:fldChar w:fldCharType="separate"/>
      </w:r>
      <w:r>
        <w:t>36</w:t>
      </w:r>
      <w:r>
        <w:fldChar w:fldCharType="end"/>
      </w:r>
    </w:p>
    <w:p>
      <w:pPr>
        <w:pStyle w:val="TOC8"/>
        <w:rPr>
          <w:rFonts w:asciiTheme="minorHAnsi" w:eastAsiaTheme="minorEastAsia" w:hAnsiTheme="minorHAnsi" w:cstheme="minorBidi"/>
          <w:szCs w:val="22"/>
        </w:rPr>
      </w:pPr>
      <w:r>
        <w:t>62.</w:t>
      </w:r>
      <w:r>
        <w:tab/>
        <w:t>Recovery of costs and interest</w:t>
      </w:r>
      <w:r>
        <w:tab/>
      </w:r>
      <w:r>
        <w:fldChar w:fldCharType="begin"/>
      </w:r>
      <w:r>
        <w:instrText xml:space="preserve"> PAGEREF _Toc390071171 \h </w:instrText>
      </w:r>
      <w:r>
        <w:fldChar w:fldCharType="separate"/>
      </w:r>
      <w:r>
        <w:t>36</w:t>
      </w:r>
      <w:r>
        <w:fldChar w:fldCharType="end"/>
      </w:r>
    </w:p>
    <w:p>
      <w:pPr>
        <w:pStyle w:val="TOC8"/>
        <w:rPr>
          <w:rFonts w:asciiTheme="minorHAnsi" w:eastAsiaTheme="minorEastAsia" w:hAnsiTheme="minorHAnsi" w:cstheme="minorBidi"/>
          <w:szCs w:val="22"/>
        </w:rPr>
      </w:pPr>
      <w:r>
        <w:t>63.</w:t>
      </w:r>
      <w:r>
        <w:tab/>
        <w:t>Recovery of tax in cases of joint liability</w:t>
      </w:r>
      <w:r>
        <w:tab/>
      </w:r>
      <w:r>
        <w:fldChar w:fldCharType="begin"/>
      </w:r>
      <w:r>
        <w:instrText xml:space="preserve"> PAGEREF _Toc390071172 \h </w:instrText>
      </w:r>
      <w:r>
        <w:fldChar w:fldCharType="separate"/>
      </w:r>
      <w:r>
        <w:t>36</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_Toc390071173 \h </w:instrText>
      </w:r>
      <w:r>
        <w:fldChar w:fldCharType="separate"/>
      </w:r>
      <w:r>
        <w:t>37</w:t>
      </w:r>
      <w:r>
        <w:fldChar w:fldCharType="end"/>
      </w:r>
    </w:p>
    <w:p>
      <w:pPr>
        <w:pStyle w:val="TOC8"/>
        <w:rPr>
          <w:rFonts w:asciiTheme="minorHAnsi" w:eastAsiaTheme="minorEastAsia" w:hAnsiTheme="minorHAnsi" w:cstheme="minorBidi"/>
          <w:szCs w:val="22"/>
        </w:rPr>
      </w:pPr>
      <w:r>
        <w:t>65.</w:t>
      </w:r>
      <w:r>
        <w:tab/>
        <w:t>Power to garnishee</w:t>
      </w:r>
      <w:r>
        <w:tab/>
      </w:r>
      <w:r>
        <w:fldChar w:fldCharType="begin"/>
      </w:r>
      <w:r>
        <w:instrText xml:space="preserve"> PAGEREF _Toc390071174 \h </w:instrText>
      </w:r>
      <w:r>
        <w:fldChar w:fldCharType="separate"/>
      </w:r>
      <w:r>
        <w:t>37</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_Toc390071175 \h </w:instrText>
      </w:r>
      <w:r>
        <w:fldChar w:fldCharType="separate"/>
      </w:r>
      <w:r>
        <w:t>39</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_Toc390071176 \h </w:instrText>
      </w:r>
      <w:r>
        <w:fldChar w:fldCharType="separate"/>
      </w:r>
      <w:r>
        <w:t>39</w:t>
      </w:r>
      <w:r>
        <w:fldChar w:fldCharType="end"/>
      </w:r>
    </w:p>
    <w:p>
      <w:pPr>
        <w:pStyle w:val="TOC8"/>
        <w:rPr>
          <w:rFonts w:asciiTheme="minorHAnsi" w:eastAsiaTheme="minorEastAsia" w:hAnsiTheme="minorHAnsi" w:cstheme="minorBidi"/>
          <w:szCs w:val="22"/>
        </w:rPr>
      </w:pPr>
      <w:r>
        <w:t>68.</w:t>
      </w:r>
      <w:r>
        <w:tab/>
        <w:t>Director of body corporate may apply</w:t>
      </w:r>
      <w:r>
        <w:tab/>
      </w:r>
      <w:r>
        <w:fldChar w:fldCharType="begin"/>
      </w:r>
      <w:r>
        <w:instrText xml:space="preserve"> PAGEREF _Toc390071177 \h </w:instrText>
      </w:r>
      <w:r>
        <w:fldChar w:fldCharType="separate"/>
      </w:r>
      <w:r>
        <w:t>41</w:t>
      </w:r>
      <w:r>
        <w:fldChar w:fldCharType="end"/>
      </w:r>
    </w:p>
    <w:p>
      <w:pPr>
        <w:pStyle w:val="TOC8"/>
        <w:rPr>
          <w:rFonts w:asciiTheme="minorHAnsi" w:eastAsiaTheme="minorEastAsia" w:hAnsiTheme="minorHAnsi" w:cstheme="minorBidi"/>
          <w:szCs w:val="22"/>
        </w:rPr>
      </w:pPr>
      <w:r>
        <w:t>69.</w:t>
      </w:r>
      <w:r>
        <w:tab/>
        <w:t>Determination of application where there is a dispute</w:t>
      </w:r>
      <w:r>
        <w:tab/>
      </w:r>
      <w:r>
        <w:fldChar w:fldCharType="begin"/>
      </w:r>
      <w:r>
        <w:instrText xml:space="preserve"> PAGEREF _Toc390071178 \h </w:instrText>
      </w:r>
      <w:r>
        <w:fldChar w:fldCharType="separate"/>
      </w:r>
      <w:r>
        <w:t>41</w:t>
      </w:r>
      <w:r>
        <w:fldChar w:fldCharType="end"/>
      </w:r>
    </w:p>
    <w:p>
      <w:pPr>
        <w:pStyle w:val="TOC8"/>
        <w:rPr>
          <w:rFonts w:asciiTheme="minorHAnsi" w:eastAsiaTheme="minorEastAsia" w:hAnsiTheme="minorHAnsi" w:cstheme="minorBidi"/>
          <w:szCs w:val="22"/>
        </w:rPr>
      </w:pPr>
      <w:r>
        <w:t>70.</w:t>
      </w:r>
      <w:r>
        <w:tab/>
        <w:t>Setting aside demand on other grounds</w:t>
      </w:r>
      <w:r>
        <w:tab/>
      </w:r>
      <w:r>
        <w:fldChar w:fldCharType="begin"/>
      </w:r>
      <w:r>
        <w:instrText xml:space="preserve"> PAGEREF _Toc390071179 \h </w:instrText>
      </w:r>
      <w:r>
        <w:fldChar w:fldCharType="separate"/>
      </w:r>
      <w:r>
        <w:t>42</w:t>
      </w:r>
      <w:r>
        <w:fldChar w:fldCharType="end"/>
      </w:r>
    </w:p>
    <w:p>
      <w:pPr>
        <w:pStyle w:val="TOC8"/>
        <w:rPr>
          <w:rFonts w:asciiTheme="minorHAnsi" w:eastAsiaTheme="minorEastAsia" w:hAnsiTheme="minorHAnsi" w:cstheme="minorBidi"/>
          <w:szCs w:val="22"/>
        </w:rPr>
      </w:pPr>
      <w:r>
        <w:t>71.</w:t>
      </w:r>
      <w:r>
        <w:tab/>
        <w:t>Effect of order setting aside notice</w:t>
      </w:r>
      <w:r>
        <w:tab/>
      </w:r>
      <w:r>
        <w:fldChar w:fldCharType="begin"/>
      </w:r>
      <w:r>
        <w:instrText xml:space="preserve"> PAGEREF _Toc390071180 \h </w:instrText>
      </w:r>
      <w:r>
        <w:fldChar w:fldCharType="separate"/>
      </w:r>
      <w:r>
        <w:t>42</w:t>
      </w:r>
      <w:r>
        <w:fldChar w:fldCharType="end"/>
      </w:r>
    </w:p>
    <w:p>
      <w:pPr>
        <w:pStyle w:val="TOC8"/>
        <w:rPr>
          <w:rFonts w:asciiTheme="minorHAnsi" w:eastAsiaTheme="minorEastAsia" w:hAnsiTheme="minorHAnsi" w:cstheme="minorBidi"/>
          <w:szCs w:val="22"/>
        </w:rPr>
      </w:pPr>
      <w:r>
        <w:t>72.</w:t>
      </w:r>
      <w:r>
        <w:tab/>
        <w:t>Dismissal of application</w:t>
      </w:r>
      <w:r>
        <w:tab/>
      </w:r>
      <w:r>
        <w:fldChar w:fldCharType="begin"/>
      </w:r>
      <w:r>
        <w:instrText xml:space="preserve"> PAGEREF _Toc390071181 \h </w:instrText>
      </w:r>
      <w:r>
        <w:fldChar w:fldCharType="separate"/>
      </w:r>
      <w:r>
        <w:t>42</w:t>
      </w:r>
      <w:r>
        <w:fldChar w:fldCharType="end"/>
      </w:r>
    </w:p>
    <w:p>
      <w:pPr>
        <w:pStyle w:val="TOC8"/>
        <w:rPr>
          <w:rFonts w:asciiTheme="minorHAnsi" w:eastAsiaTheme="minorEastAsia" w:hAnsiTheme="minorHAnsi" w:cstheme="minorBidi"/>
          <w:szCs w:val="22"/>
        </w:rPr>
      </w:pPr>
      <w:r>
        <w:t>73.</w:t>
      </w:r>
      <w:r>
        <w:tab/>
        <w:t>Order subject to conditions</w:t>
      </w:r>
      <w:r>
        <w:tab/>
      </w:r>
      <w:r>
        <w:fldChar w:fldCharType="begin"/>
      </w:r>
      <w:r>
        <w:instrText xml:space="preserve"> PAGEREF _Toc390071182 \h </w:instrText>
      </w:r>
      <w:r>
        <w:fldChar w:fldCharType="separate"/>
      </w:r>
      <w:r>
        <w:t>42</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_Toc390071183 \h </w:instrText>
      </w:r>
      <w:r>
        <w:fldChar w:fldCharType="separate"/>
      </w:r>
      <w:r>
        <w:t>43</w:t>
      </w:r>
      <w:r>
        <w:fldChar w:fldCharType="end"/>
      </w:r>
    </w:p>
    <w:p>
      <w:pPr>
        <w:pStyle w:val="TOC8"/>
        <w:rPr>
          <w:rFonts w:asciiTheme="minorHAnsi" w:eastAsiaTheme="minorEastAsia" w:hAnsiTheme="minorHAnsi" w:cstheme="minorBidi"/>
          <w:szCs w:val="22"/>
        </w:rPr>
      </w:pPr>
      <w:r>
        <w:t>75.</w:t>
      </w:r>
      <w:r>
        <w:tab/>
        <w:t>Period of remedying default</w:t>
      </w:r>
      <w:r>
        <w:tab/>
      </w:r>
      <w:r>
        <w:fldChar w:fldCharType="begin"/>
      </w:r>
      <w:r>
        <w:instrText xml:space="preserve"> PAGEREF _Toc390071184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76A.</w:t>
      </w:r>
      <w:r>
        <w:tab/>
        <w:t>Meaning of terms used in this Division</w:t>
      </w:r>
      <w:r>
        <w:tab/>
      </w:r>
      <w:r>
        <w:fldChar w:fldCharType="begin"/>
      </w:r>
      <w:r>
        <w:instrText xml:space="preserve"> PAGEREF _Toc390071186 \h </w:instrText>
      </w:r>
      <w:r>
        <w:fldChar w:fldCharType="separate"/>
      </w:r>
      <w:r>
        <w:t>43</w:t>
      </w:r>
      <w:r>
        <w:fldChar w:fldCharType="end"/>
      </w:r>
    </w:p>
    <w:p>
      <w:pPr>
        <w:pStyle w:val="TOC8"/>
        <w:rPr>
          <w:rFonts w:asciiTheme="minorHAnsi" w:eastAsiaTheme="minorEastAsia" w:hAnsiTheme="minorHAnsi" w:cstheme="minorBidi"/>
          <w:szCs w:val="22"/>
        </w:rPr>
      </w:pPr>
      <w:r>
        <w:t>76.</w:t>
      </w:r>
      <w:r>
        <w:tab/>
        <w:t>Charge on land to secure land tax</w:t>
      </w:r>
      <w:r>
        <w:tab/>
      </w:r>
      <w:r>
        <w:fldChar w:fldCharType="begin"/>
      </w:r>
      <w:r>
        <w:instrText xml:space="preserve"> PAGEREF _Toc390071187 \h </w:instrText>
      </w:r>
      <w:r>
        <w:fldChar w:fldCharType="separate"/>
      </w:r>
      <w:r>
        <w:t>44</w:t>
      </w:r>
      <w:r>
        <w:fldChar w:fldCharType="end"/>
      </w:r>
    </w:p>
    <w:p>
      <w:pPr>
        <w:pStyle w:val="TOC8"/>
        <w:rPr>
          <w:rFonts w:asciiTheme="minorHAnsi" w:eastAsiaTheme="minorEastAsia" w:hAnsiTheme="minorHAnsi" w:cstheme="minorBidi"/>
          <w:szCs w:val="22"/>
        </w:rPr>
      </w:pPr>
      <w:r>
        <w:t>77.</w:t>
      </w:r>
      <w:r>
        <w:tab/>
        <w:t>Charge on land to secure stamp duty</w:t>
      </w:r>
      <w:r>
        <w:tab/>
      </w:r>
      <w:r>
        <w:fldChar w:fldCharType="begin"/>
      </w:r>
      <w:r>
        <w:instrText xml:space="preserve"> PAGEREF _Toc390071188 \h </w:instrText>
      </w:r>
      <w:r>
        <w:fldChar w:fldCharType="separate"/>
      </w:r>
      <w:r>
        <w:t>45</w:t>
      </w:r>
      <w:r>
        <w:fldChar w:fldCharType="end"/>
      </w:r>
    </w:p>
    <w:p>
      <w:pPr>
        <w:pStyle w:val="TOC8"/>
        <w:rPr>
          <w:rFonts w:asciiTheme="minorHAnsi" w:eastAsiaTheme="minorEastAsia" w:hAnsiTheme="minorHAnsi" w:cstheme="minorBidi"/>
          <w:szCs w:val="22"/>
        </w:rPr>
      </w:pPr>
      <w:r>
        <w:t>78.</w:t>
      </w:r>
      <w:r>
        <w:tab/>
        <w:t>Charge on subsequent mining tenement</w:t>
      </w:r>
      <w:r>
        <w:tab/>
      </w:r>
      <w:r>
        <w:fldChar w:fldCharType="begin"/>
      </w:r>
      <w:r>
        <w:instrText xml:space="preserve"> PAGEREF _Toc390071189 \h </w:instrText>
      </w:r>
      <w:r>
        <w:fldChar w:fldCharType="separate"/>
      </w:r>
      <w:r>
        <w:t>47</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_Toc390071190 \h </w:instrText>
      </w:r>
      <w:r>
        <w:fldChar w:fldCharType="separate"/>
      </w:r>
      <w:r>
        <w:t>47</w:t>
      </w:r>
      <w:r>
        <w:fldChar w:fldCharType="end"/>
      </w:r>
    </w:p>
    <w:p>
      <w:pPr>
        <w:pStyle w:val="TOC8"/>
        <w:rPr>
          <w:rFonts w:asciiTheme="minorHAnsi" w:eastAsiaTheme="minorEastAsia" w:hAnsiTheme="minorHAnsi" w:cstheme="minorBidi"/>
          <w:szCs w:val="22"/>
        </w:rPr>
      </w:pPr>
      <w:r>
        <w:t>80.</w:t>
      </w:r>
      <w:r>
        <w:tab/>
        <w:t>Certificate of land tax secured by charge</w:t>
      </w:r>
      <w:r>
        <w:tab/>
      </w:r>
      <w:r>
        <w:fldChar w:fldCharType="begin"/>
      </w:r>
      <w:r>
        <w:instrText xml:space="preserve"> PAGEREF _Toc390071191 \h </w:instrText>
      </w:r>
      <w:r>
        <w:fldChar w:fldCharType="separate"/>
      </w:r>
      <w:r>
        <w:t>47</w:t>
      </w:r>
      <w:r>
        <w:fldChar w:fldCharType="end"/>
      </w:r>
    </w:p>
    <w:p>
      <w:pPr>
        <w:pStyle w:val="TOC8"/>
        <w:rPr>
          <w:rFonts w:asciiTheme="minorHAnsi" w:eastAsiaTheme="minorEastAsia" w:hAnsiTheme="minorHAnsi" w:cstheme="minorBidi"/>
          <w:szCs w:val="22"/>
        </w:rPr>
      </w:pPr>
      <w:r>
        <w:t>81.</w:t>
      </w:r>
      <w:r>
        <w:tab/>
        <w:t>Withdrawal of memorial to be given when tax paid</w:t>
      </w:r>
      <w:r>
        <w:tab/>
      </w:r>
      <w:r>
        <w:fldChar w:fldCharType="begin"/>
      </w:r>
      <w:r>
        <w:instrText xml:space="preserve"> PAGEREF _Toc390071192 \h </w:instrText>
      </w:r>
      <w:r>
        <w:fldChar w:fldCharType="separate"/>
      </w:r>
      <w:r>
        <w:t>48</w:t>
      </w:r>
      <w:r>
        <w:fldChar w:fldCharType="end"/>
      </w:r>
    </w:p>
    <w:p>
      <w:pPr>
        <w:pStyle w:val="TOC8"/>
        <w:rPr>
          <w:rFonts w:asciiTheme="minorHAnsi" w:eastAsiaTheme="minorEastAsia" w:hAnsiTheme="minorHAnsi" w:cstheme="minorBidi"/>
          <w:szCs w:val="22"/>
        </w:rPr>
      </w:pPr>
      <w:r>
        <w:t>82.</w:t>
      </w:r>
      <w:r>
        <w:tab/>
        <w:t>Memorials affecting TLA land or real property</w:t>
      </w:r>
      <w:r>
        <w:tab/>
      </w:r>
      <w:r>
        <w:fldChar w:fldCharType="begin"/>
      </w:r>
      <w:r>
        <w:instrText xml:space="preserve"> PAGEREF _Toc390071193 \h </w:instrText>
      </w:r>
      <w:r>
        <w:fldChar w:fldCharType="separate"/>
      </w:r>
      <w:r>
        <w:t>49</w:t>
      </w:r>
      <w:r>
        <w:fldChar w:fldCharType="end"/>
      </w:r>
    </w:p>
    <w:p>
      <w:pPr>
        <w:pStyle w:val="TOC8"/>
        <w:rPr>
          <w:rFonts w:asciiTheme="minorHAnsi" w:eastAsiaTheme="minorEastAsia" w:hAnsiTheme="minorHAnsi" w:cstheme="minorBidi"/>
          <w:szCs w:val="22"/>
        </w:rPr>
      </w:pPr>
      <w:r>
        <w:t>83.</w:t>
      </w:r>
      <w:r>
        <w:tab/>
        <w:t>Memorials affecting mining tenements</w:t>
      </w:r>
      <w:r>
        <w:tab/>
      </w:r>
      <w:r>
        <w:fldChar w:fldCharType="begin"/>
      </w:r>
      <w:r>
        <w:instrText xml:space="preserve"> PAGEREF _Toc390071194 \h </w:instrText>
      </w:r>
      <w:r>
        <w:fldChar w:fldCharType="separate"/>
      </w:r>
      <w:r>
        <w:t>50</w:t>
      </w:r>
      <w:r>
        <w:fldChar w:fldCharType="end"/>
      </w:r>
    </w:p>
    <w:p>
      <w:pPr>
        <w:pStyle w:val="TOC8"/>
        <w:rPr>
          <w:rFonts w:asciiTheme="minorHAnsi" w:eastAsiaTheme="minorEastAsia" w:hAnsiTheme="minorHAnsi" w:cstheme="minorBidi"/>
          <w:szCs w:val="22"/>
        </w:rPr>
      </w:pPr>
      <w:r>
        <w:t>84.</w:t>
      </w:r>
      <w:r>
        <w:tab/>
        <w:t>Notification of mortgagees</w:t>
      </w:r>
      <w:r>
        <w:tab/>
      </w:r>
      <w:r>
        <w:fldChar w:fldCharType="begin"/>
      </w:r>
      <w:r>
        <w:instrText xml:space="preserve"> PAGEREF _Toc390071195 \h </w:instrText>
      </w:r>
      <w:r>
        <w:fldChar w:fldCharType="separate"/>
      </w:r>
      <w:r>
        <w:t>50</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_Toc390071196 \h </w:instrText>
      </w:r>
      <w:r>
        <w:fldChar w:fldCharType="separate"/>
      </w:r>
      <w:r>
        <w:t>51</w:t>
      </w:r>
      <w:r>
        <w:fldChar w:fldCharType="end"/>
      </w:r>
    </w:p>
    <w:p>
      <w:pPr>
        <w:pStyle w:val="TOC8"/>
        <w:rPr>
          <w:rFonts w:asciiTheme="minorHAnsi" w:eastAsiaTheme="minorEastAsia" w:hAnsiTheme="minorHAnsi" w:cstheme="minorBidi"/>
          <w:szCs w:val="22"/>
        </w:rPr>
      </w:pPr>
      <w:r>
        <w:t>86.</w:t>
      </w:r>
      <w:r>
        <w:tab/>
        <w:t>Means of enforcement not limited to charge</w:t>
      </w:r>
      <w:r>
        <w:tab/>
      </w:r>
      <w:r>
        <w:fldChar w:fldCharType="begin"/>
      </w:r>
      <w:r>
        <w:instrText xml:space="preserve"> PAGEREF _Toc390071197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are to be kept</w:t>
      </w:r>
      <w:r>
        <w:tab/>
      </w:r>
      <w:r>
        <w:fldChar w:fldCharType="begin"/>
      </w:r>
      <w:r>
        <w:instrText xml:space="preserve"> PAGEREF _Toc390071199 \h </w:instrText>
      </w:r>
      <w:r>
        <w:fldChar w:fldCharType="separate"/>
      </w:r>
      <w:r>
        <w:t>54</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_Toc390071200 \h </w:instrText>
      </w:r>
      <w:r>
        <w:fldChar w:fldCharType="separate"/>
      </w:r>
      <w:r>
        <w:t>54</w:t>
      </w:r>
      <w:r>
        <w:fldChar w:fldCharType="end"/>
      </w:r>
    </w:p>
    <w:p>
      <w:pPr>
        <w:pStyle w:val="TOC8"/>
        <w:rPr>
          <w:rFonts w:asciiTheme="minorHAnsi" w:eastAsiaTheme="minorEastAsia" w:hAnsiTheme="minorHAnsi" w:cstheme="minorBidi"/>
          <w:szCs w:val="22"/>
        </w:rPr>
      </w:pPr>
      <w:r>
        <w:t>89.</w:t>
      </w:r>
      <w:r>
        <w:tab/>
        <w:t>Where tax records are to be kept</w:t>
      </w:r>
      <w:r>
        <w:tab/>
      </w:r>
      <w:r>
        <w:fldChar w:fldCharType="begin"/>
      </w:r>
      <w:r>
        <w:instrText xml:space="preserve"> PAGEREF _Toc390071201 \h </w:instrText>
      </w:r>
      <w:r>
        <w:fldChar w:fldCharType="separate"/>
      </w:r>
      <w:r>
        <w:t>55</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_Toc390071202 \h </w:instrText>
      </w:r>
      <w:r>
        <w:fldChar w:fldCharType="separate"/>
      </w:r>
      <w:r>
        <w:t>55</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_Toc390071203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rPr>
      </w:pPr>
      <w:r>
        <w:t>Part 8 — Investigations</w:t>
      </w:r>
    </w:p>
    <w:p>
      <w:pPr>
        <w:pStyle w:val="TOC4"/>
        <w:tabs>
          <w:tab w:val="right" w:leader="dot" w:pos="7086"/>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w:t>
      </w:r>
      <w:r>
        <w:tab/>
      </w:r>
      <w:r>
        <w:fldChar w:fldCharType="begin"/>
      </w:r>
      <w:r>
        <w:instrText xml:space="preserve"> PAGEREF _Toc390071206 \h </w:instrText>
      </w:r>
      <w:r>
        <w:fldChar w:fldCharType="separate"/>
      </w:r>
      <w:r>
        <w:t>57</w:t>
      </w:r>
      <w:r>
        <w:fldChar w:fldCharType="end"/>
      </w:r>
    </w:p>
    <w:p>
      <w:pPr>
        <w:pStyle w:val="TOC8"/>
        <w:rPr>
          <w:rFonts w:asciiTheme="minorHAnsi" w:eastAsiaTheme="minorEastAsia" w:hAnsiTheme="minorHAnsi" w:cstheme="minorBidi"/>
          <w:szCs w:val="22"/>
        </w:rPr>
      </w:pPr>
      <w:r>
        <w:t>93.</w:t>
      </w:r>
      <w:r>
        <w:tab/>
        <w:t>Investigations for the purposes of recognised revenue laws</w:t>
      </w:r>
      <w:r>
        <w:tab/>
      </w:r>
      <w:r>
        <w:fldChar w:fldCharType="begin"/>
      </w:r>
      <w:r>
        <w:instrText xml:space="preserve"> PAGEREF _Toc390071207 \h </w:instrText>
      </w:r>
      <w:r>
        <w:fldChar w:fldCharType="separate"/>
      </w:r>
      <w:r>
        <w:t>57</w:t>
      </w:r>
      <w:r>
        <w:fldChar w:fldCharType="end"/>
      </w:r>
    </w:p>
    <w:p>
      <w:pPr>
        <w:pStyle w:val="TOC4"/>
        <w:tabs>
          <w:tab w:val="right" w:leader="dot" w:pos="7086"/>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Requirements to provide information and tax records</w:t>
      </w:r>
      <w:r>
        <w:tab/>
      </w:r>
      <w:r>
        <w:fldChar w:fldCharType="begin"/>
      </w:r>
      <w:r>
        <w:instrText xml:space="preserve"> PAGEREF _Toc390071209 \h </w:instrText>
      </w:r>
      <w:r>
        <w:fldChar w:fldCharType="separate"/>
      </w:r>
      <w:r>
        <w:t>58</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_Toc390071210 \h </w:instrText>
      </w:r>
      <w:r>
        <w:fldChar w:fldCharType="separate"/>
      </w:r>
      <w:r>
        <w:t>59</w:t>
      </w:r>
      <w:r>
        <w:fldChar w:fldCharType="end"/>
      </w:r>
    </w:p>
    <w:p>
      <w:pPr>
        <w:pStyle w:val="TOC8"/>
        <w:rPr>
          <w:rFonts w:asciiTheme="minorHAnsi" w:eastAsiaTheme="minorEastAsia" w:hAnsiTheme="minorHAnsi" w:cstheme="minorBidi"/>
          <w:szCs w:val="22"/>
        </w:rPr>
      </w:pPr>
      <w:r>
        <w:t>96.</w:t>
      </w:r>
      <w:r>
        <w:tab/>
        <w:t>Power to retain documents</w:t>
      </w:r>
      <w:r>
        <w:tab/>
      </w:r>
      <w:r>
        <w:fldChar w:fldCharType="begin"/>
      </w:r>
      <w:r>
        <w:instrText xml:space="preserve"> PAGEREF _Toc390071211 \h </w:instrText>
      </w:r>
      <w:r>
        <w:fldChar w:fldCharType="separate"/>
      </w:r>
      <w:r>
        <w:t>60</w:t>
      </w:r>
      <w:r>
        <w:fldChar w:fldCharType="end"/>
      </w:r>
    </w:p>
    <w:p>
      <w:pPr>
        <w:pStyle w:val="TOC8"/>
        <w:rPr>
          <w:rFonts w:asciiTheme="minorHAnsi" w:eastAsiaTheme="minorEastAsia" w:hAnsiTheme="minorHAnsi" w:cstheme="minorBidi"/>
          <w:szCs w:val="22"/>
        </w:rPr>
      </w:pPr>
      <w:r>
        <w:t>97.</w:t>
      </w:r>
      <w:r>
        <w:tab/>
        <w:t>Recording examination proceedings</w:t>
      </w:r>
      <w:r>
        <w:tab/>
      </w:r>
      <w:r>
        <w:fldChar w:fldCharType="begin"/>
      </w:r>
      <w:r>
        <w:instrText xml:space="preserve"> PAGEREF _Toc390071212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Entry of premises</w:t>
      </w:r>
      <w:r>
        <w:tab/>
      </w:r>
      <w:r>
        <w:fldChar w:fldCharType="begin"/>
      </w:r>
      <w:r>
        <w:instrText xml:space="preserve"> PAGEREF _Toc390071214 \h </w:instrText>
      </w:r>
      <w:r>
        <w:fldChar w:fldCharType="separate"/>
      </w:r>
      <w:r>
        <w:t>61</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_Toc390071215 \h </w:instrText>
      </w:r>
      <w:r>
        <w:fldChar w:fldCharType="separate"/>
      </w:r>
      <w:r>
        <w:t>62</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_Toc390071216 \h </w:instrText>
      </w:r>
      <w:r>
        <w:fldChar w:fldCharType="separate"/>
      </w:r>
      <w:r>
        <w:t>65</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_Toc390071217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information requirements</w:t>
      </w:r>
      <w:r>
        <w:tab/>
      </w:r>
      <w:r>
        <w:fldChar w:fldCharType="begin"/>
      </w:r>
      <w:r>
        <w:instrText xml:space="preserve"> PAGEREF _Toc390071219 \h </w:instrText>
      </w:r>
      <w:r>
        <w:fldChar w:fldCharType="separate"/>
      </w:r>
      <w:r>
        <w:t>66</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_Toc390071220 \h </w:instrText>
      </w:r>
      <w:r>
        <w:fldChar w:fldCharType="separate"/>
      </w:r>
      <w:r>
        <w:t>66</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_Toc390071221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_Toc390071223 \h </w:instrText>
      </w:r>
      <w:r>
        <w:fldChar w:fldCharType="separate"/>
      </w:r>
      <w:r>
        <w:t>70</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_Toc390071224 \h </w:instrText>
      </w:r>
      <w:r>
        <w:fldChar w:fldCharType="separate"/>
      </w:r>
      <w:r>
        <w:t>70</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_Toc390071225 \h </w:instrText>
      </w:r>
      <w:r>
        <w:fldChar w:fldCharType="separate"/>
      </w:r>
      <w:r>
        <w:t>70</w:t>
      </w:r>
      <w:r>
        <w:fldChar w:fldCharType="end"/>
      </w:r>
    </w:p>
    <w:p>
      <w:pPr>
        <w:pStyle w:val="TOC8"/>
        <w:rPr>
          <w:rFonts w:asciiTheme="minorHAnsi" w:eastAsiaTheme="minorEastAsia" w:hAnsiTheme="minorHAnsi" w:cstheme="minorBidi"/>
          <w:szCs w:val="22"/>
        </w:rPr>
      </w:pPr>
      <w:r>
        <w:t>108.</w:t>
      </w:r>
      <w:r>
        <w:tab/>
        <w:t>Obstructing or misleading an investigator</w:t>
      </w:r>
      <w:r>
        <w:tab/>
      </w:r>
      <w:r>
        <w:fldChar w:fldCharType="begin"/>
      </w:r>
      <w:r>
        <w:instrText xml:space="preserve"> PAGEREF _Toc390071226 \h </w:instrText>
      </w:r>
      <w:r>
        <w:fldChar w:fldCharType="separate"/>
      </w:r>
      <w:r>
        <w:t>71</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_Toc390071227 \h </w:instrText>
      </w:r>
      <w:r>
        <w:fldChar w:fldCharType="separate"/>
      </w:r>
      <w:r>
        <w:t>71</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_Toc390071228 \h </w:instrText>
      </w:r>
      <w:r>
        <w:fldChar w:fldCharType="separate"/>
      </w:r>
      <w:r>
        <w:t>72</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_Toc390071229 \h </w:instrText>
      </w:r>
      <w:r>
        <w:fldChar w:fldCharType="separate"/>
      </w:r>
      <w:r>
        <w:t>72</w:t>
      </w:r>
      <w:r>
        <w:fldChar w:fldCharType="end"/>
      </w:r>
    </w:p>
    <w:p>
      <w:pPr>
        <w:pStyle w:val="TOC8"/>
        <w:rPr>
          <w:rFonts w:asciiTheme="minorHAnsi" w:eastAsiaTheme="minorEastAsia" w:hAnsiTheme="minorHAnsi" w:cstheme="minorBidi"/>
          <w:szCs w:val="22"/>
        </w:rPr>
      </w:pPr>
      <w:r>
        <w:t>112.</w:t>
      </w:r>
      <w:r>
        <w:tab/>
        <w:t>Authority required for prosecution</w:t>
      </w:r>
      <w:r>
        <w:tab/>
      </w:r>
      <w:r>
        <w:fldChar w:fldCharType="begin"/>
      </w:r>
      <w:r>
        <w:instrText xml:space="preserve"> PAGEREF _Toc390071230 \h </w:instrText>
      </w:r>
      <w:r>
        <w:fldChar w:fldCharType="separate"/>
      </w:r>
      <w:r>
        <w:t>72</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_Toc390071231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rPr>
      </w:pPr>
      <w:r>
        <w:t>Part 10 — Miscellaneous</w:t>
      </w:r>
    </w:p>
    <w:p>
      <w:pPr>
        <w:pStyle w:val="TOC4"/>
        <w:tabs>
          <w:tab w:val="right" w:leader="dot" w:pos="7086"/>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tab/>
        <w:t>Confidentiality</w:t>
      </w:r>
      <w:r>
        <w:tab/>
      </w:r>
      <w:r>
        <w:fldChar w:fldCharType="begin"/>
      </w:r>
      <w:r>
        <w:instrText xml:space="preserve"> PAGEREF _Toc390071234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the Commissioner</w:t>
      </w:r>
      <w:r>
        <w:tab/>
      </w:r>
      <w:r>
        <w:fldChar w:fldCharType="begin"/>
      </w:r>
      <w:r>
        <w:instrText xml:space="preserve"> PAGEREF _Toc390071236 \h </w:instrText>
      </w:r>
      <w:r>
        <w:fldChar w:fldCharType="separate"/>
      </w:r>
      <w:r>
        <w:t>76</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_Toc390071237 \h </w:instrText>
      </w:r>
      <w:r>
        <w:fldChar w:fldCharType="separate"/>
      </w:r>
      <w:r>
        <w:t>77</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_Toc390071238 \h </w:instrText>
      </w:r>
      <w:r>
        <w:fldChar w:fldCharType="separate"/>
      </w:r>
      <w:r>
        <w:t>77</w:t>
      </w:r>
      <w:r>
        <w:fldChar w:fldCharType="end"/>
      </w:r>
    </w:p>
    <w:p>
      <w:pPr>
        <w:pStyle w:val="TOC8"/>
        <w:rPr>
          <w:rFonts w:asciiTheme="minorHAnsi" w:eastAsiaTheme="minorEastAsia" w:hAnsiTheme="minorHAnsi" w:cstheme="minorBidi"/>
          <w:szCs w:val="22"/>
        </w:rPr>
      </w:pPr>
      <w:r>
        <w:t>118.</w:t>
      </w:r>
      <w:r>
        <w:tab/>
        <w:t>Non</w:t>
      </w:r>
      <w:r>
        <w:noBreakHyphen/>
        <w:t>exclusivity of this Division</w:t>
      </w:r>
      <w:r>
        <w:tab/>
      </w:r>
      <w:r>
        <w:fldChar w:fldCharType="begin"/>
      </w:r>
      <w:r>
        <w:instrText xml:space="preserve"> PAGEREF _Toc390071239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_Toc390071241 \h </w:instrText>
      </w:r>
      <w:r>
        <w:fldChar w:fldCharType="separate"/>
      </w:r>
      <w:r>
        <w:t>78</w:t>
      </w:r>
      <w:r>
        <w:fldChar w:fldCharType="end"/>
      </w:r>
    </w:p>
    <w:p>
      <w:pPr>
        <w:pStyle w:val="TOC8"/>
        <w:rPr>
          <w:rFonts w:asciiTheme="minorHAnsi" w:eastAsiaTheme="minorEastAsia" w:hAnsiTheme="minorHAnsi" w:cstheme="minorBidi"/>
          <w:szCs w:val="22"/>
        </w:rPr>
      </w:pPr>
      <w:r>
        <w:t>120.</w:t>
      </w:r>
      <w:r>
        <w:tab/>
        <w:t>Evidentiary status of copies and reproductions of documents</w:t>
      </w:r>
      <w:r>
        <w:tab/>
      </w:r>
      <w:r>
        <w:fldChar w:fldCharType="begin"/>
      </w:r>
      <w:r>
        <w:instrText xml:space="preserve"> PAGEREF _Toc390071242 \h </w:instrText>
      </w:r>
      <w:r>
        <w:fldChar w:fldCharType="separate"/>
      </w:r>
      <w:r>
        <w:t>79</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_Toc390071243 \h </w:instrText>
      </w:r>
      <w:r>
        <w:fldChar w:fldCharType="separate"/>
      </w:r>
      <w:r>
        <w:t>79</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_Toc390071244 \h </w:instrText>
      </w:r>
      <w:r>
        <w:fldChar w:fldCharType="separate"/>
      </w:r>
      <w:r>
        <w:t>80</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_Toc390071245 \h </w:instrText>
      </w:r>
      <w:r>
        <w:fldChar w:fldCharType="separate"/>
      </w:r>
      <w:r>
        <w:t>80</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_Toc390071246 \h </w:instrText>
      </w:r>
      <w:r>
        <w:fldChar w:fldCharType="separate"/>
      </w:r>
      <w:r>
        <w:t>80</w:t>
      </w:r>
      <w:r>
        <w:fldChar w:fldCharType="end"/>
      </w:r>
    </w:p>
    <w:p>
      <w:pPr>
        <w:pStyle w:val="TOC4"/>
        <w:tabs>
          <w:tab w:val="right" w:leader="dot" w:pos="7086"/>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tab/>
        <w:t>Exemption from personal liability</w:t>
      </w:r>
      <w:r>
        <w:tab/>
      </w:r>
      <w:r>
        <w:fldChar w:fldCharType="begin"/>
      </w:r>
      <w:r>
        <w:instrText xml:space="preserve"> PAGEREF _Toc390071248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5 — Regulations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_Toc390071250 \h </w:instrText>
      </w:r>
      <w:r>
        <w:fldChar w:fldCharType="separate"/>
      </w:r>
      <w:r>
        <w:t>81</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_Toc390071251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6 — Early operation of certain amendments to taxation Acts</w:t>
      </w:r>
    </w:p>
    <w:p>
      <w:pPr>
        <w:pStyle w:val="TOC8"/>
        <w:rPr>
          <w:rFonts w:asciiTheme="minorHAnsi" w:eastAsiaTheme="minorEastAsia" w:hAnsiTheme="minorHAnsi" w:cstheme="minorBidi"/>
          <w:szCs w:val="22"/>
        </w:rPr>
      </w:pPr>
      <w:r>
        <w:t>129.</w:t>
      </w:r>
      <w:r>
        <w:tab/>
        <w:t>Meaning of terms in this Division</w:t>
      </w:r>
      <w:r>
        <w:tab/>
      </w:r>
      <w:r>
        <w:fldChar w:fldCharType="begin"/>
      </w:r>
      <w:r>
        <w:instrText xml:space="preserve"> PAGEREF _Toc390071253 \h </w:instrText>
      </w:r>
      <w:r>
        <w:fldChar w:fldCharType="separate"/>
      </w:r>
      <w:r>
        <w:t>82</w:t>
      </w:r>
      <w:r>
        <w:fldChar w:fldCharType="end"/>
      </w:r>
    </w:p>
    <w:p>
      <w:pPr>
        <w:pStyle w:val="TOC8"/>
        <w:rPr>
          <w:rFonts w:asciiTheme="minorHAnsi" w:eastAsiaTheme="minorEastAsia" w:hAnsiTheme="minorHAnsi" w:cstheme="minorBidi"/>
          <w:szCs w:val="22"/>
        </w:rPr>
      </w:pPr>
      <w:r>
        <w:t>130.</w:t>
      </w:r>
      <w:r>
        <w:tab/>
        <w:t>Determination of pre</w:t>
      </w:r>
      <w:r>
        <w:noBreakHyphen/>
        <w:t>enactment provisions</w:t>
      </w:r>
      <w:r>
        <w:tab/>
      </w:r>
      <w:r>
        <w:fldChar w:fldCharType="begin"/>
      </w:r>
      <w:r>
        <w:instrText xml:space="preserve"> PAGEREF _Toc390071254 \h </w:instrText>
      </w:r>
      <w:r>
        <w:fldChar w:fldCharType="separate"/>
      </w:r>
      <w:r>
        <w:t>82</w:t>
      </w:r>
      <w:r>
        <w:fldChar w:fldCharType="end"/>
      </w:r>
    </w:p>
    <w:p>
      <w:pPr>
        <w:pStyle w:val="TOC8"/>
        <w:rPr>
          <w:rFonts w:asciiTheme="minorHAnsi" w:eastAsiaTheme="minorEastAsia" w:hAnsiTheme="minorHAnsi" w:cstheme="minorBidi"/>
          <w:szCs w:val="22"/>
        </w:rPr>
      </w:pPr>
      <w:r>
        <w:t>131.</w:t>
      </w:r>
      <w:r>
        <w:tab/>
        <w:t>Duration of determination notice</w:t>
      </w:r>
      <w:r>
        <w:tab/>
      </w:r>
      <w:r>
        <w:fldChar w:fldCharType="begin"/>
      </w:r>
      <w:r>
        <w:instrText xml:space="preserve"> PAGEREF _Toc390071255 \h </w:instrText>
      </w:r>
      <w:r>
        <w:fldChar w:fldCharType="separate"/>
      </w:r>
      <w:r>
        <w:t>83</w:t>
      </w:r>
      <w:r>
        <w:fldChar w:fldCharType="end"/>
      </w:r>
    </w:p>
    <w:p>
      <w:pPr>
        <w:pStyle w:val="TOC8"/>
        <w:rPr>
          <w:rFonts w:asciiTheme="minorHAnsi" w:eastAsiaTheme="minorEastAsia" w:hAnsiTheme="minorHAnsi" w:cstheme="minorBidi"/>
          <w:szCs w:val="22"/>
        </w:rPr>
      </w:pPr>
      <w:r>
        <w:t>132.</w:t>
      </w:r>
      <w:r>
        <w:tab/>
        <w:t>Amendment and replacement of determination notice</w:t>
      </w:r>
      <w:r>
        <w:tab/>
      </w:r>
      <w:r>
        <w:fldChar w:fldCharType="begin"/>
      </w:r>
      <w:r>
        <w:instrText xml:space="preserve"> PAGEREF _Toc390071256 \h </w:instrText>
      </w:r>
      <w:r>
        <w:fldChar w:fldCharType="separate"/>
      </w:r>
      <w:r>
        <w:t>84</w:t>
      </w:r>
      <w:r>
        <w:fldChar w:fldCharType="end"/>
      </w:r>
    </w:p>
    <w:p>
      <w:pPr>
        <w:pStyle w:val="TOC8"/>
        <w:rPr>
          <w:rFonts w:asciiTheme="minorHAnsi" w:eastAsiaTheme="minorEastAsia" w:hAnsiTheme="minorHAnsi" w:cstheme="minorBidi"/>
          <w:szCs w:val="22"/>
        </w:rPr>
      </w:pPr>
      <w:r>
        <w:t>133.</w:t>
      </w:r>
      <w:r>
        <w:tab/>
        <w:t>Effect of pre</w:t>
      </w:r>
      <w:r>
        <w:noBreakHyphen/>
        <w:t>enactment provisions</w:t>
      </w:r>
      <w:r>
        <w:tab/>
      </w:r>
      <w:r>
        <w:fldChar w:fldCharType="begin"/>
      </w:r>
      <w:r>
        <w:instrText xml:space="preserve"> PAGEREF _Toc390071257 \h </w:instrText>
      </w:r>
      <w:r>
        <w:fldChar w:fldCharType="separate"/>
      </w:r>
      <w:r>
        <w:t>85</w:t>
      </w:r>
      <w:r>
        <w:fldChar w:fldCharType="end"/>
      </w:r>
    </w:p>
    <w:p>
      <w:pPr>
        <w:pStyle w:val="TOC8"/>
        <w:rPr>
          <w:rFonts w:asciiTheme="minorHAnsi" w:eastAsiaTheme="minorEastAsia" w:hAnsiTheme="minorHAnsi" w:cstheme="minorBidi"/>
          <w:szCs w:val="22"/>
        </w:rPr>
      </w:pPr>
      <w:r>
        <w:t>134.</w:t>
      </w:r>
      <w:r>
        <w:tab/>
        <w:t>Review of Division</w:t>
      </w:r>
      <w:r>
        <w:tab/>
      </w:r>
      <w:r>
        <w:fldChar w:fldCharType="begin"/>
      </w:r>
      <w:r>
        <w:instrText xml:space="preserve"> PAGEREF _Toc390071258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_Toc390071261 \h </w:instrText>
      </w:r>
      <w:r>
        <w:fldChar w:fldCharType="separate"/>
      </w:r>
      <w:r>
        <w:t>91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_Toc390071262 \h </w:instrText>
      </w:r>
      <w:r>
        <w:fldChar w:fldCharType="separate"/>
      </w:r>
      <w:r>
        <w:t>92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1" w:name="_Toc390071093"/>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90071094"/>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3" w:name="_Toc390071095"/>
      <w:r>
        <w:rPr>
          <w:rStyle w:val="CharSectno"/>
        </w:rPr>
        <w:t>2</w:t>
      </w:r>
      <w:r>
        <w:rPr>
          <w:snapToGrid w:val="0"/>
        </w:rPr>
        <w:t>.</w:t>
      </w:r>
      <w:r>
        <w:rPr>
          <w:snapToGrid w:val="0"/>
        </w:rPr>
        <w:tab/>
        <w:t>Commencement</w:t>
      </w:r>
      <w:bookmarkEnd w:id="3"/>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 w:name="_Toc390071096"/>
      <w:r>
        <w:rPr>
          <w:rStyle w:val="CharSectno"/>
        </w:rPr>
        <w:t>3</w:t>
      </w:r>
      <w:r>
        <w:t>.</w:t>
      </w:r>
      <w:r>
        <w:tab/>
        <w:t>The taxation Acts</w:t>
      </w:r>
      <w:bookmarkEnd w:id="4"/>
    </w:p>
    <w:p>
      <w:pPr>
        <w:pStyle w:val="Subsection"/>
      </w:pPr>
      <w:r>
        <w:tab/>
        <w:t>(1)</w:t>
      </w:r>
      <w:r>
        <w:tab/>
        <w:t>The following enactments are taxation Acts for the purposes of this Act — </w:t>
      </w:r>
    </w:p>
    <w:p>
      <w:pPr>
        <w:pStyle w:val="Indenta"/>
      </w:pPr>
      <w:r>
        <w:tab/>
        <w:t>(a)</w:t>
      </w:r>
      <w:r>
        <w:tab/>
        <w:t>this Act;</w:t>
      </w:r>
    </w:p>
    <w:p>
      <w:pPr>
        <w:pStyle w:val="Indenta"/>
      </w:pPr>
      <w:r>
        <w:tab/>
        <w:t>(b)</w:t>
      </w:r>
      <w:r>
        <w:tab/>
        <w:t xml:space="preserve">the </w:t>
      </w:r>
      <w:r>
        <w:rPr>
          <w:i/>
        </w:rPr>
        <w:t>Debits Tax Act 2002</w:t>
      </w:r>
      <w:r>
        <w:t>;</w:t>
      </w:r>
    </w:p>
    <w:p>
      <w:pPr>
        <w:pStyle w:val="Indenta"/>
      </w:pPr>
      <w:r>
        <w:tab/>
        <w:t>(c)</w:t>
      </w:r>
      <w:r>
        <w:tab/>
        <w:t xml:space="preserve">the </w:t>
      </w:r>
      <w:r>
        <w:rPr>
          <w:i/>
        </w:rPr>
        <w:t>Debits Tax Assessment Act 2002</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r>
        <w:rPr>
          <w:i/>
        </w:rPr>
        <w:t>Metropolitan Region Town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w:t>
      </w:r>
    </w:p>
    <w:p>
      <w:pPr>
        <w:pStyle w:val="Heading5"/>
      </w:pPr>
      <w:bookmarkStart w:id="5" w:name="_Toc390071097"/>
      <w:r>
        <w:rPr>
          <w:rStyle w:val="CharSectno"/>
        </w:rPr>
        <w:t>4</w:t>
      </w:r>
      <w:r>
        <w:rPr>
          <w:b w:val="0"/>
        </w:rPr>
        <w:t>.</w:t>
      </w:r>
      <w:r>
        <w:rPr>
          <w:snapToGrid w:val="0"/>
        </w:rPr>
        <w:tab/>
      </w:r>
      <w:r>
        <w:t>Meaning of terms used in this Act</w:t>
      </w:r>
      <w:bookmarkEnd w:id="5"/>
    </w:p>
    <w:p>
      <w:pPr>
        <w:pStyle w:val="Subsection"/>
      </w:pPr>
      <w:r>
        <w:tab/>
      </w:r>
      <w:r>
        <w:tab/>
        <w:t>The Glossary at the end of this Act defines or affects the meaning of some of the words and expressions used in this Act.</w:t>
      </w:r>
    </w:p>
    <w:p>
      <w:pPr>
        <w:pStyle w:val="Heading5"/>
      </w:pPr>
      <w:bookmarkStart w:id="6" w:name="_Toc390071098"/>
      <w:r>
        <w:rPr>
          <w:rStyle w:val="CharSectno"/>
        </w:rPr>
        <w:t>5</w:t>
      </w:r>
      <w:r>
        <w:t>.</w:t>
      </w:r>
      <w:r>
        <w:tab/>
        <w:t>Crown bound</w:t>
      </w:r>
      <w:bookmarkEnd w:id="6"/>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Heading2"/>
      </w:pPr>
      <w:bookmarkStart w:id="7" w:name="_Toc390071099"/>
      <w:r>
        <w:rPr>
          <w:rStyle w:val="CharPartNo"/>
        </w:rPr>
        <w:t>Part 2</w:t>
      </w:r>
      <w:r>
        <w:rPr>
          <w:rStyle w:val="CharDivNo"/>
        </w:rPr>
        <w:t xml:space="preserve"> </w:t>
      </w:r>
      <w:r>
        <w:t>—</w:t>
      </w:r>
      <w:r>
        <w:rPr>
          <w:rStyle w:val="CharDivText"/>
        </w:rPr>
        <w:t xml:space="preserve"> </w:t>
      </w:r>
      <w:r>
        <w:rPr>
          <w:rStyle w:val="CharPartText"/>
        </w:rPr>
        <w:t>Tax administration generally</w:t>
      </w:r>
      <w:bookmarkEnd w:id="7"/>
    </w:p>
    <w:p>
      <w:pPr>
        <w:pStyle w:val="Heading5"/>
      </w:pPr>
      <w:bookmarkStart w:id="8" w:name="_Toc390071100"/>
      <w:r>
        <w:rPr>
          <w:rStyle w:val="CharSectno"/>
        </w:rPr>
        <w:t>6</w:t>
      </w:r>
      <w:r>
        <w:t>.</w:t>
      </w:r>
      <w:r>
        <w:tab/>
        <w:t>Commissioner of State Revenue</w:t>
      </w:r>
      <w:bookmarkEnd w:id="8"/>
    </w:p>
    <w:p>
      <w:pPr>
        <w:pStyle w:val="Subsection"/>
      </w:pPr>
      <w:r>
        <w:tab/>
      </w:r>
      <w:r>
        <w:tab/>
        <w:t xml:space="preserve">A Commissioner of State Revenue is to be appointed under Part 3 of the </w:t>
      </w:r>
      <w:r>
        <w:rPr>
          <w:i/>
        </w:rPr>
        <w:t>Public Sector Management Act 1994</w:t>
      </w:r>
      <w:r>
        <w:t>.</w:t>
      </w:r>
    </w:p>
    <w:p>
      <w:pPr>
        <w:pStyle w:val="Heading5"/>
      </w:pPr>
      <w:bookmarkStart w:id="9" w:name="_Toc390071101"/>
      <w:r>
        <w:rPr>
          <w:rStyle w:val="CharSectno"/>
        </w:rPr>
        <w:t>7</w:t>
      </w:r>
      <w:r>
        <w:t>.</w:t>
      </w:r>
      <w:r>
        <w:tab/>
        <w:t>Administration of taxation Acts</w:t>
      </w:r>
      <w:bookmarkEnd w:id="9"/>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t>“</w:t>
      </w:r>
      <w:r>
        <w:rPr>
          <w:rStyle w:val="CharDefText"/>
        </w:rPr>
        <w:t>taxation matter</w:t>
      </w:r>
      <w:r>
        <w:rPr>
          <w:b/>
        </w:rPr>
        <w:t>”</w:t>
      </w:r>
      <w:r>
        <w:t xml:space="preserve"> means any matter or thing arising under or in relation to a taxation Act. </w:t>
      </w:r>
    </w:p>
    <w:p>
      <w:pPr>
        <w:pStyle w:val="Footnotesection"/>
      </w:pPr>
      <w:r>
        <w:tab/>
        <w:t>[Section 7 inserted by No. 31 of 2008 s. 23.]</w:t>
      </w:r>
    </w:p>
    <w:p>
      <w:pPr>
        <w:pStyle w:val="Heading5"/>
      </w:pPr>
      <w:bookmarkStart w:id="10" w:name="_Toc390071102"/>
      <w:r>
        <w:rPr>
          <w:rStyle w:val="CharSectno"/>
        </w:rPr>
        <w:t>8</w:t>
      </w:r>
      <w:r>
        <w:t>.</w:t>
      </w:r>
      <w:r>
        <w:tab/>
        <w:t>Commissioner’s functions</w:t>
      </w:r>
      <w:bookmarkEnd w:id="10"/>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1" w:name="_Toc390071103"/>
      <w:r>
        <w:rPr>
          <w:rStyle w:val="CharSectno"/>
        </w:rPr>
        <w:t>9</w:t>
      </w:r>
      <w:r>
        <w:t>.</w:t>
      </w:r>
      <w:r>
        <w:tab/>
        <w:t>Judicial notice of appointment and signature</w:t>
      </w:r>
      <w:bookmarkEnd w:id="11"/>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2" w:name="_Toc390071104"/>
      <w:r>
        <w:rPr>
          <w:rStyle w:val="CharSectno"/>
        </w:rPr>
        <w:t>10</w:t>
      </w:r>
      <w:r>
        <w:t>.</w:t>
      </w:r>
      <w:r>
        <w:tab/>
        <w:t>Delegation</w:t>
      </w:r>
      <w:bookmarkEnd w:id="12"/>
    </w:p>
    <w:p>
      <w:pPr>
        <w:pStyle w:val="Subsection"/>
      </w:pPr>
      <w:r>
        <w:tab/>
        <w:t>(1)</w:t>
      </w:r>
      <w:r>
        <w:tab/>
        <w:t>The Commissioner may delegate any of the Commissioner’s functions under a taxation Act except —</w:t>
      </w:r>
    </w:p>
    <w:p>
      <w:pPr>
        <w:pStyle w:val="Indenta"/>
      </w:pPr>
      <w:r>
        <w:tab/>
        <w:t>(a)</w:t>
      </w:r>
      <w:r>
        <w:tab/>
        <w:t>the power to delegate under this section;</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3" w:name="_Toc390071105"/>
      <w:r>
        <w:rPr>
          <w:rStyle w:val="CharSectno"/>
        </w:rPr>
        <w:t>11</w:t>
      </w:r>
      <w:r>
        <w:t>.</w:t>
      </w:r>
      <w:r>
        <w:tab/>
        <w:t>Tax investigators</w:t>
      </w:r>
      <w:bookmarkEnd w:id="13"/>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4" w:name="_Toc390071106"/>
      <w:r>
        <w:rPr>
          <w:rStyle w:val="CharSectno"/>
        </w:rPr>
        <w:t>12</w:t>
      </w:r>
      <w:r>
        <w:t>.</w:t>
      </w:r>
      <w:r>
        <w:tab/>
        <w:t>Appointed representatives for court proceedings</w:t>
      </w:r>
      <w:bookmarkEnd w:id="14"/>
    </w:p>
    <w:p>
      <w:pPr>
        <w:pStyle w:val="Subsection"/>
      </w:pPr>
      <w:r>
        <w:tab/>
        <w:t>(1)</w:t>
      </w:r>
      <w:r>
        <w:tab/>
        <w:t>The Commissioner may appoint a person to represent the Commissioner — </w:t>
      </w:r>
    </w:p>
    <w:p>
      <w:pPr>
        <w:pStyle w:val="Indenta"/>
      </w:pPr>
      <w:r>
        <w:tab/>
        <w:t>(a)</w:t>
      </w:r>
      <w:r>
        <w:tab/>
        <w:t>in court proceedings for recovery of tax;</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5" w:name="_Toc390071107"/>
      <w:r>
        <w:rPr>
          <w:rStyle w:val="CharPartNo"/>
        </w:rPr>
        <w:t>Part 3</w:t>
      </w:r>
      <w:r>
        <w:t xml:space="preserve"> — </w:t>
      </w:r>
      <w:r>
        <w:rPr>
          <w:rStyle w:val="CharPartText"/>
        </w:rPr>
        <w:t>Assessments of tax</w:t>
      </w:r>
      <w:bookmarkEnd w:id="15"/>
    </w:p>
    <w:p>
      <w:pPr>
        <w:pStyle w:val="Heading3"/>
      </w:pPr>
      <w:bookmarkStart w:id="16" w:name="_Toc390071108"/>
      <w:r>
        <w:rPr>
          <w:rStyle w:val="CharDivNo"/>
        </w:rPr>
        <w:t>Division 1</w:t>
      </w:r>
      <w:r>
        <w:t xml:space="preserve"> — </w:t>
      </w:r>
      <w:r>
        <w:rPr>
          <w:rStyle w:val="CharDivText"/>
        </w:rPr>
        <w:t>Assessments</w:t>
      </w:r>
      <w:bookmarkEnd w:id="16"/>
    </w:p>
    <w:p>
      <w:pPr>
        <w:pStyle w:val="Heading5"/>
      </w:pPr>
      <w:bookmarkStart w:id="17" w:name="_Toc390071109"/>
      <w:r>
        <w:rPr>
          <w:rStyle w:val="CharSectno"/>
        </w:rPr>
        <w:t>13</w:t>
      </w:r>
      <w:r>
        <w:t>.</w:t>
      </w:r>
      <w:r>
        <w:tab/>
        <w:t>Assessments</w:t>
      </w:r>
      <w:bookmarkEnd w:id="17"/>
    </w:p>
    <w:p>
      <w:pPr>
        <w:pStyle w:val="Subsection"/>
      </w:pPr>
      <w:r>
        <w:tab/>
        <w:t>(1)</w:t>
      </w:r>
      <w:r>
        <w:tab/>
        <w:t xml:space="preserve">An assessment is a determination — </w:t>
      </w:r>
    </w:p>
    <w:p>
      <w:pPr>
        <w:pStyle w:val="Indenta"/>
      </w:pPr>
      <w:r>
        <w:tab/>
        <w:t>(a)</w:t>
      </w:r>
      <w:r>
        <w:tab/>
        <w:t>of the amount of tax payable under a taxation Act;</w:t>
      </w:r>
    </w:p>
    <w:p>
      <w:pPr>
        <w:pStyle w:val="Indenta"/>
      </w:pPr>
      <w:r>
        <w:tab/>
        <w:t>(b)</w:t>
      </w:r>
      <w:r>
        <w:tab/>
        <w:t>that no tax is payable;</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18" w:name="_Toc390071110"/>
      <w:r>
        <w:rPr>
          <w:rStyle w:val="CharSectno"/>
        </w:rPr>
        <w:t>14</w:t>
      </w:r>
      <w:r>
        <w:t>.</w:t>
      </w:r>
      <w:r>
        <w:tab/>
        <w:t>Self</w:t>
      </w:r>
      <w:r>
        <w:noBreakHyphen/>
        <w:t>assessments</w:t>
      </w:r>
      <w:bookmarkEnd w:id="18"/>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19" w:name="_Toc390071111"/>
      <w:r>
        <w:rPr>
          <w:rStyle w:val="CharSectno"/>
        </w:rPr>
        <w:t>15</w:t>
      </w:r>
      <w:r>
        <w:t>.</w:t>
      </w:r>
      <w:r>
        <w:tab/>
        <w:t>Official assessments</w:t>
      </w:r>
      <w:bookmarkEnd w:id="19"/>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spacing w:before="240"/>
      </w:pPr>
      <w:bookmarkStart w:id="20" w:name="_Toc390071112"/>
      <w:r>
        <w:rPr>
          <w:rStyle w:val="CharSectno"/>
        </w:rPr>
        <w:t>16</w:t>
      </w:r>
      <w:r>
        <w:t>.</w:t>
      </w:r>
      <w:r>
        <w:tab/>
        <w:t>Reassessments</w:t>
      </w:r>
      <w:bookmarkEnd w:id="20"/>
    </w:p>
    <w:p>
      <w:pPr>
        <w:pStyle w:val="Subsection"/>
        <w:spacing w:before="180"/>
      </w:pPr>
      <w:r>
        <w:tab/>
        <w:t>(1)</w:t>
      </w:r>
      <w:r>
        <w:tab/>
        <w:t>The Commissioner must make a reassessment —</w:t>
      </w:r>
    </w:p>
    <w:p>
      <w:pPr>
        <w:pStyle w:val="Indenta"/>
      </w:pPr>
      <w:r>
        <w:tab/>
        <w:t>(a)</w:t>
      </w:r>
      <w:r>
        <w:tab/>
        <w:t>if specifically required to do so under a taxation Act;</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spacing w:before="60"/>
        <w:ind w:left="890" w:hanging="890"/>
      </w:pPr>
      <w:r>
        <w:tab/>
        <w:t>[Section 16 amended by No. 55 of 2004 s. 1165.]</w:t>
      </w:r>
    </w:p>
    <w:p>
      <w:pPr>
        <w:pStyle w:val="Heading5"/>
      </w:pPr>
      <w:bookmarkStart w:id="21" w:name="_Toc390071113"/>
      <w:r>
        <w:rPr>
          <w:rStyle w:val="CharSectno"/>
        </w:rPr>
        <w:t>17</w:t>
      </w:r>
      <w:r>
        <w:t>.</w:t>
      </w:r>
      <w:r>
        <w:tab/>
        <w:t>Time limits on reassessments</w:t>
      </w:r>
      <w:bookmarkEnd w:id="21"/>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2" w:name="_Toc390071114"/>
      <w:r>
        <w:rPr>
          <w:rStyle w:val="CharSectno"/>
        </w:rPr>
        <w:t>18</w:t>
      </w:r>
      <w:r>
        <w:t>.</w:t>
      </w:r>
      <w:r>
        <w:tab/>
        <w:t>Effect of reassessment</w:t>
      </w:r>
      <w:bookmarkEnd w:id="22"/>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If tax payable on an instrument is reassessed, and the instrument or a duplicate or copy of it is produced to the Commissioner, the Commissioner may stamp it with a stamp denoting the amount of tax (if any) payable under the reassessment and the amount of tax paid (if any), (but the reassessment takes effect irrespective of restamping).</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Heading5"/>
      </w:pPr>
      <w:bookmarkStart w:id="23" w:name="_Toc390071115"/>
      <w:r>
        <w:rPr>
          <w:rStyle w:val="CharSectno"/>
        </w:rPr>
        <w:t>18A</w:t>
      </w:r>
      <w:r>
        <w:rPr>
          <w:color w:val="000000"/>
        </w:rPr>
        <w:t>.</w:t>
      </w:r>
      <w:r>
        <w:rPr>
          <w:color w:val="000000"/>
        </w:rPr>
        <w:tab/>
        <w:t>Withdrawal of assessment</w:t>
      </w:r>
      <w:bookmarkEnd w:id="23"/>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24" w:name="_Toc390071116"/>
      <w:r>
        <w:rPr>
          <w:rStyle w:val="CharSectno"/>
        </w:rPr>
        <w:t>19</w:t>
      </w:r>
      <w:r>
        <w:t>.</w:t>
      </w:r>
      <w:r>
        <w:tab/>
        <w:t>Assessments based on estimated or suspected liability</w:t>
      </w:r>
      <w:bookmarkEnd w:id="24"/>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25" w:name="_Toc390071117"/>
      <w:r>
        <w:rPr>
          <w:rStyle w:val="CharSectno"/>
        </w:rPr>
        <w:t>20</w:t>
      </w:r>
      <w:r>
        <w:t>.</w:t>
      </w:r>
      <w:r>
        <w:tab/>
        <w:t>Assessments when instrument misleading or unavailable</w:t>
      </w:r>
      <w:bookmarkEnd w:id="25"/>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on an instrument required to be lodged under a taxation Act, but the instrument has not been lodged as required,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if a copy of the instrument is not available — create a memorandum of the instrument, and treat the memorandum as if it were the instrument.</w:t>
      </w:r>
    </w:p>
    <w:p>
      <w:pPr>
        <w:pStyle w:val="Subsection"/>
      </w:pPr>
      <w:r>
        <w:tab/>
        <w:t>(3)</w:t>
      </w:r>
      <w:r>
        <w:tab/>
        <w:t>If tax is or may be payable in relation to an event or transaction, but an instrument required to be lodged under a taxation Act in relation</w:t>
      </w:r>
      <w:r>
        <w:rPr>
          <w:b/>
        </w:rPr>
        <w:t xml:space="preserve"> </w:t>
      </w:r>
      <w:r>
        <w:t>to the event or transaction has not been lodged, then for the purposes of making an assessment the Commissioner may, subject to subsection (4), create a memorandum in substitution for the instrument and for the purposes of the taxation Act and this Act the memorandum is taken to be the instrument lodged by the person required to lodge it under the taxation Act.</w:t>
      </w:r>
    </w:p>
    <w:p>
      <w:pPr>
        <w:pStyle w:val="Subsection"/>
      </w:pPr>
      <w:r>
        <w:tab/>
        <w:t>(4)</w:t>
      </w:r>
      <w:r>
        <w:tab/>
        <w:t>The Commissioner can only create a memorandum of an instrument under subsection (1)(a), (2)(b) or (3) if the Commissioner has, so far as is practicable, made reasonable efforts to obtain sufficient information to make an accurate assessment.</w:t>
      </w:r>
    </w:p>
    <w:p>
      <w:pPr>
        <w:pStyle w:val="Subsection"/>
      </w:pPr>
      <w:r>
        <w:tab/>
        <w:t>(5)</w:t>
      </w:r>
      <w:r>
        <w:tab/>
        <w:t>The payment of tax on the instrument may be denoted on the copy or memorandum.</w:t>
      </w:r>
    </w:p>
    <w:p>
      <w:pPr>
        <w:pStyle w:val="Subsection"/>
      </w:pPr>
      <w:r>
        <w:tab/>
        <w:t>(6)</w:t>
      </w:r>
      <w:r>
        <w:tab/>
        <w:t>The validity of an assessment and the liability to pay tax on an instrument, event or transaction do not depend on the availability of the instrument or a copy of it, or on the creation of a memorandum of it.</w:t>
      </w:r>
    </w:p>
    <w:p>
      <w:pPr>
        <w:pStyle w:val="Subsection"/>
      </w:pPr>
      <w:r>
        <w:tab/>
        <w:t>(7)</w:t>
      </w:r>
      <w:r>
        <w:tab/>
        <w:t>This section does not limit the powers of the Commissioner under section 19.</w:t>
      </w:r>
    </w:p>
    <w:p>
      <w:pPr>
        <w:pStyle w:val="Footnotesection"/>
        <w:ind w:left="890" w:hanging="890"/>
      </w:pPr>
      <w:r>
        <w:tab/>
        <w:t>[Section 20 amended by No. 66 of 2003 s. 95(3).]</w:t>
      </w:r>
    </w:p>
    <w:p>
      <w:pPr>
        <w:pStyle w:val="Heading5"/>
        <w:spacing w:before="180"/>
      </w:pPr>
      <w:bookmarkStart w:id="26" w:name="_Toc390071118"/>
      <w:r>
        <w:rPr>
          <w:rStyle w:val="CharSectno"/>
        </w:rPr>
        <w:t>21</w:t>
      </w:r>
      <w:r>
        <w:t>.</w:t>
      </w:r>
      <w:r>
        <w:tab/>
        <w:t>Ascertaining value of property, consideration or benefit</w:t>
      </w:r>
      <w:bookmarkEnd w:id="26"/>
    </w:p>
    <w:p>
      <w:pPr>
        <w:pStyle w:val="Subsection"/>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Heading5"/>
        <w:spacing w:before="180"/>
      </w:pPr>
      <w:bookmarkStart w:id="27" w:name="_Toc390071119"/>
      <w:r>
        <w:rPr>
          <w:rStyle w:val="CharSectno"/>
        </w:rPr>
        <w:t>22</w:t>
      </w:r>
      <w:r>
        <w:t>.</w:t>
      </w:r>
      <w:r>
        <w:tab/>
        <w:t>Commissioner’s power to have valuation made</w:t>
      </w:r>
      <w:bookmarkEnd w:id="27"/>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28" w:name="_Toc390071120"/>
      <w:r>
        <w:rPr>
          <w:rStyle w:val="CharDivNo"/>
        </w:rPr>
        <w:t>Division 2</w:t>
      </w:r>
      <w:r>
        <w:t xml:space="preserve"> — </w:t>
      </w:r>
      <w:r>
        <w:rPr>
          <w:rStyle w:val="CharDivText"/>
        </w:rPr>
        <w:t>Assessment notices and returns</w:t>
      </w:r>
      <w:bookmarkEnd w:id="28"/>
    </w:p>
    <w:p>
      <w:pPr>
        <w:pStyle w:val="Heading5"/>
        <w:spacing w:before="180"/>
      </w:pPr>
      <w:bookmarkStart w:id="29" w:name="_Toc390071121"/>
      <w:r>
        <w:rPr>
          <w:rStyle w:val="CharSectno"/>
        </w:rPr>
        <w:t>23</w:t>
      </w:r>
      <w:r>
        <w:t>.</w:t>
      </w:r>
      <w:r>
        <w:tab/>
        <w:t>Assessment notices</w:t>
      </w:r>
      <w:bookmarkEnd w:id="29"/>
    </w:p>
    <w:p>
      <w:pPr>
        <w:pStyle w:val="Subsection"/>
      </w:pPr>
      <w:r>
        <w:tab/>
        <w:t>(1)</w:t>
      </w:r>
      <w:r>
        <w:tab/>
        <w:t>When the Commissioner makes an assessment, he or she must issue an assessment notice.</w:t>
      </w:r>
    </w:p>
    <w:p>
      <w:pPr>
        <w:pStyle w:val="Subsection"/>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if the Commissioner</w:t>
      </w:r>
      <w:r>
        <w:t xml:space="preserve"> assesses the amount of stamp duty payable on an instrument and then stamps the instrument immediately;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spacing w:before="80"/>
        <w:ind w:left="890" w:hanging="890"/>
      </w:pPr>
      <w:r>
        <w:tab/>
        <w:t>[Section 23 amended by No. 66 of 2003 s. 108(2); No. 82 of 2004 s. 19; No. 13 of 2007 s. 14.]</w:t>
      </w:r>
    </w:p>
    <w:p>
      <w:pPr>
        <w:pStyle w:val="Heading5"/>
      </w:pPr>
      <w:bookmarkStart w:id="30" w:name="_Toc390071122"/>
      <w:r>
        <w:rPr>
          <w:rStyle w:val="CharSectno"/>
        </w:rPr>
        <w:t>24</w:t>
      </w:r>
      <w:r>
        <w:t>.</w:t>
      </w:r>
      <w:r>
        <w:tab/>
        <w:t>Form of assessment notice</w:t>
      </w:r>
      <w:bookmarkEnd w:id="30"/>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(2)</w:t>
      </w:r>
      <w:r>
        <w:tab/>
        <w:t>An assessment notice in relation to an original assessment must — </w:t>
      </w:r>
    </w:p>
    <w:p>
      <w:pPr>
        <w:pStyle w:val="Indenta"/>
      </w:pPr>
      <w:r>
        <w:tab/>
        <w:t>(a)</w:t>
      </w:r>
      <w:r>
        <w:tab/>
        <w:t xml:space="preserve">state the amount of tax payable under the primary liability; </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 xml:space="preserve">state whether the amount payable is more or less than the amount assessed under the previous assessment; </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w:t>
      </w:r>
    </w:p>
    <w:p>
      <w:pPr>
        <w:pStyle w:val="Heading5"/>
      </w:pPr>
      <w:bookmarkStart w:id="31" w:name="_Toc390071123"/>
      <w:r>
        <w:rPr>
          <w:rStyle w:val="CharSectno"/>
        </w:rPr>
        <w:t>25</w:t>
      </w:r>
      <w:r>
        <w:t>.</w:t>
      </w:r>
      <w:r>
        <w:tab/>
        <w:t>Statement of grounds of assessment</w:t>
      </w:r>
      <w:bookmarkEnd w:id="31"/>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32" w:name="_Toc390071124"/>
      <w:r>
        <w:rPr>
          <w:rStyle w:val="CharDivNo"/>
        </w:rPr>
        <w:t>Division 3</w:t>
      </w:r>
      <w:r>
        <w:t xml:space="preserve"> — </w:t>
      </w:r>
      <w:r>
        <w:rPr>
          <w:rStyle w:val="CharDivText"/>
        </w:rPr>
        <w:t>Penalty tax</w:t>
      </w:r>
      <w:bookmarkEnd w:id="32"/>
    </w:p>
    <w:p>
      <w:pPr>
        <w:pStyle w:val="Heading5"/>
      </w:pPr>
      <w:bookmarkStart w:id="33" w:name="_Toc390071125"/>
      <w:r>
        <w:rPr>
          <w:rStyle w:val="CharSectno"/>
        </w:rPr>
        <w:t>26</w:t>
      </w:r>
      <w:r>
        <w:t>.</w:t>
      </w:r>
      <w:r>
        <w:tab/>
        <w:t>Penalty tax for contravention of taxation Act</w:t>
      </w:r>
      <w:bookmarkEnd w:id="33"/>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34" w:name="_Toc390071126"/>
      <w:r>
        <w:rPr>
          <w:rStyle w:val="CharSectno"/>
        </w:rPr>
        <w:t>27</w:t>
      </w:r>
      <w:r>
        <w:t>.</w:t>
      </w:r>
      <w:r>
        <w:tab/>
        <w:t>Penalty tax for late payment</w:t>
      </w:r>
      <w:bookmarkEnd w:id="34"/>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35" w:name="_Toc390071127"/>
      <w:r>
        <w:rPr>
          <w:rStyle w:val="CharSectno"/>
        </w:rPr>
        <w:t>28</w:t>
      </w:r>
      <w:r>
        <w:t>.</w:t>
      </w:r>
      <w:r>
        <w:tab/>
        <w:t>Limitation on amount of penalty tax</w:t>
      </w:r>
      <w:bookmarkEnd w:id="35"/>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36" w:name="_Toc390071128"/>
      <w:r>
        <w:rPr>
          <w:rStyle w:val="CharSectno"/>
        </w:rPr>
        <w:t>29</w:t>
      </w:r>
      <w:r>
        <w:t>.</w:t>
      </w:r>
      <w:r>
        <w:tab/>
        <w:t>Remission of penalty tax</w:t>
      </w:r>
      <w:bookmarkEnd w:id="36"/>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37" w:name="_Toc390071129"/>
      <w:r>
        <w:rPr>
          <w:rStyle w:val="CharSectno"/>
        </w:rPr>
        <w:t>30</w:t>
      </w:r>
      <w:r>
        <w:t>.</w:t>
      </w:r>
      <w:r>
        <w:tab/>
        <w:t>Guidelines for imposing penalty tax</w:t>
      </w:r>
      <w:bookmarkEnd w:id="37"/>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38" w:name="_Toc390071130"/>
      <w:r>
        <w:rPr>
          <w:rStyle w:val="CharPartNo"/>
        </w:rPr>
        <w:t>Part 4</w:t>
      </w:r>
      <w:r>
        <w:t xml:space="preserve"> — </w:t>
      </w:r>
      <w:r>
        <w:rPr>
          <w:rStyle w:val="CharPartText"/>
        </w:rPr>
        <w:t>Objections and review proceedings</w:t>
      </w:r>
      <w:bookmarkEnd w:id="38"/>
    </w:p>
    <w:p>
      <w:pPr>
        <w:pStyle w:val="Footnoteheading"/>
        <w:tabs>
          <w:tab w:val="left" w:pos="851"/>
        </w:tabs>
      </w:pPr>
      <w:r>
        <w:tab/>
        <w:t>[Heading amended by No. 55 of 2004 s. 1167.]</w:t>
      </w:r>
    </w:p>
    <w:p>
      <w:pPr>
        <w:pStyle w:val="Heading3"/>
      </w:pPr>
      <w:bookmarkStart w:id="39" w:name="_Toc390071131"/>
      <w:r>
        <w:rPr>
          <w:rStyle w:val="CharDivNo"/>
        </w:rPr>
        <w:t>Division 1</w:t>
      </w:r>
      <w:r>
        <w:t xml:space="preserve"> — </w:t>
      </w:r>
      <w:r>
        <w:rPr>
          <w:rStyle w:val="CharDivText"/>
        </w:rPr>
        <w:t>Procedures and restrictions</w:t>
      </w:r>
      <w:bookmarkEnd w:id="39"/>
    </w:p>
    <w:p>
      <w:pPr>
        <w:pStyle w:val="Heading5"/>
      </w:pPr>
      <w:bookmarkStart w:id="40" w:name="_Toc390071132"/>
      <w:r>
        <w:rPr>
          <w:rStyle w:val="CharSectno"/>
        </w:rPr>
        <w:t>31</w:t>
      </w:r>
      <w:r>
        <w:t>.</w:t>
      </w:r>
      <w:r>
        <w:tab/>
        <w:t>Procedure for challenging assessments</w:t>
      </w:r>
      <w:bookmarkEnd w:id="40"/>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41" w:name="_Toc390071133"/>
      <w:r>
        <w:rPr>
          <w:rStyle w:val="CharSectno"/>
        </w:rPr>
        <w:t>32</w:t>
      </w:r>
      <w:r>
        <w:t>.</w:t>
      </w:r>
      <w:r>
        <w:tab/>
        <w:t>Objections to land valuations</w:t>
      </w:r>
      <w:bookmarkEnd w:id="41"/>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42" w:name="_Toc390071134"/>
      <w:r>
        <w:t>33.</w:t>
      </w:r>
      <w:r>
        <w:tab/>
        <w:t>Continuing obligation to pay assessed tax</w:t>
      </w:r>
      <w:bookmarkEnd w:id="42"/>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43" w:name="_Toc390071135"/>
      <w:r>
        <w:rPr>
          <w:rStyle w:val="CharDivNo"/>
        </w:rPr>
        <w:t>Division 2</w:t>
      </w:r>
      <w:r>
        <w:t xml:space="preserve"> — </w:t>
      </w:r>
      <w:r>
        <w:rPr>
          <w:rStyle w:val="CharDivText"/>
        </w:rPr>
        <w:t>Objections</w:t>
      </w:r>
      <w:bookmarkEnd w:id="43"/>
    </w:p>
    <w:p>
      <w:pPr>
        <w:pStyle w:val="Heading5"/>
        <w:spacing w:before="200"/>
      </w:pPr>
      <w:bookmarkStart w:id="44" w:name="_Toc390071136"/>
      <w:r>
        <w:rPr>
          <w:rStyle w:val="CharSectno"/>
        </w:rPr>
        <w:t>34</w:t>
      </w:r>
      <w:r>
        <w:t>.</w:t>
      </w:r>
      <w:r>
        <w:tab/>
        <w:t>Right to object</w:t>
      </w:r>
      <w:bookmarkEnd w:id="44"/>
    </w:p>
    <w:p>
      <w:pPr>
        <w:pStyle w:val="Subsection"/>
        <w:spacing w:before="140"/>
      </w:pPr>
      <w:r>
        <w:tab/>
        <w:t>(1)</w:t>
      </w:r>
      <w:r>
        <w:tab/>
        <w:t xml:space="preserve">A taxpayer may object to — </w:t>
      </w:r>
    </w:p>
    <w:p>
      <w:pPr>
        <w:pStyle w:val="Indenta"/>
        <w:spacing w:before="60"/>
      </w:pPr>
      <w:r>
        <w:tab/>
        <w:t>(a)</w:t>
      </w:r>
      <w:r>
        <w:tab/>
        <w:t xml:space="preserve">an assessment; or </w:t>
      </w:r>
    </w:p>
    <w:p>
      <w:pPr>
        <w:pStyle w:val="Indenta"/>
        <w:spacing w:before="60"/>
      </w:pPr>
      <w:r>
        <w:tab/>
        <w:t>(b)</w:t>
      </w:r>
      <w:r>
        <w:tab/>
        <w:t>another decision under a taxation Act that affects the taxpayer’s liability to taxation.</w:t>
      </w:r>
    </w:p>
    <w:p>
      <w:pPr>
        <w:pStyle w:val="Subsection"/>
        <w:spacing w:before="140"/>
      </w:pPr>
      <w:r>
        <w:tab/>
        <w:t>(2)</w:t>
      </w:r>
      <w:r>
        <w:tab/>
        <w:t>However, an objection cannot be made against — </w:t>
      </w:r>
    </w:p>
    <w:p>
      <w:pPr>
        <w:pStyle w:val="Indenta"/>
        <w:spacing w:before="60"/>
      </w:pPr>
      <w:r>
        <w:tab/>
        <w:t>(a)</w:t>
      </w:r>
      <w:r>
        <w:tab/>
        <w:t>the determination of an objection;</w:t>
      </w:r>
    </w:p>
    <w:p>
      <w:pPr>
        <w:pStyle w:val="Indenta"/>
        <w:spacing w:before="60"/>
      </w:pPr>
      <w:r>
        <w:tab/>
        <w:t>(b)</w:t>
      </w:r>
      <w:r>
        <w:tab/>
        <w:t xml:space="preserve">an assessment of an amount of stamp duty and penalty tax that is assessed under Part IIIC of the </w:t>
      </w:r>
      <w:r>
        <w:rPr>
          <w:i/>
        </w:rPr>
        <w:t>Stamp Act 1921</w:t>
      </w:r>
      <w:r>
        <w:t xml:space="preserve"> and specified in a traffic infringement notice issued under section 102 of the </w:t>
      </w:r>
      <w:r>
        <w:rPr>
          <w:i/>
        </w:rPr>
        <w:t>Road Traffic Act 1974</w:t>
      </w:r>
      <w:r>
        <w:t>, unless the amount has been paid;</w:t>
      </w:r>
    </w:p>
    <w:p>
      <w:pPr>
        <w:pStyle w:val="Ednotepara"/>
        <w:spacing w:before="60"/>
        <w:ind w:left="1610" w:hanging="1610"/>
      </w:pPr>
      <w:r>
        <w:tab/>
        <w:t>[(c)</w:t>
      </w:r>
      <w:r>
        <w:tab/>
        <w:t>has not come into operation</w:t>
      </w:r>
      <w:r>
        <w:rPr>
          <w:vertAlign w:val="superscript"/>
        </w:rPr>
        <w:t> </w:t>
      </w:r>
      <w:r>
        <w:rPr>
          <w:i w:val="0"/>
          <w:vertAlign w:val="superscript"/>
        </w:rPr>
        <w:t>3</w:t>
      </w:r>
      <w:r>
        <w:rPr>
          <w:i w:val="0"/>
        </w:rPr>
        <w:t>.</w:t>
      </w:r>
      <w:r>
        <w:t>]</w:t>
      </w:r>
    </w:p>
    <w:p>
      <w:pPr>
        <w:pStyle w:val="Indenta"/>
        <w:spacing w:before="60"/>
      </w:pPr>
      <w:r>
        <w:tab/>
        <w:t>(d)</w:t>
      </w:r>
      <w:r>
        <w:tab/>
        <w:t>a decision in respect of which a taxation Act specifically provides other procedures for objection or appeal.</w:t>
      </w:r>
    </w:p>
    <w:p>
      <w:pPr>
        <w:pStyle w:val="Subsection"/>
        <w:spacing w:before="140"/>
      </w:pPr>
      <w:r>
        <w:tab/>
        <w:t>(3)</w:t>
      </w:r>
      <w:r>
        <w:tab/>
        <w:t>If a reassessment is made and the time for lodging an objection to the previous assessment has expired, an objection may only be made against an increase in liability.</w:t>
      </w:r>
    </w:p>
    <w:p>
      <w:pPr>
        <w:pStyle w:val="Ednotesubsection"/>
        <w:spacing w:before="140"/>
      </w:pPr>
      <w:r>
        <w:tab/>
        <w:t>[(4)</w:t>
      </w:r>
      <w:r>
        <w:tab/>
        <w:t>Has not come into operation</w:t>
      </w:r>
      <w:r>
        <w:rPr>
          <w:vertAlign w:val="superscript"/>
        </w:rPr>
        <w:t> </w:t>
      </w:r>
      <w:r>
        <w:rPr>
          <w:i w:val="0"/>
          <w:vertAlign w:val="superscript"/>
        </w:rPr>
        <w:t>3</w:t>
      </w:r>
      <w:r>
        <w:rPr>
          <w:i w:val="0"/>
        </w:rPr>
        <w:t>.</w:t>
      </w:r>
      <w:r>
        <w:t>]</w:t>
      </w:r>
    </w:p>
    <w:p>
      <w:pPr>
        <w:pStyle w:val="Heading5"/>
      </w:pPr>
      <w:bookmarkStart w:id="45" w:name="_Toc390071137"/>
      <w:r>
        <w:rPr>
          <w:rStyle w:val="CharSectno"/>
        </w:rPr>
        <w:t>35</w:t>
      </w:r>
      <w:r>
        <w:t>.</w:t>
      </w:r>
      <w:r>
        <w:tab/>
        <w:t>Form of objection</w:t>
      </w:r>
      <w:bookmarkEnd w:id="45"/>
    </w:p>
    <w:p>
      <w:pPr>
        <w:pStyle w:val="Subsection"/>
        <w:spacing w:before="140"/>
      </w:pPr>
      <w:r>
        <w:tab/>
      </w:r>
      <w:r>
        <w:tab/>
        <w:t>An objection must — </w:t>
      </w:r>
    </w:p>
    <w:p>
      <w:pPr>
        <w:pStyle w:val="Indenta"/>
        <w:spacing w:before="60"/>
      </w:pPr>
      <w:r>
        <w:tab/>
        <w:t>(a)</w:t>
      </w:r>
      <w:r>
        <w:tab/>
        <w:t>be in writing;</w:t>
      </w:r>
    </w:p>
    <w:p>
      <w:pPr>
        <w:pStyle w:val="Indenta"/>
        <w:spacing w:before="60"/>
      </w:pPr>
      <w:r>
        <w:tab/>
        <w:t>(b)</w:t>
      </w:r>
      <w:r>
        <w:tab/>
        <w:t>set out fully and in detail the grounds on which the taxpayer objects to the assessment or decision; and</w:t>
      </w:r>
    </w:p>
    <w:p>
      <w:pPr>
        <w:pStyle w:val="Indenta"/>
        <w:spacing w:before="60"/>
      </w:pPr>
      <w:r>
        <w:tab/>
        <w:t>(c)</w:t>
      </w:r>
      <w:r>
        <w:tab/>
        <w:t>be lodged in accordance with section 115.</w:t>
      </w:r>
    </w:p>
    <w:p>
      <w:pPr>
        <w:pStyle w:val="Heading5"/>
        <w:spacing w:before="240"/>
      </w:pPr>
      <w:bookmarkStart w:id="46" w:name="_Toc390071138"/>
      <w:r>
        <w:rPr>
          <w:rStyle w:val="CharSectno"/>
        </w:rPr>
        <w:t>36</w:t>
      </w:r>
      <w:r>
        <w:t>.</w:t>
      </w:r>
      <w:r>
        <w:tab/>
        <w:t>Time for lodging objection</w:t>
      </w:r>
      <w:bookmarkEnd w:id="46"/>
    </w:p>
    <w:p>
      <w:pPr>
        <w:pStyle w:val="Subsection"/>
        <w:spacing w:before="140"/>
      </w:pPr>
      <w:r>
        <w:tab/>
        <w:t>(1)</w:t>
      </w:r>
      <w:r>
        <w:tab/>
        <w:t xml:space="preserve">An objection to an official assessment must be lodged within 60 days after — </w:t>
      </w:r>
    </w:p>
    <w:p>
      <w:pPr>
        <w:pStyle w:val="Indenta"/>
        <w:spacing w:before="60"/>
      </w:pPr>
      <w:r>
        <w:tab/>
        <w:t>(a)</w:t>
      </w:r>
      <w:r>
        <w:tab/>
        <w:t>the assessment notice is issued;</w:t>
      </w:r>
    </w:p>
    <w:p>
      <w:pPr>
        <w:pStyle w:val="Indenta"/>
      </w:pPr>
      <w:r>
        <w:tab/>
        <w:t>(b)</w:t>
      </w:r>
      <w:r>
        <w:tab/>
        <w:t>if the assessment is denoted by stamping in accordance with section 23(2)(b) — the date on which the document was stamped;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Heading5"/>
      </w:pPr>
      <w:bookmarkStart w:id="47" w:name="_Toc390071139"/>
      <w:r>
        <w:rPr>
          <w:rStyle w:val="CharSectno"/>
        </w:rPr>
        <w:t>37</w:t>
      </w:r>
      <w:r>
        <w:t>.</w:t>
      </w:r>
      <w:r>
        <w:tab/>
        <w:t>Consideration of objections</w:t>
      </w:r>
      <w:bookmarkEnd w:id="47"/>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48" w:name="_Toc390071140"/>
      <w:r>
        <w:rPr>
          <w:rStyle w:val="CharSectno"/>
        </w:rPr>
        <w:t>38</w:t>
      </w:r>
      <w:r>
        <w:t>.</w:t>
      </w:r>
      <w:r>
        <w:tab/>
        <w:t>Time limit for determining objections</w:t>
      </w:r>
      <w:bookmarkEnd w:id="48"/>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spacing w:before="60"/>
      </w:pPr>
      <w:r>
        <w:tab/>
        <w:t>(a)</w:t>
      </w:r>
      <w:r>
        <w:tab/>
        <w:t>the length of the decision period;</w:t>
      </w:r>
    </w:p>
    <w:p>
      <w:pPr>
        <w:pStyle w:val="Indenta"/>
        <w:spacing w:before="60"/>
      </w:pPr>
      <w:r>
        <w:tab/>
        <w:t>(b)</w:t>
      </w:r>
      <w:r>
        <w:tab/>
        <w:t>the time for a taxpayer to comply with a request for information;</w:t>
      </w:r>
    </w:p>
    <w:p>
      <w:pPr>
        <w:pStyle w:val="Indenta"/>
        <w:spacing w:before="60"/>
      </w:pPr>
      <w:r>
        <w:tab/>
        <w:t>(c)</w:t>
      </w:r>
      <w:r>
        <w:tab/>
        <w:t>the information to be provided by the taxpayer;</w:t>
      </w:r>
    </w:p>
    <w:p>
      <w:pPr>
        <w:pStyle w:val="Indenta"/>
        <w:spacing w:before="60"/>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repealed]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49" w:name="_Toc390071141"/>
      <w:r>
        <w:rPr>
          <w:rStyle w:val="CharSectno"/>
        </w:rPr>
        <w:t>39</w:t>
      </w:r>
      <w:r>
        <w:t>.</w:t>
      </w:r>
      <w:r>
        <w:tab/>
        <w:t>Reassessment on determination of objection</w:t>
      </w:r>
      <w:bookmarkEnd w:id="49"/>
    </w:p>
    <w:p>
      <w:pPr>
        <w:pStyle w:val="Subsection"/>
      </w:pPr>
      <w:r>
        <w:tab/>
        <w:t>(1)</w:t>
      </w:r>
      <w:r>
        <w:tab/>
        <w:t>If an objection is allowed wholly or in part, the Commissioner must make a reassessment accordingly.</w:t>
      </w:r>
    </w:p>
    <w:p>
      <w:pPr>
        <w:pStyle w:val="Subsection"/>
      </w:pPr>
      <w:r>
        <w:tab/>
        <w:t>(2)</w:t>
      </w:r>
      <w:r>
        <w:tab/>
        <w:t>If, as a result of the reassessment, an amount is to be refunded or credited to the taxpayer, interest at the prescribed rate is payable on the amount from the date of payment to the date of the determination of the objection.</w:t>
      </w:r>
    </w:p>
    <w:p>
      <w:pPr>
        <w:pStyle w:val="Heading3"/>
      </w:pPr>
      <w:bookmarkStart w:id="50" w:name="_Toc390071142"/>
      <w:r>
        <w:rPr>
          <w:rStyle w:val="CharDivNo"/>
        </w:rPr>
        <w:t>Division 3</w:t>
      </w:r>
      <w:r>
        <w:t> — </w:t>
      </w:r>
      <w:r>
        <w:rPr>
          <w:rStyle w:val="CharDivText"/>
        </w:rPr>
        <w:t>Reviews and stated cases</w:t>
      </w:r>
      <w:bookmarkEnd w:id="50"/>
    </w:p>
    <w:p>
      <w:pPr>
        <w:pStyle w:val="Footnoteheading"/>
        <w:tabs>
          <w:tab w:val="left" w:pos="851"/>
        </w:tabs>
      </w:pPr>
      <w:r>
        <w:rPr>
          <w:i w:val="0"/>
        </w:rPr>
        <w:tab/>
      </w:r>
      <w:r>
        <w:t>[Heading amended by No. 55 of 2004 s. 1173.]</w:t>
      </w:r>
    </w:p>
    <w:p>
      <w:pPr>
        <w:pStyle w:val="Heading5"/>
      </w:pPr>
      <w:bookmarkStart w:id="51" w:name="_Toc390071143"/>
      <w:r>
        <w:rPr>
          <w:rStyle w:val="CharSectno"/>
        </w:rPr>
        <w:t>40</w:t>
      </w:r>
      <w:r>
        <w:t>.</w:t>
      </w:r>
      <w:r>
        <w:tab/>
        <w:t>Right of review</w:t>
      </w:r>
      <w:bookmarkEnd w:id="51"/>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repealed]</w:t>
      </w:r>
    </w:p>
    <w:p>
      <w:pPr>
        <w:pStyle w:val="Footnotesection"/>
        <w:rPr>
          <w:i w:val="0"/>
        </w:rPr>
      </w:pPr>
      <w:r>
        <w:tab/>
        <w:t>[Section 40 amended by No. 55 of 2004 s. 1174.]</w:t>
      </w:r>
    </w:p>
    <w:p>
      <w:pPr>
        <w:pStyle w:val="Ednotesection"/>
        <w:rPr>
          <w:i w:val="0"/>
        </w:rPr>
      </w:pPr>
      <w:r>
        <w:t>[</w:t>
      </w:r>
      <w:r>
        <w:rPr>
          <w:b/>
        </w:rPr>
        <w:t>41.</w:t>
      </w:r>
      <w:r>
        <w:tab/>
        <w:t>Repealed by No. 55 of 2004 s. 1175.]</w:t>
      </w:r>
    </w:p>
    <w:p>
      <w:pPr>
        <w:pStyle w:val="Heading5"/>
      </w:pPr>
      <w:bookmarkStart w:id="52" w:name="_Toc390071144"/>
      <w:r>
        <w:rPr>
          <w:rStyle w:val="CharSectno"/>
        </w:rPr>
        <w:t>42</w:t>
      </w:r>
      <w:r>
        <w:t>.</w:t>
      </w:r>
      <w:r>
        <w:tab/>
        <w:t>Time for review</w:t>
      </w:r>
      <w:bookmarkEnd w:id="52"/>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repealed]</w:t>
      </w:r>
    </w:p>
    <w:p>
      <w:pPr>
        <w:pStyle w:val="Footnotesection"/>
        <w:rPr>
          <w:i w:val="0"/>
        </w:rPr>
      </w:pPr>
      <w:r>
        <w:tab/>
        <w:t>[Section 42 amended by No. 55 of 2004 s. 1176.]</w:t>
      </w:r>
    </w:p>
    <w:p>
      <w:pPr>
        <w:pStyle w:val="Heading5"/>
      </w:pPr>
      <w:bookmarkStart w:id="53" w:name="_Toc390071145"/>
      <w:r>
        <w:rPr>
          <w:rStyle w:val="CharSectno"/>
        </w:rPr>
        <w:t>43</w:t>
      </w:r>
      <w:r>
        <w:t>.</w:t>
      </w:r>
      <w:r>
        <w:tab/>
        <w:t>Proceedings before State Administrative Tribunal</w:t>
      </w:r>
      <w:bookmarkEnd w:id="53"/>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rPr>
        <w:t>Debits Tax Assessment Act 2002</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a proceeding of a kind described in paragraph (a) of the definition of “minor proceeding” in subsection (1) of that section or included by regulations referred to in paragraph (b) of that definition;</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Treasurer —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 </w:t>
      </w:r>
    </w:p>
    <w:p>
      <w:pPr>
        <w:pStyle w:val="Indenta"/>
      </w:pPr>
      <w:r>
        <w:tab/>
        <w:t>(a)</w:t>
      </w:r>
      <w:r>
        <w:tab/>
        <w:t>the taxpayer is entitled to a refund or credit of the overpaid amount; and</w:t>
      </w:r>
    </w:p>
    <w:p>
      <w:pPr>
        <w:pStyle w:val="Indenta"/>
      </w:pPr>
      <w:r>
        <w:tab/>
        <w:t>(b)</w:t>
      </w:r>
      <w:r>
        <w:tab/>
        <w:t>interest on the overpaid amount, calculated at the prescribed rate from the date on which the tax was paid to the date on which the overpaid amount is refunded or credited to the taxpayer, is payable to the taxpayer.</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overpaid amount, and any payment of interest payable on the overpaid amount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w:t>
      </w:r>
    </w:p>
    <w:p>
      <w:pPr>
        <w:pStyle w:val="Heading5"/>
      </w:pPr>
      <w:bookmarkStart w:id="54" w:name="_Toc390071146"/>
      <w:r>
        <w:rPr>
          <w:rStyle w:val="CharSectno"/>
        </w:rPr>
        <w:t>43A</w:t>
      </w:r>
      <w:r>
        <w:t>.</w:t>
      </w:r>
      <w:r>
        <w:tab/>
        <w:t>Appeal from decision of State Administrative Tribunal</w:t>
      </w:r>
      <w:bookmarkEnd w:id="54"/>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55" w:name="_Toc390071147"/>
      <w:r>
        <w:rPr>
          <w:rStyle w:val="CharSectno"/>
        </w:rPr>
        <w:t>44</w:t>
      </w:r>
      <w:r>
        <w:t>.</w:t>
      </w:r>
      <w:r>
        <w:tab/>
        <w:t>Cases stated by Commissioner</w:t>
      </w:r>
      <w:bookmarkEnd w:id="55"/>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56" w:name="_Toc390071148"/>
      <w:r>
        <w:rPr>
          <w:rStyle w:val="CharPartNo"/>
        </w:rPr>
        <w:t>Part 5</w:t>
      </w:r>
      <w:r>
        <w:t xml:space="preserve"> — </w:t>
      </w:r>
      <w:r>
        <w:rPr>
          <w:rStyle w:val="CharPartText"/>
        </w:rPr>
        <w:t>Payment and refund of tax</w:t>
      </w:r>
      <w:bookmarkEnd w:id="56"/>
    </w:p>
    <w:p>
      <w:pPr>
        <w:pStyle w:val="Heading3"/>
      </w:pPr>
      <w:bookmarkStart w:id="57" w:name="_Toc390071149"/>
      <w:r>
        <w:rPr>
          <w:rStyle w:val="CharDivNo"/>
        </w:rPr>
        <w:t>Division 1</w:t>
      </w:r>
      <w:r>
        <w:t xml:space="preserve"> — </w:t>
      </w:r>
      <w:r>
        <w:rPr>
          <w:rStyle w:val="CharDivText"/>
        </w:rPr>
        <w:t>Payment</w:t>
      </w:r>
      <w:bookmarkEnd w:id="57"/>
    </w:p>
    <w:p>
      <w:pPr>
        <w:pStyle w:val="Heading5"/>
      </w:pPr>
      <w:bookmarkStart w:id="58" w:name="_Toc390071150"/>
      <w:r>
        <w:rPr>
          <w:rStyle w:val="CharSectno"/>
        </w:rPr>
        <w:t>45</w:t>
      </w:r>
      <w:r>
        <w:t>.</w:t>
      </w:r>
      <w:r>
        <w:tab/>
        <w:t>When tax is due for payment</w:t>
      </w:r>
      <w:bookmarkEnd w:id="58"/>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59" w:name="_Toc390071151"/>
      <w:r>
        <w:rPr>
          <w:rStyle w:val="CharSectno"/>
        </w:rPr>
        <w:t>46</w:t>
      </w:r>
      <w:r>
        <w:t>.</w:t>
      </w:r>
      <w:r>
        <w:tab/>
        <w:t>Allocation of payment</w:t>
      </w:r>
      <w:bookmarkEnd w:id="59"/>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60" w:name="_Toc390071152"/>
      <w:r>
        <w:rPr>
          <w:rStyle w:val="CharSectno"/>
        </w:rPr>
        <w:t>47</w:t>
      </w:r>
      <w:r>
        <w:t>.</w:t>
      </w:r>
      <w:r>
        <w:tab/>
        <w:t>Arrangements for instalments and extensions of time</w:t>
      </w:r>
      <w:bookmarkEnd w:id="60"/>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Ednotesubsection"/>
        <w:rPr>
          <w:i w:val="0"/>
        </w:rPr>
      </w:pPr>
      <w:r>
        <w:tab/>
        <w:t>[(8)</w:t>
      </w:r>
      <w:r>
        <w:tab/>
        <w:t>Has not come into operation</w:t>
      </w:r>
      <w:r>
        <w:rPr>
          <w:i w:val="0"/>
          <w:vertAlign w:val="superscript"/>
        </w:rPr>
        <w:t> 3</w:t>
      </w:r>
      <w:r>
        <w:t>.]</w:t>
      </w:r>
    </w:p>
    <w:p>
      <w:pPr>
        <w:pStyle w:val="Ednotesection"/>
      </w:pPr>
      <w:r>
        <w:t>[</w:t>
      </w:r>
      <w:r>
        <w:rPr>
          <w:b/>
        </w:rPr>
        <w:t>48.</w:t>
      </w:r>
      <w:r>
        <w:tab/>
        <w:t>Has not come into operation</w:t>
      </w:r>
      <w:r>
        <w:rPr>
          <w:i w:val="0"/>
        </w:rPr>
        <w:t> </w:t>
      </w:r>
      <w:r>
        <w:rPr>
          <w:i w:val="0"/>
          <w:vertAlign w:val="superscript"/>
        </w:rPr>
        <w:t>3</w:t>
      </w:r>
      <w:r>
        <w:t>.]</w:t>
      </w:r>
    </w:p>
    <w:p>
      <w:pPr>
        <w:pStyle w:val="Heading3"/>
      </w:pPr>
      <w:bookmarkStart w:id="61" w:name="_Toc390071153"/>
      <w:r>
        <w:rPr>
          <w:rStyle w:val="CharDivNo"/>
        </w:rPr>
        <w:t>Division 2</w:t>
      </w:r>
      <w:r>
        <w:t xml:space="preserve"> — </w:t>
      </w:r>
      <w:r>
        <w:rPr>
          <w:rStyle w:val="CharDivText"/>
        </w:rPr>
        <w:t>Special tax return arrangements</w:t>
      </w:r>
      <w:bookmarkEnd w:id="61"/>
    </w:p>
    <w:p>
      <w:pPr>
        <w:pStyle w:val="Heading5"/>
      </w:pPr>
      <w:bookmarkStart w:id="62" w:name="_Toc390071154"/>
      <w:r>
        <w:rPr>
          <w:rStyle w:val="CharSectno"/>
        </w:rPr>
        <w:t>49</w:t>
      </w:r>
      <w:r>
        <w:t>.</w:t>
      </w:r>
      <w:r>
        <w:tab/>
        <w:t>Approval of special tax return arrangements</w:t>
      </w:r>
      <w:bookmarkEnd w:id="62"/>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63" w:name="_Toc390071155"/>
      <w:r>
        <w:rPr>
          <w:rStyle w:val="CharSectno"/>
        </w:rPr>
        <w:t>50</w:t>
      </w:r>
      <w:r>
        <w:t>.</w:t>
      </w:r>
      <w:r>
        <w:tab/>
        <w:t>Content of special tax return arrangement</w:t>
      </w:r>
      <w:bookmarkEnd w:id="63"/>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w:t>
      </w:r>
    </w:p>
    <w:p>
      <w:pPr>
        <w:pStyle w:val="Indenta"/>
      </w:pPr>
      <w:r>
        <w:tab/>
        <w:t>(b)</w:t>
      </w:r>
      <w:r>
        <w:tab/>
        <w:t>may require compliance with any other obligations imposed under the conditions of the arrangement;</w:t>
      </w:r>
    </w:p>
    <w:p>
      <w:pPr>
        <w:pStyle w:val="Indenta"/>
      </w:pPr>
      <w:r>
        <w:tab/>
        <w:t>(c)</w:t>
      </w:r>
      <w:r>
        <w:tab/>
        <w:t>may exempt the taxpayer or taxpayers covered by the arrangement from compliance with specified administrative requirements of a taxation Act;</w:t>
      </w:r>
    </w:p>
    <w:p>
      <w:pPr>
        <w:pStyle w:val="Indenta"/>
      </w:pPr>
      <w:r>
        <w:tab/>
        <w:t>(d)</w:t>
      </w:r>
      <w:r>
        <w:tab/>
        <w:t>may provide for the stamping or endorsement of instruments with the amount of tax paid or payable under the special arrangement, or to denote that tax is not payable in respect of the instrument;</w:t>
      </w:r>
    </w:p>
    <w:p>
      <w:pPr>
        <w:pStyle w:val="Indenta"/>
      </w:pPr>
      <w:r>
        <w:tab/>
        <w:t>(e)</w:t>
      </w:r>
      <w:r>
        <w:tab/>
        <w:t>may require the responsible party to keep specified records;</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cancel a stamp duty certificate issued by the party under the arrangement and issue a replacement certificate to give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w:t>
      </w:r>
    </w:p>
    <w:p>
      <w:pPr>
        <w:pStyle w:val="Heading5"/>
      </w:pPr>
      <w:bookmarkStart w:id="64" w:name="_Toc390071156"/>
      <w:r>
        <w:rPr>
          <w:rStyle w:val="CharSectno"/>
        </w:rPr>
        <w:t>51</w:t>
      </w:r>
      <w:r>
        <w:t>.</w:t>
      </w:r>
      <w:r>
        <w:tab/>
        <w:t>Instruments stamped or endorsed under a special tax return arrangement</w:t>
      </w:r>
      <w:bookmarkEnd w:id="64"/>
    </w:p>
    <w:p>
      <w:pPr>
        <w:pStyle w:val="Subsection"/>
      </w:pPr>
      <w:r>
        <w:tab/>
        <w:t>(1)</w:t>
      </w:r>
      <w:r>
        <w:tab/>
        <w:t>An instrument stamped or endorsed in accordance with a special tax return arrangement is taken to have been stamped.</w:t>
      </w:r>
    </w:p>
    <w:p>
      <w:pPr>
        <w:pStyle w:val="Subsection"/>
      </w:pPr>
      <w:r>
        <w:tab/>
        <w:t>(2)</w:t>
      </w:r>
      <w:r>
        <w:tab/>
        <w:t>A person who stamps or endorses an instrument so as to suggest or imply that the instrument has been properly stamped or endorsed under a special tax return arrangement commits an offence unless the instrument is properly stamped or endorsed in accordance with the conditions of the special arrangement.</w:t>
      </w:r>
    </w:p>
    <w:p>
      <w:pPr>
        <w:pStyle w:val="Penstart"/>
      </w:pPr>
      <w:r>
        <w:tab/>
        <w:t>Penalty: $20 000.</w:t>
      </w:r>
    </w:p>
    <w:p>
      <w:pPr>
        <w:pStyle w:val="Heading5"/>
      </w:pPr>
      <w:bookmarkStart w:id="65" w:name="_Toc390071157"/>
      <w:r>
        <w:rPr>
          <w:rStyle w:val="CharSectno"/>
        </w:rPr>
        <w:t>52</w:t>
      </w:r>
      <w:r>
        <w:t>.</w:t>
      </w:r>
      <w:r>
        <w:tab/>
        <w:t>Lodging returns under special tax return arrangement</w:t>
      </w:r>
      <w:bookmarkEnd w:id="65"/>
    </w:p>
    <w:p>
      <w:pPr>
        <w:pStyle w:val="Subsection"/>
      </w:pPr>
      <w:r>
        <w:tab/>
        <w:t>(1)</w:t>
      </w:r>
      <w:r>
        <w:tab/>
        <w:t xml:space="preserve">A return lodged under a special tax return arrangement must — </w:t>
      </w:r>
    </w:p>
    <w:p>
      <w:pPr>
        <w:pStyle w:val="Indenta"/>
      </w:pPr>
      <w:r>
        <w:tab/>
        <w:t>(a)</w:t>
      </w:r>
      <w:r>
        <w:tab/>
        <w:t>be in a form approved by the Commissioner;</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66" w:name="_Toc390071158"/>
      <w:r>
        <w:rPr>
          <w:rStyle w:val="CharSectno"/>
        </w:rPr>
        <w:t>53</w:t>
      </w:r>
      <w:r>
        <w:t>.</w:t>
      </w:r>
      <w:r>
        <w:tab/>
        <w:t>Amendment or cancellation of arrangement</w:t>
      </w:r>
      <w:bookmarkEnd w:id="66"/>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67" w:name="_Toc390071159"/>
      <w:r>
        <w:rPr>
          <w:rStyle w:val="CharDivNo"/>
        </w:rPr>
        <w:t>Division 3</w:t>
      </w:r>
      <w:r>
        <w:t xml:space="preserve"> — </w:t>
      </w:r>
      <w:r>
        <w:rPr>
          <w:rStyle w:val="CharDivText"/>
        </w:rPr>
        <w:t>Refunds of tax</w:t>
      </w:r>
      <w:bookmarkEnd w:id="67"/>
    </w:p>
    <w:p>
      <w:pPr>
        <w:pStyle w:val="Heading5"/>
      </w:pPr>
      <w:bookmarkStart w:id="68" w:name="_Toc390071160"/>
      <w:r>
        <w:rPr>
          <w:rStyle w:val="CharSectno"/>
        </w:rPr>
        <w:t>54</w:t>
      </w:r>
      <w:r>
        <w:t>.</w:t>
      </w:r>
      <w:r>
        <w:tab/>
        <w:t>Power to make refund</w:t>
      </w:r>
      <w:bookmarkEnd w:id="68"/>
    </w:p>
    <w:p>
      <w:pPr>
        <w:pStyle w:val="Subsection"/>
      </w:pPr>
      <w:r>
        <w:tab/>
        <w:t>(1)</w:t>
      </w:r>
      <w:r>
        <w:tab/>
        <w:t>The Commissioner must refund tax to a taxpayer if — </w:t>
      </w:r>
    </w:p>
    <w:p>
      <w:pPr>
        <w:pStyle w:val="Indenta"/>
      </w:pPr>
      <w:r>
        <w:tab/>
        <w:t>(a)</w:t>
      </w:r>
      <w:r>
        <w:tab/>
        <w:t>as a result of a reassessment, it appears that an overpayment of tax has been made;</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Heading5"/>
      </w:pPr>
      <w:bookmarkStart w:id="69" w:name="_Toc390071161"/>
      <w:r>
        <w:rPr>
          <w:rStyle w:val="CharSectno"/>
        </w:rPr>
        <w:t>55A</w:t>
      </w:r>
      <w:r>
        <w:t>.</w:t>
      </w:r>
      <w:r>
        <w:tab/>
        <w:t>Unused credit</w:t>
      </w:r>
      <w:bookmarkEnd w:id="69"/>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70" w:name="_Toc390071162"/>
      <w:r>
        <w:rPr>
          <w:rStyle w:val="CharSectno"/>
        </w:rPr>
        <w:t>55</w:t>
      </w:r>
      <w:r>
        <w:t>.</w:t>
      </w:r>
      <w:r>
        <w:tab/>
        <w:t>Refund to be passed on in certain cases</w:t>
      </w:r>
      <w:bookmarkEnd w:id="70"/>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spacing w:before="60"/>
      </w:pPr>
      <w:r>
        <w:tab/>
        <w:t>(c)</w:t>
      </w:r>
      <w:r>
        <w:tab/>
        <w:t>debits tax.</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Heading3"/>
        <w:spacing w:before="280"/>
      </w:pPr>
      <w:bookmarkStart w:id="71" w:name="_Toc390071163"/>
      <w:r>
        <w:rPr>
          <w:rStyle w:val="CharDivNo"/>
        </w:rPr>
        <w:t>Division 4</w:t>
      </w:r>
      <w:r>
        <w:t xml:space="preserve"> — </w:t>
      </w:r>
      <w:r>
        <w:rPr>
          <w:rStyle w:val="CharDivText"/>
        </w:rPr>
        <w:t>Power to waive or write off liability</w:t>
      </w:r>
      <w:bookmarkEnd w:id="71"/>
    </w:p>
    <w:p>
      <w:pPr>
        <w:pStyle w:val="Heading5"/>
        <w:spacing w:before="240"/>
      </w:pPr>
      <w:bookmarkStart w:id="72" w:name="_Toc390071164"/>
      <w:r>
        <w:rPr>
          <w:rStyle w:val="CharSectno"/>
        </w:rPr>
        <w:t>56</w:t>
      </w:r>
      <w:r>
        <w:t>.</w:t>
      </w:r>
      <w:r>
        <w:tab/>
        <w:t>Waiver of tax</w:t>
      </w:r>
      <w:bookmarkEnd w:id="72"/>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Ednotesubsection"/>
        <w:spacing w:before="180"/>
        <w:rPr>
          <w:i w:val="0"/>
        </w:rPr>
      </w:pPr>
      <w:r>
        <w:tab/>
        <w:t>[(3)</w:t>
      </w:r>
      <w:r>
        <w:tab/>
        <w:t>Has not come into operation</w:t>
      </w:r>
      <w:r>
        <w:rPr>
          <w:i w:val="0"/>
          <w:vertAlign w:val="superscript"/>
        </w:rPr>
        <w:t> 3</w:t>
      </w:r>
      <w:r>
        <w:rPr>
          <w:i w:val="0"/>
        </w:rPr>
        <w:t>.</w:t>
      </w:r>
      <w:r>
        <w:t>]</w:t>
      </w:r>
    </w:p>
    <w:p>
      <w:pPr>
        <w:pStyle w:val="Heading5"/>
        <w:spacing w:before="240"/>
      </w:pPr>
      <w:bookmarkStart w:id="73" w:name="_Toc390071165"/>
      <w:r>
        <w:rPr>
          <w:rStyle w:val="CharSectno"/>
        </w:rPr>
        <w:t>57</w:t>
      </w:r>
      <w:r>
        <w:t>.</w:t>
      </w:r>
      <w:r>
        <w:tab/>
        <w:t>Writing off tax liability</w:t>
      </w:r>
      <w:bookmarkEnd w:id="73"/>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Ednotesubsection"/>
        <w:rPr>
          <w:i w:val="0"/>
        </w:rPr>
      </w:pPr>
      <w:r>
        <w:tab/>
        <w:t>[(3)</w:t>
      </w:r>
      <w:r>
        <w:tab/>
        <w:t>Has not come into operation</w:t>
      </w:r>
      <w:r>
        <w:rPr>
          <w:i w:val="0"/>
          <w:vertAlign w:val="superscript"/>
        </w:rPr>
        <w:t> 3</w:t>
      </w:r>
      <w:r>
        <w:rPr>
          <w:i w:val="0"/>
        </w:rPr>
        <w:t>.</w:t>
      </w:r>
      <w:r>
        <w:t>]</w:t>
      </w:r>
    </w:p>
    <w:p>
      <w:pPr>
        <w:pStyle w:val="Heading5"/>
      </w:pPr>
      <w:bookmarkStart w:id="74" w:name="_Toc390071166"/>
      <w:r>
        <w:rPr>
          <w:rStyle w:val="CharSectno"/>
        </w:rPr>
        <w:t>58</w:t>
      </w:r>
      <w:r>
        <w:t>.</w:t>
      </w:r>
      <w:r>
        <w:tab/>
        <w:t>Powers subject to</w:t>
      </w:r>
      <w:r>
        <w:rPr>
          <w:i/>
        </w:rPr>
        <w:t xml:space="preserve"> Financial Management Act 2006</w:t>
      </w:r>
      <w:bookmarkEnd w:id="74"/>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 17.]</w:t>
      </w:r>
    </w:p>
    <w:p>
      <w:pPr>
        <w:pStyle w:val="Ednotesection"/>
      </w:pPr>
      <w:r>
        <w:t>[</w:t>
      </w:r>
      <w:r>
        <w:rPr>
          <w:b/>
        </w:rPr>
        <w:t>59.</w:t>
      </w:r>
      <w:r>
        <w:tab/>
        <w:t>Has not come into operation</w:t>
      </w:r>
      <w:r>
        <w:rPr>
          <w:i w:val="0"/>
        </w:rPr>
        <w:t> </w:t>
      </w:r>
      <w:r>
        <w:rPr>
          <w:i w:val="0"/>
          <w:vertAlign w:val="superscript"/>
        </w:rPr>
        <w:t>3</w:t>
      </w:r>
      <w:r>
        <w:t>.]</w:t>
      </w:r>
    </w:p>
    <w:p>
      <w:pPr>
        <w:pStyle w:val="Heading2"/>
      </w:pPr>
      <w:bookmarkStart w:id="75" w:name="_Toc390071167"/>
      <w:r>
        <w:rPr>
          <w:rStyle w:val="CharPartNo"/>
        </w:rPr>
        <w:t>Part 6</w:t>
      </w:r>
      <w:r>
        <w:t xml:space="preserve"> — </w:t>
      </w:r>
      <w:r>
        <w:rPr>
          <w:rStyle w:val="CharPartText"/>
        </w:rPr>
        <w:t>Recovery of tax</w:t>
      </w:r>
      <w:bookmarkEnd w:id="75"/>
    </w:p>
    <w:p>
      <w:pPr>
        <w:pStyle w:val="Heading3"/>
      </w:pPr>
      <w:bookmarkStart w:id="76" w:name="_Toc390071168"/>
      <w:r>
        <w:rPr>
          <w:rStyle w:val="CharDivNo"/>
        </w:rPr>
        <w:t>Division 1</w:t>
      </w:r>
      <w:r>
        <w:t xml:space="preserve"> — </w:t>
      </w:r>
      <w:r>
        <w:rPr>
          <w:rStyle w:val="CharDivText"/>
        </w:rPr>
        <w:t>Recovery generally</w:t>
      </w:r>
      <w:bookmarkEnd w:id="76"/>
    </w:p>
    <w:p>
      <w:pPr>
        <w:pStyle w:val="Heading5"/>
      </w:pPr>
      <w:bookmarkStart w:id="77" w:name="_Toc390071169"/>
      <w:r>
        <w:rPr>
          <w:rStyle w:val="CharSectno"/>
        </w:rPr>
        <w:t>60</w:t>
      </w:r>
      <w:r>
        <w:t>.</w:t>
      </w:r>
      <w:r>
        <w:tab/>
        <w:t>Recovery of unpaid tax</w:t>
      </w:r>
      <w:bookmarkEnd w:id="77"/>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78" w:name="_Toc390071170"/>
      <w:r>
        <w:rPr>
          <w:rStyle w:val="CharSectno"/>
        </w:rPr>
        <w:t>61</w:t>
      </w:r>
      <w:r>
        <w:t>.</w:t>
      </w:r>
      <w:r>
        <w:tab/>
        <w:t>Power of court to order payment of tax</w:t>
      </w:r>
      <w:bookmarkEnd w:id="78"/>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79" w:name="_Toc390071171"/>
      <w:r>
        <w:rPr>
          <w:rStyle w:val="CharSectno"/>
        </w:rPr>
        <w:t>62</w:t>
      </w:r>
      <w:r>
        <w:t>.</w:t>
      </w:r>
      <w:r>
        <w:tab/>
        <w:t>Recovery of costs and interest</w:t>
      </w:r>
      <w:bookmarkEnd w:id="79"/>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w:t>
      </w:r>
    </w:p>
    <w:p>
      <w:pPr>
        <w:pStyle w:val="Indenta"/>
      </w:pPr>
      <w:r>
        <w:tab/>
        <w:t>(b)</w:t>
      </w:r>
      <w:r>
        <w:tab/>
        <w:t>costs incurred for lodging a memorial under section 76 or 77;</w:t>
      </w:r>
    </w:p>
    <w:p>
      <w:pPr>
        <w:pStyle w:val="Indenta"/>
      </w:pPr>
      <w:r>
        <w:tab/>
        <w:t>(c)</w:t>
      </w:r>
      <w:r>
        <w:tab/>
        <w:t>interest payable under a tax payment arrangement; and</w:t>
      </w:r>
    </w:p>
    <w:p>
      <w:pPr>
        <w:pStyle w:val="Indenta"/>
      </w:pPr>
      <w:r>
        <w:tab/>
        <w:t>(d)</w:t>
      </w:r>
      <w:r>
        <w:tab/>
        <w:t>prescribed costs.</w:t>
      </w:r>
    </w:p>
    <w:p>
      <w:pPr>
        <w:pStyle w:val="Heading5"/>
      </w:pPr>
      <w:bookmarkStart w:id="80" w:name="_Toc390071172"/>
      <w:r>
        <w:rPr>
          <w:rStyle w:val="CharSectno"/>
        </w:rPr>
        <w:t>63</w:t>
      </w:r>
      <w:r>
        <w:t>.</w:t>
      </w:r>
      <w:r>
        <w:tab/>
        <w:t>Recovery of tax in cases of joint liability</w:t>
      </w:r>
      <w:bookmarkEnd w:id="80"/>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81" w:name="_Toc390071173"/>
      <w:r>
        <w:rPr>
          <w:rStyle w:val="CharSectno"/>
        </w:rPr>
        <w:t>64</w:t>
      </w:r>
      <w:r>
        <w:t>.</w:t>
      </w:r>
      <w:r>
        <w:tab/>
        <w:t>Notice of administrator’s appointment</w:t>
      </w:r>
      <w:bookmarkEnd w:id="81"/>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b/>
        </w:rPr>
        <w:t>“</w:t>
      </w:r>
      <w:r>
        <w:rPr>
          <w:rStyle w:val="CharDefText"/>
        </w:rPr>
        <w:t>statutory administrator of a taxpayer’s assets</w:t>
      </w:r>
      <w:r>
        <w:rPr>
          <w:b/>
        </w:rPr>
        <w:t>”</w:t>
      </w:r>
      <w:r>
        <w:t xml:space="preserve"> if the person is — </w:t>
      </w:r>
    </w:p>
    <w:p>
      <w:pPr>
        <w:pStyle w:val="Indenta"/>
      </w:pPr>
      <w:r>
        <w:tab/>
        <w:t>(a)</w:t>
      </w:r>
      <w:r>
        <w:tab/>
        <w:t>a liquidator of a corporate taxpayer;</w:t>
      </w:r>
    </w:p>
    <w:p>
      <w:pPr>
        <w:pStyle w:val="Indenta"/>
      </w:pPr>
      <w:r>
        <w:tab/>
        <w:t>(b)</w:t>
      </w:r>
      <w:r>
        <w:tab/>
        <w:t>a receiver or receiver and manager of the whole or a part of a taxpayer’s property;</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82" w:name="_Toc390071174"/>
      <w:r>
        <w:rPr>
          <w:rStyle w:val="CharSectno"/>
        </w:rPr>
        <w:t>65</w:t>
      </w:r>
      <w:r>
        <w:t>.</w:t>
      </w:r>
      <w:r>
        <w:tab/>
        <w:t>Power to garnishee</w:t>
      </w:r>
      <w:bookmarkEnd w:id="82"/>
    </w:p>
    <w:p>
      <w:pPr>
        <w:pStyle w:val="Subsection"/>
      </w:pPr>
      <w:r>
        <w:tab/>
        <w:t>(1)</w:t>
      </w:r>
      <w:r>
        <w:tab/>
        <w:t xml:space="preserve">The Commissioner may serve a garnishee notice on a person (the </w:t>
      </w:r>
      <w:r>
        <w:rPr>
          <w:b/>
        </w:rPr>
        <w:t>“</w:t>
      </w:r>
      <w:r>
        <w:rPr>
          <w:rStyle w:val="CharDefText"/>
        </w:rPr>
        <w:t>garnishee</w:t>
      </w:r>
      <w:r>
        <w:rPr>
          <w:b/>
        </w:rPr>
        <w:t>”</w:t>
      </w:r>
      <w:r>
        <w:t>) if the Commissioner believes on reasonable grounds that the garnishee — </w:t>
      </w:r>
    </w:p>
    <w:p>
      <w:pPr>
        <w:pStyle w:val="Indenta"/>
      </w:pPr>
      <w:r>
        <w:tab/>
        <w:t>(a)</w:t>
      </w:r>
      <w:r>
        <w:tab/>
        <w:t>holds or may receive money for or on account of a taxpayer;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83" w:name="_Toc390071175"/>
      <w:r>
        <w:rPr>
          <w:rStyle w:val="CharSectno"/>
        </w:rPr>
        <w:t>66</w:t>
      </w:r>
      <w:r>
        <w:t>.</w:t>
      </w:r>
      <w:r>
        <w:tab/>
        <w:t>Recovery from partnerships</w:t>
      </w:r>
      <w:bookmarkEnd w:id="83"/>
    </w:p>
    <w:p>
      <w:pPr>
        <w:pStyle w:val="Subsection"/>
      </w:pPr>
      <w:r>
        <w:tab/>
      </w:r>
      <w:r>
        <w:tab/>
        <w:t>If a tax liability is incurred by or on behalf of a partnership, the tax is recoverable jointly and severally from any one or more of the partners.</w:t>
      </w:r>
    </w:p>
    <w:p>
      <w:pPr>
        <w:pStyle w:val="Heading5"/>
      </w:pPr>
      <w:bookmarkStart w:id="84" w:name="_Toc390071176"/>
      <w:r>
        <w:rPr>
          <w:rStyle w:val="CharSectno"/>
        </w:rPr>
        <w:t>67</w:t>
      </w:r>
      <w:r>
        <w:t>.</w:t>
      </w:r>
      <w:r>
        <w:tab/>
        <w:t>Recovery from directors of body corporate</w:t>
      </w:r>
      <w:bookmarkEnd w:id="84"/>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85" w:name="_Toc390071177"/>
      <w:r>
        <w:rPr>
          <w:rStyle w:val="CharSectno"/>
        </w:rPr>
        <w:t>68</w:t>
      </w:r>
      <w:r>
        <w:t>.</w:t>
      </w:r>
      <w:r>
        <w:tab/>
        <w:t>Director of body corporate may apply</w:t>
      </w:r>
      <w:bookmarkEnd w:id="85"/>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86" w:name="_Toc390071178"/>
      <w:r>
        <w:rPr>
          <w:rStyle w:val="CharSectno"/>
        </w:rPr>
        <w:t>69</w:t>
      </w:r>
      <w:r>
        <w:t>.</w:t>
      </w:r>
      <w:r>
        <w:tab/>
        <w:t>Determination of application where there is a dispute</w:t>
      </w:r>
      <w:bookmarkEnd w:id="86"/>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87" w:name="_Toc390071179"/>
      <w:r>
        <w:rPr>
          <w:rStyle w:val="CharSectno"/>
        </w:rPr>
        <w:t>70</w:t>
      </w:r>
      <w:r>
        <w:t>.</w:t>
      </w:r>
      <w:r>
        <w:tab/>
        <w:t>Setting aside demand on other grounds</w:t>
      </w:r>
      <w:bookmarkEnd w:id="87"/>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88" w:name="_Toc390071180"/>
      <w:r>
        <w:rPr>
          <w:rStyle w:val="CharSectno"/>
        </w:rPr>
        <w:t>71</w:t>
      </w:r>
      <w:r>
        <w:t>.</w:t>
      </w:r>
      <w:r>
        <w:tab/>
        <w:t>Effect of order setting aside notice</w:t>
      </w:r>
      <w:bookmarkEnd w:id="88"/>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89" w:name="_Toc390071181"/>
      <w:r>
        <w:rPr>
          <w:rStyle w:val="CharSectno"/>
        </w:rPr>
        <w:t>72</w:t>
      </w:r>
      <w:r>
        <w:t>.</w:t>
      </w:r>
      <w:r>
        <w:tab/>
        <w:t>Dismissal of application</w:t>
      </w:r>
      <w:bookmarkEnd w:id="89"/>
    </w:p>
    <w:p>
      <w:pPr>
        <w:pStyle w:val="Subsection"/>
      </w:pPr>
      <w:r>
        <w:tab/>
      </w:r>
      <w:r>
        <w:tab/>
        <w:t>Unless the court makes, on an application under section 68, an order under section 69 or 70, the court is to dismiss the application.</w:t>
      </w:r>
    </w:p>
    <w:p>
      <w:pPr>
        <w:pStyle w:val="Heading5"/>
      </w:pPr>
      <w:bookmarkStart w:id="90" w:name="_Toc390071182"/>
      <w:r>
        <w:rPr>
          <w:rStyle w:val="CharSectno"/>
        </w:rPr>
        <w:t>73</w:t>
      </w:r>
      <w:r>
        <w:t>.</w:t>
      </w:r>
      <w:r>
        <w:tab/>
        <w:t>Order subject to conditions</w:t>
      </w:r>
      <w:bookmarkEnd w:id="90"/>
    </w:p>
    <w:p>
      <w:pPr>
        <w:pStyle w:val="Subsection"/>
      </w:pPr>
      <w:r>
        <w:tab/>
      </w:r>
      <w:r>
        <w:tab/>
        <w:t>An order under section 69 or 70 may be made subject to conditions.</w:t>
      </w:r>
    </w:p>
    <w:p>
      <w:pPr>
        <w:pStyle w:val="Heading5"/>
      </w:pPr>
      <w:bookmarkStart w:id="91" w:name="_Toc390071183"/>
      <w:r>
        <w:rPr>
          <w:rStyle w:val="CharSectno"/>
        </w:rPr>
        <w:t>74</w:t>
      </w:r>
      <w:r>
        <w:t>.</w:t>
      </w:r>
      <w:r>
        <w:tab/>
        <w:t>Costs where applicant successful</w:t>
      </w:r>
      <w:bookmarkEnd w:id="91"/>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92" w:name="_Toc390071184"/>
      <w:r>
        <w:rPr>
          <w:rStyle w:val="CharSectno"/>
        </w:rPr>
        <w:t>75</w:t>
      </w:r>
      <w:r>
        <w:t>.</w:t>
      </w:r>
      <w:r>
        <w:tab/>
        <w:t>Period of remedying default</w:t>
      </w:r>
      <w:bookmarkEnd w:id="92"/>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93" w:name="_Toc390071185"/>
      <w:r>
        <w:rPr>
          <w:rStyle w:val="CharDivNo"/>
        </w:rPr>
        <w:t>Division 2</w:t>
      </w:r>
      <w:r>
        <w:t xml:space="preserve"> — </w:t>
      </w:r>
      <w:r>
        <w:rPr>
          <w:rStyle w:val="CharDivText"/>
        </w:rPr>
        <w:t>Charges on land</w:t>
      </w:r>
      <w:bookmarkEnd w:id="93"/>
    </w:p>
    <w:p>
      <w:pPr>
        <w:pStyle w:val="Heading5"/>
      </w:pPr>
      <w:bookmarkStart w:id="94" w:name="_Toc390071186"/>
      <w:r>
        <w:rPr>
          <w:rStyle w:val="CharSectno"/>
        </w:rPr>
        <w:t>76A</w:t>
      </w:r>
      <w:r>
        <w:t>.</w:t>
      </w:r>
      <w:r>
        <w:tab/>
        <w:t>Meaning of terms used in this Division</w:t>
      </w:r>
      <w:bookmarkEnd w:id="94"/>
    </w:p>
    <w:p>
      <w:pPr>
        <w:pStyle w:val="Subsection"/>
      </w:pPr>
      <w:r>
        <w:tab/>
        <w:t>(1)</w:t>
      </w:r>
      <w:r>
        <w:tab/>
        <w:t>In this Division —</w:t>
      </w:r>
    </w:p>
    <w:p>
      <w:pPr>
        <w:pStyle w:val="Defstart"/>
      </w:pPr>
      <w:r>
        <w:rPr>
          <w:b/>
        </w:rPr>
        <w:tab/>
        <w:t>“</w:t>
      </w:r>
      <w:r>
        <w:rPr>
          <w:rStyle w:val="CharDefText"/>
        </w:rPr>
        <w:t>land</w:t>
      </w:r>
      <w:r>
        <w:rPr>
          <w:b/>
        </w:rPr>
        <w:t>”</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t>“</w:t>
      </w:r>
      <w:r>
        <w:rPr>
          <w:rStyle w:val="CharDefText"/>
        </w:rPr>
        <w:t>lodge</w:t>
      </w:r>
      <w:r>
        <w:rPr>
          <w:b/>
        </w:rPr>
        <w:t>”</w:t>
      </w:r>
      <w:r>
        <w:t xml:space="preserve"> means lodge or deliver for registration under a relevant land Act;</w:t>
      </w:r>
    </w:p>
    <w:p>
      <w:pPr>
        <w:pStyle w:val="Defstart"/>
      </w:pPr>
      <w:r>
        <w:rPr>
          <w:b/>
        </w:rPr>
        <w:tab/>
        <w:t>“</w:t>
      </w:r>
      <w:r>
        <w:rPr>
          <w:rStyle w:val="CharDefText"/>
        </w:rPr>
        <w:t>mining tenement</w:t>
      </w:r>
      <w:r>
        <w:rPr>
          <w:b/>
        </w:rPr>
        <w:t>”</w:t>
      </w:r>
      <w:r>
        <w:t xml:space="preserve"> has the meaning given in the </w:t>
      </w:r>
      <w:r>
        <w:rPr>
          <w:i/>
          <w:iCs/>
        </w:rPr>
        <w:t>Mining Act 1978</w:t>
      </w:r>
      <w:r>
        <w:t xml:space="preserve"> section 8(1);</w:t>
      </w:r>
    </w:p>
    <w:p>
      <w:pPr>
        <w:pStyle w:val="Defstart"/>
      </w:pPr>
      <w:r>
        <w:rPr>
          <w:b/>
        </w:rPr>
        <w:tab/>
        <w:t>“</w:t>
      </w:r>
      <w:r>
        <w:rPr>
          <w:rStyle w:val="CharDefText"/>
        </w:rPr>
        <w:t>real property</w:t>
      </w:r>
      <w:r>
        <w:rPr>
          <w:b/>
        </w:rPr>
        <w:t>”</w:t>
      </w:r>
      <w:r>
        <w:t xml:space="preserve"> means real property in respect of which an instrument may be lodged under the </w:t>
      </w:r>
      <w:r>
        <w:rPr>
          <w:i/>
        </w:rPr>
        <w:t>Registration of Deeds Act 1856</w:t>
      </w:r>
      <w:r>
        <w:t xml:space="preserve">; </w:t>
      </w:r>
    </w:p>
    <w:p>
      <w:pPr>
        <w:pStyle w:val="Defstart"/>
      </w:pPr>
      <w:r>
        <w:rPr>
          <w:b/>
        </w:rPr>
        <w:tab/>
        <w:t>“</w:t>
      </w:r>
      <w:r>
        <w:rPr>
          <w:rStyle w:val="CharDefText"/>
        </w:rPr>
        <w:t>register</w:t>
      </w:r>
      <w:r>
        <w:rPr>
          <w:b/>
        </w:rPr>
        <w:t>”</w:t>
      </w:r>
      <w:r>
        <w:t xml:space="preserve"> means register against land under a relevant land Act;</w:t>
      </w:r>
    </w:p>
    <w:p>
      <w:pPr>
        <w:pStyle w:val="Defstart"/>
      </w:pPr>
      <w:r>
        <w:tab/>
      </w:r>
      <w:r>
        <w:rPr>
          <w:b/>
        </w:rPr>
        <w:t>“</w:t>
      </w:r>
      <w:r>
        <w:rPr>
          <w:rStyle w:val="CharDefText"/>
        </w:rPr>
        <w:t>relevant land Act</w:t>
      </w:r>
      <w:r>
        <w:rPr>
          <w:b/>
          <w:bCs/>
        </w:rPr>
        <w: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t>“</w:t>
      </w:r>
      <w:r>
        <w:rPr>
          <w:rStyle w:val="CharDefText"/>
        </w:rPr>
        <w:t>TLA land</w:t>
      </w:r>
      <w:r>
        <w:rPr>
          <w:b/>
        </w:rPr>
        <w:t>”</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 xml:space="preserve">costs of the kinds referred to in section 62(a), (b) and (d) that are payable in relation to tax of that kind. </w:t>
      </w:r>
    </w:p>
    <w:p>
      <w:pPr>
        <w:pStyle w:val="Footnotesection"/>
      </w:pPr>
      <w:r>
        <w:tab/>
        <w:t>[Section 76A inserted by No. 31 of 2008 s. 4.]</w:t>
      </w:r>
    </w:p>
    <w:p>
      <w:pPr>
        <w:pStyle w:val="Heading5"/>
      </w:pPr>
      <w:bookmarkStart w:id="95" w:name="_Toc390071187"/>
      <w:r>
        <w:rPr>
          <w:rStyle w:val="CharSectno"/>
        </w:rPr>
        <w:t>76</w:t>
      </w:r>
      <w:r>
        <w:t>.</w:t>
      </w:r>
      <w:r>
        <w:tab/>
        <w:t>Charge on land to secure land tax</w:t>
      </w:r>
      <w:bookmarkEnd w:id="95"/>
    </w:p>
    <w:p>
      <w:pPr>
        <w:pStyle w:val="Subsection"/>
      </w:pPr>
      <w:r>
        <w:tab/>
        <w:t>(1)</w:t>
      </w:r>
      <w:r>
        <w:tab/>
        <w:t xml:space="preserve">Unpaid land tax is a first charge on the land for which the land tax is payable — </w:t>
      </w:r>
    </w:p>
    <w:p>
      <w:pPr>
        <w:pStyle w:val="Indenta"/>
      </w:pPr>
      <w:r>
        <w:tab/>
        <w:t>(a)</w:t>
      </w:r>
      <w:r>
        <w:tab/>
        <w:t>whether or not the land tax is due for payment; and</w:t>
      </w:r>
    </w:p>
    <w:p>
      <w:pPr>
        <w:pStyle w:val="Indenta"/>
      </w:pPr>
      <w:r>
        <w:tab/>
        <w:t>(b)</w:t>
      </w:r>
      <w:r>
        <w:tab/>
        <w:t>whether or not a memorial of the charge has been registered.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Subsection"/>
      </w:pPr>
      <w:r>
        <w:tab/>
        <w:t>(4)</w:t>
      </w:r>
      <w:r>
        <w:tab/>
        <w:t>A charge on land arising under subsection (1) takes priority over all other encumbrances on the land.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unimproved value of the lot or parcel bears to the total unimproved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by No. 31 of 2008 s. 5 and 26.]</w:t>
      </w:r>
    </w:p>
    <w:p>
      <w:pPr>
        <w:pStyle w:val="Heading5"/>
        <w:spacing w:before="240"/>
      </w:pPr>
      <w:bookmarkStart w:id="96" w:name="_Toc390071188"/>
      <w:r>
        <w:rPr>
          <w:rStyle w:val="CharSectno"/>
        </w:rPr>
        <w:t>77</w:t>
      </w:r>
      <w:r>
        <w:t>.</w:t>
      </w:r>
      <w:r>
        <w:tab/>
        <w:t>Charge on land to secure stamp duty</w:t>
      </w:r>
      <w:bookmarkEnd w:id="96"/>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(4)</w:t>
      </w:r>
      <w:r>
        <w:tab/>
        <w:t xml:space="preserve">The charge arises on the land referred to in subsection (1), (1a), (2) or (3) when the memorial is registered. </w:t>
      </w:r>
    </w:p>
    <w:p>
      <w:pPr>
        <w:pStyle w:val="Subsection"/>
        <w:spacing w:before="180"/>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spacing w:before="180"/>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spacing w:before="180"/>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97" w:name="_Toc390071189"/>
      <w:r>
        <w:rPr>
          <w:rStyle w:val="CharSectno"/>
        </w:rPr>
        <w:t>78</w:t>
      </w:r>
      <w:r>
        <w:t>.</w:t>
      </w:r>
      <w:r>
        <w:tab/>
        <w:t>Charge on subsequent mining tenement</w:t>
      </w:r>
      <w:bookmarkEnd w:id="97"/>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98" w:name="_Toc390071190"/>
      <w:r>
        <w:rPr>
          <w:rStyle w:val="CharSectno"/>
        </w:rPr>
        <w:t>79</w:t>
      </w:r>
      <w:r>
        <w:t>.</w:t>
      </w:r>
      <w:r>
        <w:tab/>
        <w:t>Priority of charge</w:t>
      </w:r>
      <w:bookmarkEnd w:id="98"/>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spacing w:before="240"/>
      </w:pPr>
      <w:bookmarkStart w:id="99" w:name="_Toc390071191"/>
      <w:r>
        <w:rPr>
          <w:rStyle w:val="CharSectno"/>
        </w:rPr>
        <w:t>80</w:t>
      </w:r>
      <w:r>
        <w:t>.</w:t>
      </w:r>
      <w:r>
        <w:tab/>
        <w:t>Certificate of land tax secured by charge</w:t>
      </w:r>
      <w:bookmarkEnd w:id="99"/>
    </w:p>
    <w:p>
      <w:pPr>
        <w:pStyle w:val="Subsection"/>
      </w:pPr>
      <w:r>
        <w:tab/>
        <w:t>(1)</w:t>
      </w:r>
      <w:r>
        <w:tab/>
        <w:t>The Commissioner must, on application by the owner or a purchaser of land, issue a certificate — </w:t>
      </w:r>
    </w:p>
    <w:p>
      <w:pPr>
        <w:pStyle w:val="Indenta"/>
        <w:spacing w:before="60"/>
      </w:pPr>
      <w:r>
        <w:tab/>
        <w:t>(a)</w:t>
      </w:r>
      <w:r>
        <w:tab/>
        <w:t>stating whether there is a charge on the land under section 76 or 77; and</w:t>
      </w:r>
    </w:p>
    <w:p>
      <w:pPr>
        <w:pStyle w:val="Indenta"/>
      </w:pPr>
      <w:r>
        <w:tab/>
        <w:t>(b)</w:t>
      </w:r>
      <w:r>
        <w:tab/>
        <w:t>if there is — </w:t>
      </w:r>
    </w:p>
    <w:p>
      <w:pPr>
        <w:pStyle w:val="Indenti"/>
        <w:spacing w:before="60"/>
      </w:pPr>
      <w:r>
        <w:tab/>
        <w:t>(i)</w:t>
      </w:r>
      <w:r>
        <w:tab/>
        <w:t>stating the amount of unpaid land tax or unpaid stamp duty secured by the charge;</w:t>
      </w:r>
    </w:p>
    <w:p>
      <w:pPr>
        <w:pStyle w:val="Indenti"/>
        <w:spacing w:before="60"/>
      </w:pPr>
      <w:r>
        <w:tab/>
        <w:t>(ii)</w:t>
      </w:r>
      <w:r>
        <w:tab/>
        <w:t>in the case of land tax that is yet to be assessed — estimating the amount to be assessed.</w:t>
      </w:r>
    </w:p>
    <w:p>
      <w:pPr>
        <w:pStyle w:val="Subsection"/>
      </w:pPr>
      <w:r>
        <w:tab/>
        <w:t>(2)</w:t>
      </w:r>
      <w:r>
        <w:tab/>
        <w:t xml:space="preserve">The certificate estops the Commissioner from — </w:t>
      </w:r>
    </w:p>
    <w:p>
      <w:pPr>
        <w:pStyle w:val="Indenta"/>
      </w:pPr>
      <w:r>
        <w:tab/>
        <w:t>(a)</w:t>
      </w:r>
      <w:r>
        <w:tab/>
        <w:t>asserting the existence of a charge not disclosed in the certificate; or</w:t>
      </w:r>
    </w:p>
    <w:p>
      <w:pPr>
        <w:pStyle w:val="Indenta"/>
      </w:pPr>
      <w:r>
        <w:tab/>
        <w:t>(b)</w:t>
      </w:r>
      <w:r>
        <w:tab/>
        <w:t>asserting that a charge covered (at the date of the certificate) an amount exceeding the amount disclosed in the certificate.</w:t>
      </w:r>
    </w:p>
    <w:p>
      <w:pPr>
        <w:pStyle w:val="Subsection"/>
      </w:pPr>
      <w:r>
        <w:tab/>
        <w:t>(3)</w:t>
      </w:r>
      <w:r>
        <w:tab/>
        <w:t>However, giving an estimate in the certificate of an amount of land tax does not estop the Commissioner from assessing a different amount of land tax if further relevant information becomes available.</w:t>
      </w:r>
    </w:p>
    <w:p>
      <w:pPr>
        <w:pStyle w:val="Subsection"/>
      </w:pPr>
      <w:r>
        <w:tab/>
        <w:t>(4)</w:t>
      </w:r>
      <w:r>
        <w:tab/>
        <w:t>The prescribed fees are payable for the issue of the certificate.</w:t>
      </w:r>
    </w:p>
    <w:p>
      <w:pPr>
        <w:pStyle w:val="Heading5"/>
      </w:pPr>
      <w:bookmarkStart w:id="100" w:name="_Toc390071192"/>
      <w:r>
        <w:rPr>
          <w:rStyle w:val="CharSectno"/>
        </w:rPr>
        <w:t>81</w:t>
      </w:r>
      <w:r>
        <w:t>.</w:t>
      </w:r>
      <w:r>
        <w:tab/>
        <w:t>Withdrawal of memorial to be given when tax paid</w:t>
      </w:r>
      <w:bookmarkEnd w:id="100"/>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9.]</w:t>
      </w:r>
    </w:p>
    <w:p>
      <w:pPr>
        <w:pStyle w:val="Heading5"/>
      </w:pPr>
      <w:bookmarkStart w:id="101" w:name="_Toc390071193"/>
      <w:r>
        <w:rPr>
          <w:rStyle w:val="CharSectno"/>
        </w:rPr>
        <w:t>82</w:t>
      </w:r>
      <w:r>
        <w:t>.</w:t>
      </w:r>
      <w:r>
        <w:tab/>
        <w:t>Memorials affecting TLA land or real property</w:t>
      </w:r>
      <w:bookmarkEnd w:id="101"/>
    </w:p>
    <w:p>
      <w:pPr>
        <w:pStyle w:val="Subsection"/>
      </w:pPr>
      <w:r>
        <w:tab/>
        <w:t>(1)</w:t>
      </w:r>
      <w:r>
        <w:tab/>
        <w:t xml:space="preserve">In this section — </w:t>
      </w:r>
    </w:p>
    <w:p>
      <w:pPr>
        <w:pStyle w:val="Defstart"/>
      </w:pPr>
      <w:r>
        <w:rPr>
          <w:b/>
        </w:rPr>
        <w:tab/>
        <w:t>“</w:t>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t>“</w:t>
      </w:r>
      <w:r>
        <w:rPr>
          <w:rStyle w:val="CharDefText"/>
        </w:rPr>
        <w:t>Registrar</w:t>
      </w:r>
      <w:r>
        <w:rPr>
          <w:b/>
        </w:rPr>
        <w:t>”</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102" w:name="_Toc390071194"/>
      <w:r>
        <w:rPr>
          <w:rStyle w:val="CharSectno"/>
        </w:rPr>
        <w:t>83</w:t>
      </w:r>
      <w:r>
        <w:t>.</w:t>
      </w:r>
      <w:r>
        <w:tab/>
        <w:t>Memorials affecting mining tenements</w:t>
      </w:r>
      <w:bookmarkEnd w:id="102"/>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103" w:name="_Toc390071195"/>
      <w:r>
        <w:rPr>
          <w:rStyle w:val="CharSectno"/>
        </w:rPr>
        <w:t>84</w:t>
      </w:r>
      <w:r>
        <w:t>.</w:t>
      </w:r>
      <w:r>
        <w:tab/>
        <w:t>Notification of mortgagees</w:t>
      </w:r>
      <w:bookmarkEnd w:id="103"/>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104" w:name="_Toc390071196"/>
      <w:r>
        <w:rPr>
          <w:rStyle w:val="CharSectno"/>
        </w:rPr>
        <w:t>85</w:t>
      </w:r>
      <w:r>
        <w:t>.</w:t>
      </w:r>
      <w:r>
        <w:tab/>
        <w:t>Orders for sale of land</w:t>
      </w:r>
      <w:bookmarkEnd w:id="104"/>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w:t>
      </w:r>
    </w:p>
    <w:p>
      <w:pPr>
        <w:pStyle w:val="Heading5"/>
      </w:pPr>
      <w:bookmarkStart w:id="105" w:name="_Toc390071197"/>
      <w:r>
        <w:rPr>
          <w:rStyle w:val="CharSectno"/>
        </w:rPr>
        <w:t>86</w:t>
      </w:r>
      <w:r>
        <w:t>.</w:t>
      </w:r>
      <w:r>
        <w:tab/>
        <w:t>Means of enforcement not limited to charge</w:t>
      </w:r>
      <w:bookmarkEnd w:id="105"/>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106" w:name="_Toc390071198"/>
      <w:r>
        <w:rPr>
          <w:rStyle w:val="CharPartNo"/>
        </w:rPr>
        <w:t>Part 7</w:t>
      </w:r>
      <w:r>
        <w:rPr>
          <w:rStyle w:val="CharDivNo"/>
        </w:rPr>
        <w:t xml:space="preserve"> </w:t>
      </w:r>
      <w:r>
        <w:t>—</w:t>
      </w:r>
      <w:r>
        <w:rPr>
          <w:rStyle w:val="CharDivText"/>
        </w:rPr>
        <w:t xml:space="preserve"> </w:t>
      </w:r>
      <w:r>
        <w:rPr>
          <w:rStyle w:val="CharPartText"/>
        </w:rPr>
        <w:t>Tax records</w:t>
      </w:r>
      <w:bookmarkEnd w:id="106"/>
    </w:p>
    <w:p>
      <w:pPr>
        <w:pStyle w:val="Heading5"/>
      </w:pPr>
      <w:bookmarkStart w:id="107" w:name="_Toc390071199"/>
      <w:r>
        <w:rPr>
          <w:rStyle w:val="CharSectno"/>
        </w:rPr>
        <w:t>87</w:t>
      </w:r>
      <w:r>
        <w:t>.</w:t>
      </w:r>
      <w:r>
        <w:tab/>
        <w:t>How long tax records are to be kept</w:t>
      </w:r>
      <w:bookmarkEnd w:id="107"/>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08" w:name="_Toc390071200"/>
      <w:r>
        <w:rPr>
          <w:rStyle w:val="CharSectno"/>
        </w:rPr>
        <w:t>88</w:t>
      </w:r>
      <w:r>
        <w:t>.</w:t>
      </w:r>
      <w:r>
        <w:tab/>
        <w:t>Form of tax records</w:t>
      </w:r>
      <w:bookmarkEnd w:id="108"/>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09" w:name="_Toc390071201"/>
      <w:r>
        <w:rPr>
          <w:rStyle w:val="CharSectno"/>
        </w:rPr>
        <w:t>89</w:t>
      </w:r>
      <w:r>
        <w:t>.</w:t>
      </w:r>
      <w:r>
        <w:tab/>
        <w:t>Where tax records are to be kept</w:t>
      </w:r>
      <w:bookmarkEnd w:id="109"/>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110" w:name="_Toc390071202"/>
      <w:r>
        <w:rPr>
          <w:rStyle w:val="CharSectno"/>
        </w:rPr>
        <w:t>90</w:t>
      </w:r>
      <w:r>
        <w:t>.</w:t>
      </w:r>
      <w:r>
        <w:tab/>
        <w:t>Failure to keep proper tax records</w:t>
      </w:r>
      <w:bookmarkEnd w:id="110"/>
    </w:p>
    <w:p>
      <w:pPr>
        <w:pStyle w:val="Subsection"/>
      </w:pPr>
      <w:r>
        <w:tab/>
      </w:r>
      <w:r>
        <w:tab/>
        <w:t>A person commits an offence if the person —</w:t>
      </w:r>
    </w:p>
    <w:p>
      <w:pPr>
        <w:pStyle w:val="Indenta"/>
      </w:pPr>
      <w:r>
        <w:tab/>
        <w:t>(a)</w:t>
      </w:r>
      <w:r>
        <w:tab/>
        <w:t>makes an entry in a tax record knowing the entry to be false or misleading in a material particular;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11" w:name="_Toc390071203"/>
      <w:r>
        <w:rPr>
          <w:rStyle w:val="CharSectno"/>
        </w:rPr>
        <w:t>91</w:t>
      </w:r>
      <w:r>
        <w:t>.</w:t>
      </w:r>
      <w:r>
        <w:tab/>
        <w:t>General and specific exemptions</w:t>
      </w:r>
      <w:bookmarkEnd w:id="111"/>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12" w:name="_Toc390071204"/>
      <w:r>
        <w:rPr>
          <w:rStyle w:val="CharPartNo"/>
        </w:rPr>
        <w:t>Part 8</w:t>
      </w:r>
      <w:r>
        <w:t xml:space="preserve"> — </w:t>
      </w:r>
      <w:r>
        <w:rPr>
          <w:rStyle w:val="CharPartText"/>
        </w:rPr>
        <w:t>Investigations</w:t>
      </w:r>
      <w:bookmarkEnd w:id="112"/>
    </w:p>
    <w:p>
      <w:pPr>
        <w:pStyle w:val="Heading3"/>
      </w:pPr>
      <w:bookmarkStart w:id="113" w:name="_Toc390071205"/>
      <w:r>
        <w:rPr>
          <w:rStyle w:val="CharDivNo"/>
        </w:rPr>
        <w:t>Division 1</w:t>
      </w:r>
      <w:r>
        <w:t xml:space="preserve"> — </w:t>
      </w:r>
      <w:r>
        <w:rPr>
          <w:rStyle w:val="CharDivText"/>
        </w:rPr>
        <w:t>Investigations</w:t>
      </w:r>
      <w:bookmarkEnd w:id="113"/>
    </w:p>
    <w:p>
      <w:pPr>
        <w:pStyle w:val="Heading5"/>
      </w:pPr>
      <w:bookmarkStart w:id="114" w:name="_Toc390071206"/>
      <w:r>
        <w:rPr>
          <w:rStyle w:val="CharSectno"/>
        </w:rPr>
        <w:t>92</w:t>
      </w:r>
      <w:r>
        <w:t>.</w:t>
      </w:r>
      <w:r>
        <w:tab/>
        <w:t>Investigations</w:t>
      </w:r>
      <w:bookmarkEnd w:id="114"/>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15" w:name="_Toc390071207"/>
      <w:r>
        <w:rPr>
          <w:rStyle w:val="CharSectno"/>
        </w:rPr>
        <w:t>93</w:t>
      </w:r>
      <w:r>
        <w:t>.</w:t>
      </w:r>
      <w:r>
        <w:tab/>
        <w:t>Investigations for the purposes of recognised revenue laws</w:t>
      </w:r>
      <w:bookmarkEnd w:id="115"/>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w:t>
      </w:r>
    </w:p>
    <w:p>
      <w:pPr>
        <w:pStyle w:val="Indenta"/>
      </w:pPr>
      <w:r>
        <w:tab/>
        <w:t>(b)</w:t>
      </w:r>
      <w:r>
        <w:tab/>
        <w:t>a reference to a tax liability is to be read as a reference to a tax liability under the recognised revenue law;</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16" w:name="_Toc390071208"/>
      <w:r>
        <w:rPr>
          <w:rStyle w:val="CharDivNo"/>
        </w:rPr>
        <w:t>Division 2</w:t>
      </w:r>
      <w:r>
        <w:t xml:space="preserve"> — </w:t>
      </w:r>
      <w:r>
        <w:rPr>
          <w:rStyle w:val="CharDivText"/>
        </w:rPr>
        <w:t>Obtaining tax records and other information</w:t>
      </w:r>
      <w:bookmarkEnd w:id="116"/>
    </w:p>
    <w:p>
      <w:pPr>
        <w:pStyle w:val="Heading5"/>
      </w:pPr>
      <w:bookmarkStart w:id="117" w:name="_Toc390071209"/>
      <w:r>
        <w:rPr>
          <w:rStyle w:val="CharSectno"/>
        </w:rPr>
        <w:t>94</w:t>
      </w:r>
      <w:r>
        <w:t>.</w:t>
      </w:r>
      <w:r>
        <w:tab/>
        <w:t>Requirements to provide information and tax records</w:t>
      </w:r>
      <w:bookmarkEnd w:id="117"/>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18" w:name="_Toc390071210"/>
      <w:r>
        <w:rPr>
          <w:rStyle w:val="CharSectno"/>
        </w:rPr>
        <w:t>95</w:t>
      </w:r>
      <w:r>
        <w:t>.</w:t>
      </w:r>
      <w:r>
        <w:tab/>
        <w:t>Power to require person to attend for examination</w:t>
      </w:r>
      <w:bookmarkEnd w:id="118"/>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19" w:name="_Toc390071211"/>
      <w:r>
        <w:rPr>
          <w:rStyle w:val="CharSectno"/>
        </w:rPr>
        <w:t>96</w:t>
      </w:r>
      <w:r>
        <w:t>.</w:t>
      </w:r>
      <w:r>
        <w:tab/>
        <w:t>Power to retain documents</w:t>
      </w:r>
      <w:bookmarkEnd w:id="119"/>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 xml:space="preserve">in the case of an instrument within the meaning of the </w:t>
      </w:r>
      <w:r>
        <w:rPr>
          <w:i/>
        </w:rPr>
        <w:t>Stamp Act 1921</w:t>
      </w:r>
      <w:r>
        <w:t xml:space="preserve"> — a party to the transaction to which the instrument relates; or</w:t>
      </w:r>
    </w:p>
    <w:p>
      <w:pPr>
        <w:pStyle w:val="Indenta"/>
      </w:pPr>
      <w:r>
        <w:tab/>
        <w:t>(b)</w:t>
      </w:r>
      <w:r>
        <w:tab/>
        <w:t>in any other case — the person who lodged the instrument or document with the Commissioner.</w:t>
      </w:r>
    </w:p>
    <w:p>
      <w:pPr>
        <w:pStyle w:val="Heading5"/>
      </w:pPr>
      <w:bookmarkStart w:id="120" w:name="_Toc390071212"/>
      <w:r>
        <w:rPr>
          <w:rStyle w:val="CharSectno"/>
        </w:rPr>
        <w:t>97</w:t>
      </w:r>
      <w:r>
        <w:t>.</w:t>
      </w:r>
      <w:r>
        <w:tab/>
        <w:t>Recording examination proceedings</w:t>
      </w:r>
      <w:bookmarkEnd w:id="120"/>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21" w:name="_Toc390071213"/>
      <w:r>
        <w:rPr>
          <w:rStyle w:val="CharDivNo"/>
        </w:rPr>
        <w:t>Division 3</w:t>
      </w:r>
      <w:r>
        <w:t xml:space="preserve"> — </w:t>
      </w:r>
      <w:r>
        <w:rPr>
          <w:rStyle w:val="CharDivText"/>
        </w:rPr>
        <w:t>Access to premises</w:t>
      </w:r>
      <w:bookmarkEnd w:id="121"/>
    </w:p>
    <w:p>
      <w:pPr>
        <w:pStyle w:val="Heading5"/>
      </w:pPr>
      <w:bookmarkStart w:id="122" w:name="_Toc390071214"/>
      <w:r>
        <w:rPr>
          <w:rStyle w:val="CharSectno"/>
        </w:rPr>
        <w:t>98</w:t>
      </w:r>
      <w:r>
        <w:t>.</w:t>
      </w:r>
      <w:r>
        <w:tab/>
        <w:t>Entry of premises</w:t>
      </w:r>
      <w:bookmarkEnd w:id="122"/>
    </w:p>
    <w:p>
      <w:pPr>
        <w:pStyle w:val="Subsection"/>
      </w:pPr>
      <w:r>
        <w:tab/>
        <w:t>(1)</w:t>
      </w:r>
      <w:r>
        <w:tab/>
        <w:t>Subject to subsection (2), an investigator may, for investigation purposes, enter and remain on premises to exercise his or her powers of investigation.</w:t>
      </w:r>
    </w:p>
    <w:p>
      <w:pPr>
        <w:pStyle w:val="Subsection"/>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23" w:name="_Toc390071215"/>
      <w:r>
        <w:rPr>
          <w:rStyle w:val="CharSectno"/>
        </w:rPr>
        <w:t>99</w:t>
      </w:r>
      <w:r>
        <w:t>.</w:t>
      </w:r>
      <w:r>
        <w:tab/>
        <w:t>Powers of investigator while on premises</w:t>
      </w:r>
      <w:bookmarkEnd w:id="123"/>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24" w:name="_Toc390071216"/>
      <w:r>
        <w:rPr>
          <w:rStyle w:val="CharSectno"/>
        </w:rPr>
        <w:t>100</w:t>
      </w:r>
      <w:r>
        <w:t>.</w:t>
      </w:r>
      <w:r>
        <w:tab/>
        <w:t>Warrants to enter premises</w:t>
      </w:r>
      <w:bookmarkEnd w:id="124"/>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25" w:name="_Toc390071217"/>
      <w:r>
        <w:rPr>
          <w:rStyle w:val="CharSectno"/>
        </w:rPr>
        <w:t>101</w:t>
      </w:r>
      <w:r>
        <w:t>.</w:t>
      </w:r>
      <w:r>
        <w:tab/>
        <w:t>Use of force</w:t>
      </w:r>
      <w:bookmarkEnd w:id="125"/>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26" w:name="_Toc390071218"/>
      <w:r>
        <w:rPr>
          <w:rStyle w:val="CharDivNo"/>
        </w:rPr>
        <w:t>Division 4</w:t>
      </w:r>
      <w:r>
        <w:t xml:space="preserve"> — </w:t>
      </w:r>
      <w:r>
        <w:rPr>
          <w:rStyle w:val="CharDivText"/>
        </w:rPr>
        <w:t>General provisions</w:t>
      </w:r>
      <w:bookmarkEnd w:id="126"/>
    </w:p>
    <w:p>
      <w:pPr>
        <w:pStyle w:val="Heading5"/>
      </w:pPr>
      <w:bookmarkStart w:id="127" w:name="_Toc390071219"/>
      <w:r>
        <w:rPr>
          <w:rStyle w:val="CharSectno"/>
        </w:rPr>
        <w:t>102</w:t>
      </w:r>
      <w:r>
        <w:t>.</w:t>
      </w:r>
      <w:r>
        <w:tab/>
        <w:t>Complying with information requirements</w:t>
      </w:r>
      <w:bookmarkEnd w:id="127"/>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28" w:name="_Toc390071220"/>
      <w:r>
        <w:rPr>
          <w:rStyle w:val="CharSectno"/>
        </w:rPr>
        <w:t>103</w:t>
      </w:r>
      <w:r>
        <w:t>.</w:t>
      </w:r>
      <w:r>
        <w:tab/>
        <w:t>Legal professional privilege</w:t>
      </w:r>
      <w:bookmarkEnd w:id="128"/>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29" w:name="_Toc390071221"/>
      <w:r>
        <w:rPr>
          <w:rStyle w:val="CharSectno"/>
        </w:rPr>
        <w:t>104</w:t>
      </w:r>
      <w:r>
        <w:t>.</w:t>
      </w:r>
      <w:r>
        <w:tab/>
        <w:t>Interaction with other Acts</w:t>
      </w:r>
      <w:bookmarkEnd w:id="129"/>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w:t>
      </w:r>
    </w:p>
    <w:p>
      <w:pPr>
        <w:pStyle w:val="Indenta"/>
      </w:pPr>
      <w:r>
        <w:tab/>
        <w:t>(b)</w:t>
      </w:r>
      <w:r>
        <w:tab/>
        <w:t>any law that would otherwise protect from disclosure information about payments made for the benefit of employees;</w:t>
      </w:r>
    </w:p>
    <w:p>
      <w:pPr>
        <w:pStyle w:val="Indenta"/>
      </w:pPr>
      <w:r>
        <w:tab/>
        <w:t>(c)</w:t>
      </w:r>
      <w:r>
        <w:tab/>
        <w:t>any law that would otherwise protect from disclosure information about the registration, transfer of registration or ownership of motor vehicles;</w:t>
      </w:r>
    </w:p>
    <w:p>
      <w:pPr>
        <w:pStyle w:val="Indenta"/>
      </w:pPr>
      <w:r>
        <w:tab/>
        <w:t>(d)</w:t>
      </w:r>
      <w:r>
        <w:tab/>
        <w:t>any law that would otherwise protect from disclosure information about the transfer or ownership of mining tenements or petroleum licences;</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30" w:name="_Toc390071222"/>
      <w:r>
        <w:rPr>
          <w:rStyle w:val="CharPartNo"/>
        </w:rPr>
        <w:t>Part 9</w:t>
      </w:r>
      <w:r>
        <w:rPr>
          <w:rStyle w:val="CharDivNo"/>
        </w:rPr>
        <w:t xml:space="preserve"> </w:t>
      </w:r>
      <w:r>
        <w:t>—</w:t>
      </w:r>
      <w:r>
        <w:rPr>
          <w:rStyle w:val="CharDivText"/>
        </w:rPr>
        <w:t xml:space="preserve"> </w:t>
      </w:r>
      <w:r>
        <w:rPr>
          <w:rStyle w:val="CharPartText"/>
        </w:rPr>
        <w:t>Offences</w:t>
      </w:r>
      <w:bookmarkEnd w:id="130"/>
    </w:p>
    <w:p>
      <w:pPr>
        <w:pStyle w:val="Heading5"/>
        <w:spacing w:before="240"/>
      </w:pPr>
      <w:bookmarkStart w:id="131" w:name="_Toc390071223"/>
      <w:r>
        <w:rPr>
          <w:rStyle w:val="CharSectno"/>
        </w:rPr>
        <w:t>105</w:t>
      </w:r>
      <w:r>
        <w:t>.</w:t>
      </w:r>
      <w:r>
        <w:tab/>
        <w:t>General penalty provision</w:t>
      </w:r>
      <w:bookmarkEnd w:id="131"/>
    </w:p>
    <w:p>
      <w:pPr>
        <w:pStyle w:val="Subsection"/>
        <w:spacing w:before="180"/>
      </w:pPr>
      <w:r>
        <w:tab/>
        <w:t>(1)</w:t>
      </w:r>
      <w:r>
        <w:tab/>
        <w:t xml:space="preserve">A person who commits an offence against a taxation Act for which no penalty is specifically provided is liable on conviction to a penalty not exceeding $20 000. </w:t>
      </w:r>
    </w:p>
    <w:p>
      <w:pPr>
        <w:pStyle w:val="Subsection"/>
        <w:spacing w:before="18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240"/>
      </w:pPr>
      <w:bookmarkStart w:id="132" w:name="_Toc390071224"/>
      <w:r>
        <w:rPr>
          <w:rStyle w:val="CharSectno"/>
        </w:rPr>
        <w:t>106</w:t>
      </w:r>
      <w:r>
        <w:t>.</w:t>
      </w:r>
      <w:r>
        <w:tab/>
        <w:t>Evasion of tax</w:t>
      </w:r>
      <w:bookmarkEnd w:id="132"/>
    </w:p>
    <w:p>
      <w:pPr>
        <w:pStyle w:val="Subsection"/>
        <w:spacing w:before="180"/>
      </w:pPr>
      <w:r>
        <w:tab/>
        <w:t>(1)</w:t>
      </w:r>
      <w:r>
        <w:tab/>
        <w:t>A person who, by an intentional act or omission, evades or attempts to evade paying tax that the person is liable to pay, commits an offence.</w:t>
      </w:r>
    </w:p>
    <w:p>
      <w:pPr>
        <w:pStyle w:val="Subsection"/>
        <w:spacing w:before="18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240"/>
      </w:pPr>
      <w:bookmarkStart w:id="133" w:name="_Toc390071225"/>
      <w:r>
        <w:rPr>
          <w:rStyle w:val="CharSectno"/>
        </w:rPr>
        <w:t>107</w:t>
      </w:r>
      <w:r>
        <w:t>.</w:t>
      </w:r>
      <w:r>
        <w:tab/>
        <w:t>False or misleading information</w:t>
      </w:r>
      <w:bookmarkEnd w:id="133"/>
    </w:p>
    <w:p>
      <w:pPr>
        <w:pStyle w:val="Subsection"/>
        <w:spacing w:before="18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keepNext/>
        <w:keepLines/>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34" w:name="_Toc390071226"/>
      <w:r>
        <w:rPr>
          <w:rStyle w:val="CharSectno"/>
        </w:rPr>
        <w:t>108</w:t>
      </w:r>
      <w:r>
        <w:t>.</w:t>
      </w:r>
      <w:r>
        <w:tab/>
        <w:t>Obstructing or misleading an investigator</w:t>
      </w:r>
      <w:bookmarkEnd w:id="134"/>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35" w:name="_Toc390071227"/>
      <w:r>
        <w:rPr>
          <w:rStyle w:val="CharSectno"/>
        </w:rPr>
        <w:t>109</w:t>
      </w:r>
      <w:r>
        <w:t>.</w:t>
      </w:r>
      <w:r>
        <w:tab/>
        <w:t>Offence by body corporate</w:t>
      </w:r>
      <w:bookmarkEnd w:id="135"/>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36" w:name="_Toc390071228"/>
      <w:r>
        <w:rPr>
          <w:rStyle w:val="CharSectno"/>
        </w:rPr>
        <w:t>110</w:t>
      </w:r>
      <w:r>
        <w:t>.</w:t>
      </w:r>
      <w:r>
        <w:tab/>
        <w:t>Criminal penalties not to affect civil liabilities</w:t>
      </w:r>
      <w:bookmarkEnd w:id="136"/>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37" w:name="_Toc390071229"/>
      <w:r>
        <w:rPr>
          <w:rStyle w:val="CharSectno"/>
        </w:rPr>
        <w:t>111</w:t>
      </w:r>
      <w:r>
        <w:t>.</w:t>
      </w:r>
      <w:r>
        <w:tab/>
        <w:t>Time for commencing prosecutions</w:t>
      </w:r>
      <w:bookmarkEnd w:id="137"/>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38" w:name="_Toc390071230"/>
      <w:r>
        <w:rPr>
          <w:rStyle w:val="CharSectno"/>
        </w:rPr>
        <w:t>112</w:t>
      </w:r>
      <w:r>
        <w:t>.</w:t>
      </w:r>
      <w:r>
        <w:tab/>
        <w:t>Authority required for prosecution</w:t>
      </w:r>
      <w:bookmarkEnd w:id="138"/>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39" w:name="_Toc390071231"/>
      <w:r>
        <w:rPr>
          <w:rStyle w:val="CharSectno"/>
        </w:rPr>
        <w:t>113</w:t>
      </w:r>
      <w:r>
        <w:t>.</w:t>
      </w:r>
      <w:r>
        <w:tab/>
        <w:t>General defence</w:t>
      </w:r>
      <w:bookmarkEnd w:id="139"/>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140" w:name="_Toc390071232"/>
      <w:r>
        <w:rPr>
          <w:rStyle w:val="CharPartNo"/>
        </w:rPr>
        <w:t>Part 10</w:t>
      </w:r>
      <w:r>
        <w:t xml:space="preserve"> — </w:t>
      </w:r>
      <w:r>
        <w:rPr>
          <w:rStyle w:val="CharPartText"/>
        </w:rPr>
        <w:t>Miscellaneous</w:t>
      </w:r>
      <w:bookmarkEnd w:id="140"/>
    </w:p>
    <w:p>
      <w:pPr>
        <w:pStyle w:val="Heading3"/>
      </w:pPr>
      <w:bookmarkStart w:id="141" w:name="_Toc390071233"/>
      <w:r>
        <w:rPr>
          <w:rStyle w:val="CharDivNo"/>
        </w:rPr>
        <w:t>Division 1</w:t>
      </w:r>
      <w:r>
        <w:t xml:space="preserve"> — </w:t>
      </w:r>
      <w:r>
        <w:rPr>
          <w:rStyle w:val="CharDivText"/>
        </w:rPr>
        <w:t>Confidentiality</w:t>
      </w:r>
      <w:bookmarkEnd w:id="141"/>
    </w:p>
    <w:p>
      <w:pPr>
        <w:pStyle w:val="Heading5"/>
      </w:pPr>
      <w:bookmarkStart w:id="142" w:name="_Toc390071234"/>
      <w:r>
        <w:rPr>
          <w:rStyle w:val="CharSectno"/>
        </w:rPr>
        <w:t>114</w:t>
      </w:r>
      <w:r>
        <w:t>.</w:t>
      </w:r>
      <w:r>
        <w:tab/>
        <w:t>Confidentiality</w:t>
      </w:r>
      <w:bookmarkEnd w:id="142"/>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w:t>
      </w:r>
    </w:p>
    <w:p>
      <w:pPr>
        <w:pStyle w:val="Indenta"/>
      </w:pPr>
      <w:r>
        <w:tab/>
        <w:t>(b)</w:t>
      </w:r>
      <w:r>
        <w:tab/>
        <w:t>as required or allowed by this Act or another law that specifically or by necessary implication overrides the duty of confidentiality imposed by this section;</w:t>
      </w:r>
    </w:p>
    <w:p>
      <w:pPr>
        <w:pStyle w:val="Indenta"/>
      </w:pPr>
      <w:r>
        <w:tab/>
        <w:t>(c)</w:t>
      </w:r>
      <w:r>
        <w:tab/>
        <w:t>as authorised by the person to whose affairs the information or material relates; or</w:t>
      </w:r>
    </w:p>
    <w:p>
      <w:pPr>
        <w:pStyle w:val="Indenta"/>
      </w:pPr>
      <w:r>
        <w:tab/>
        <w:t>(d)</w:t>
      </w:r>
      <w:r>
        <w:tab/>
        <w:t>for the purpose of proceedings, or a report of proceedings, arising out of a taxation Act.</w:t>
      </w:r>
    </w:p>
    <w:p>
      <w:pPr>
        <w:pStyle w:val="Penstart"/>
      </w:pPr>
      <w:r>
        <w:tab/>
        <w:t>Penalty:  $20 000.</w:t>
      </w:r>
    </w:p>
    <w:p>
      <w:pPr>
        <w:pStyle w:val="Subsection"/>
      </w:pPr>
      <w:r>
        <w:tab/>
        <w:t>(3)</w:t>
      </w:r>
      <w:r>
        <w:tab/>
        <w:t>This section does not prevent — </w:t>
      </w:r>
    </w:p>
    <w:p>
      <w:pPr>
        <w:pStyle w:val="Indenta"/>
        <w:spacing w:before="70"/>
      </w:pPr>
      <w:r>
        <w:tab/>
        <w:t>(a)</w:t>
      </w:r>
      <w:r>
        <w:tab/>
        <w:t>the disclosure of information or material in connection with the investigation or prosecution of a criminal offence to —</w:t>
      </w:r>
    </w:p>
    <w:p>
      <w:pPr>
        <w:pStyle w:val="Indenti"/>
        <w:spacing w:before="70"/>
      </w:pPr>
      <w:r>
        <w:tab/>
        <w:t>(i)</w:t>
      </w:r>
      <w:r>
        <w:tab/>
        <w:t>the Director of Public Prosecutions for a State or the Commonwealth;</w:t>
      </w:r>
    </w:p>
    <w:p>
      <w:pPr>
        <w:pStyle w:val="Indenti"/>
        <w:spacing w:before="70"/>
      </w:pPr>
      <w:r>
        <w:tab/>
        <w:t>(ii)</w:t>
      </w:r>
      <w:r>
        <w:tab/>
        <w:t>an officer of the police force of a State or the Commonwealth;</w:t>
      </w:r>
    </w:p>
    <w:p>
      <w:pPr>
        <w:pStyle w:val="Indenti"/>
        <w:spacing w:before="70"/>
      </w:pPr>
      <w:r>
        <w:tab/>
        <w:t>(iii)</w:t>
      </w:r>
      <w:r>
        <w:tab/>
        <w:t>an officer of the Australian Securities and Investment Commission; or</w:t>
      </w:r>
    </w:p>
    <w:p>
      <w:pPr>
        <w:pStyle w:val="Indenti"/>
        <w:spacing w:before="70"/>
      </w:pPr>
      <w:r>
        <w:tab/>
        <w:t>(iv)</w:t>
      </w:r>
      <w:r>
        <w:tab/>
        <w:t>an officer of another law enforcement agency established under State or Commonwealth law that is authorised by regulation to receive confidential information under this paragraph;</w:t>
      </w:r>
    </w:p>
    <w:p>
      <w:pPr>
        <w:pStyle w:val="Indenta"/>
        <w:spacing w:before="70"/>
      </w:pPr>
      <w:r>
        <w:tab/>
        <w:t>(b)</w:t>
      </w:r>
      <w:r>
        <w:tab/>
        <w:t>the disclosure of information or material to an official administering a taxation law of the Commonwealth or another State for a purpose related to the administration of such a law;</w:t>
      </w:r>
    </w:p>
    <w:p>
      <w:pPr>
        <w:pStyle w:val="Indenta"/>
        <w:spacing w:before="70"/>
      </w:pPr>
      <w:r>
        <w:tab/>
        <w:t>(c)</w:t>
      </w:r>
      <w:r>
        <w:tab/>
        <w:t>the disclosure of information or material to the Western Australian Department of Treasury and Finance;</w:t>
      </w:r>
    </w:p>
    <w:p>
      <w:pPr>
        <w:pStyle w:val="Indenta"/>
        <w:spacing w:before="70"/>
      </w:pPr>
      <w:r>
        <w:tab/>
        <w:t>(d)</w:t>
      </w:r>
      <w:r>
        <w:tab/>
        <w:t>the disclosure of information about the ownership, sale and capital and rental value of property to the Valuer</w:t>
      </w:r>
      <w:r>
        <w:noBreakHyphen/>
        <w:t>General;</w:t>
      </w:r>
    </w:p>
    <w:p>
      <w:pPr>
        <w:pStyle w:val="Indenta"/>
        <w:spacing w:before="70"/>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spacing w:before="70"/>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 No. 31 of 2008 s. 27.]</w:t>
      </w:r>
    </w:p>
    <w:p>
      <w:pPr>
        <w:pStyle w:val="Heading3"/>
      </w:pPr>
      <w:bookmarkStart w:id="143" w:name="_Toc390071235"/>
      <w:r>
        <w:rPr>
          <w:rStyle w:val="CharDivNo"/>
        </w:rPr>
        <w:t>Division 2</w:t>
      </w:r>
      <w:r>
        <w:t xml:space="preserve"> — </w:t>
      </w:r>
      <w:r>
        <w:rPr>
          <w:rStyle w:val="CharDivText"/>
        </w:rPr>
        <w:t>Service of documents</w:t>
      </w:r>
      <w:bookmarkEnd w:id="143"/>
    </w:p>
    <w:p>
      <w:pPr>
        <w:pStyle w:val="Heading5"/>
      </w:pPr>
      <w:bookmarkStart w:id="144" w:name="_Toc390071236"/>
      <w:r>
        <w:rPr>
          <w:rStyle w:val="CharSectno"/>
        </w:rPr>
        <w:t>115</w:t>
      </w:r>
      <w:r>
        <w:t>.</w:t>
      </w:r>
      <w:r>
        <w:tab/>
        <w:t>Service on the Commissioner</w:t>
      </w:r>
      <w:bookmarkEnd w:id="144"/>
    </w:p>
    <w:p>
      <w:pPr>
        <w:pStyle w:val="Subsection"/>
      </w:pPr>
      <w:r>
        <w:rPr>
          <w:b/>
        </w:rPr>
        <w:tab/>
      </w:r>
      <w:r>
        <w:rPr>
          <w:b/>
        </w:rPr>
        <w:tab/>
      </w:r>
      <w:r>
        <w:t>A document may be served on the Commissioner — </w:t>
      </w:r>
    </w:p>
    <w:p>
      <w:pPr>
        <w:pStyle w:val="Indenta"/>
      </w:pPr>
      <w:r>
        <w:tab/>
        <w:t>(a)</w:t>
      </w:r>
      <w:r>
        <w:tab/>
        <w:t>by lodging the document at the Commissioner’s office;</w:t>
      </w:r>
    </w:p>
    <w:p>
      <w:pPr>
        <w:pStyle w:val="Indenta"/>
      </w:pPr>
      <w:r>
        <w:tab/>
        <w:t>(b)</w:t>
      </w:r>
      <w:r>
        <w:tab/>
        <w:t>by prepaid post;</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45" w:name="_Toc390071237"/>
      <w:r>
        <w:rPr>
          <w:rStyle w:val="CharSectno"/>
        </w:rPr>
        <w:t>116</w:t>
      </w:r>
      <w:r>
        <w:t>.</w:t>
      </w:r>
      <w:r>
        <w:tab/>
        <w:t>Service on agent or representative of taxpayer</w:t>
      </w:r>
      <w:bookmarkEnd w:id="145"/>
    </w:p>
    <w:p>
      <w:pPr>
        <w:pStyle w:val="Subsection"/>
      </w:pPr>
      <w:r>
        <w:tab/>
        <w:t>(1)</w:t>
      </w:r>
      <w:r>
        <w:tab/>
        <w:t>A notice or other document to be served on taxpayers who are jointly liable for land tax or debits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Heading5"/>
      </w:pPr>
      <w:bookmarkStart w:id="146" w:name="_Toc390071238"/>
      <w:r>
        <w:rPr>
          <w:rStyle w:val="CharSectno"/>
        </w:rPr>
        <w:t>117</w:t>
      </w:r>
      <w:r>
        <w:t>.</w:t>
      </w:r>
      <w:r>
        <w:tab/>
        <w:t>Method of service by Commissioner</w:t>
      </w:r>
      <w:bookmarkEnd w:id="146"/>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w:t>
      </w:r>
    </w:p>
    <w:p>
      <w:pPr>
        <w:pStyle w:val="Indenta"/>
      </w:pPr>
      <w:r>
        <w:tab/>
        <w:t>(b)</w:t>
      </w:r>
      <w:r>
        <w:tab/>
        <w:t>leaving it for the person to be served at the person’s place of residence or business;</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w:t>
      </w:r>
    </w:p>
    <w:p>
      <w:pPr>
        <w:pStyle w:val="Indenta"/>
      </w:pPr>
      <w:r>
        <w:tab/>
        <w:t>(d)</w:t>
      </w:r>
      <w:r>
        <w:tab/>
        <w:t>leaving it for collection by the person to be served, or that person’s agent, in a collection box maintained at the Commissioner’s office;</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if the notice or document is sent by post to an address outside Australia — a further 10 business days are to be allowed.</w:t>
      </w:r>
    </w:p>
    <w:p>
      <w:pPr>
        <w:pStyle w:val="Heading5"/>
      </w:pPr>
      <w:bookmarkStart w:id="147" w:name="_Toc390071239"/>
      <w:r>
        <w:rPr>
          <w:rStyle w:val="CharSectno"/>
        </w:rPr>
        <w:t>118</w:t>
      </w:r>
      <w:r>
        <w:t>.</w:t>
      </w:r>
      <w:r>
        <w:tab/>
        <w:t>Non</w:t>
      </w:r>
      <w:r>
        <w:noBreakHyphen/>
        <w:t>exclusivity of this Division</w:t>
      </w:r>
      <w:bookmarkEnd w:id="147"/>
    </w:p>
    <w:p>
      <w:pPr>
        <w:pStyle w:val="Subsection"/>
      </w:pPr>
      <w:r>
        <w:tab/>
      </w:r>
      <w:r>
        <w:tab/>
        <w:t>The provisions of this Division are in addition to, and do not derogate from, other provisions of an enactment for facilitating service.</w:t>
      </w:r>
    </w:p>
    <w:p>
      <w:pPr>
        <w:pStyle w:val="Heading3"/>
      </w:pPr>
      <w:bookmarkStart w:id="148" w:name="_Toc390071240"/>
      <w:r>
        <w:rPr>
          <w:rStyle w:val="CharDivNo"/>
        </w:rPr>
        <w:t>Division 3</w:t>
      </w:r>
      <w:r>
        <w:t xml:space="preserve"> — </w:t>
      </w:r>
      <w:r>
        <w:rPr>
          <w:rStyle w:val="CharDivText"/>
        </w:rPr>
        <w:t>Evidentiary provisions</w:t>
      </w:r>
      <w:bookmarkEnd w:id="148"/>
    </w:p>
    <w:p>
      <w:pPr>
        <w:pStyle w:val="Heading5"/>
      </w:pPr>
      <w:bookmarkStart w:id="149" w:name="_Toc390071241"/>
      <w:r>
        <w:rPr>
          <w:rStyle w:val="CharSectno"/>
        </w:rPr>
        <w:t>119</w:t>
      </w:r>
      <w:r>
        <w:t>.</w:t>
      </w:r>
      <w:r>
        <w:tab/>
        <w:t>Evidentiary value of assessment notice</w:t>
      </w:r>
      <w:bookmarkEnd w:id="149"/>
    </w:p>
    <w:p>
      <w:pPr>
        <w:pStyle w:val="Subsection"/>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w:t>
      </w:r>
    </w:p>
    <w:p>
      <w:pPr>
        <w:pStyle w:val="Indenta"/>
      </w:pPr>
      <w:r>
        <w:tab/>
        <w:t>(b)</w:t>
      </w:r>
      <w:r>
        <w:tab/>
        <w:t>the amount of tax assessed;</w:t>
      </w:r>
    </w:p>
    <w:p>
      <w:pPr>
        <w:pStyle w:val="Indenta"/>
      </w:pPr>
      <w:r>
        <w:tab/>
        <w:t>(c)</w:t>
      </w:r>
      <w:r>
        <w:tab/>
        <w:t>the identity of the person liable for the tax;</w:t>
      </w:r>
    </w:p>
    <w:p>
      <w:pPr>
        <w:pStyle w:val="Indenta"/>
      </w:pPr>
      <w:r>
        <w:tab/>
        <w:t>(d)</w:t>
      </w:r>
      <w:r>
        <w:tab/>
        <w:t>the due date for paying the tax; and</w:t>
      </w:r>
    </w:p>
    <w:p>
      <w:pPr>
        <w:pStyle w:val="Indenta"/>
      </w:pPr>
      <w:r>
        <w:tab/>
        <w:t>(e)</w:t>
      </w:r>
      <w:r>
        <w:tab/>
        <w:t>any other fact stated in the notice.</w:t>
      </w:r>
    </w:p>
    <w:p>
      <w:pPr>
        <w:pStyle w:val="Heading5"/>
      </w:pPr>
      <w:bookmarkStart w:id="150" w:name="_Toc390071242"/>
      <w:r>
        <w:rPr>
          <w:rStyle w:val="CharSectno"/>
        </w:rPr>
        <w:t>120</w:t>
      </w:r>
      <w:r>
        <w:t>.</w:t>
      </w:r>
      <w:r>
        <w:tab/>
        <w:t>Evidentiary status of copies and reproductions of documents</w:t>
      </w:r>
      <w:bookmarkEnd w:id="150"/>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pPr>
      <w:bookmarkStart w:id="151" w:name="_Toc390071243"/>
      <w:r>
        <w:rPr>
          <w:rStyle w:val="CharSectno"/>
        </w:rPr>
        <w:t>121</w:t>
      </w:r>
      <w:r>
        <w:t>.</w:t>
      </w:r>
      <w:r>
        <w:tab/>
        <w:t>Evidentiary certificates</w:t>
      </w:r>
      <w:bookmarkEnd w:id="151"/>
    </w:p>
    <w:p>
      <w:pPr>
        <w:pStyle w:val="Subsection"/>
      </w:pPr>
      <w:r>
        <w:tab/>
        <w:t>(1)</w:t>
      </w:r>
      <w:r>
        <w:tab/>
        <w:t>The Commissioner may issue —</w:t>
      </w:r>
    </w:p>
    <w:p>
      <w:pPr>
        <w:pStyle w:val="Indenta"/>
      </w:pPr>
      <w:r>
        <w:tab/>
        <w:t>(a)</w:t>
      </w:r>
      <w:r>
        <w:tab/>
        <w:t>a certificate of the making of an assessment including details of the assessment;</w:t>
      </w:r>
    </w:p>
    <w:p>
      <w:pPr>
        <w:pStyle w:val="Indenta"/>
      </w:pPr>
      <w:r>
        <w:tab/>
        <w:t>(b)</w:t>
      </w:r>
      <w:r>
        <w:tab/>
        <w:t>a certificate stating that an assessment was served on a taxpayer on a particular date by a specified means;</w:t>
      </w:r>
    </w:p>
    <w:p>
      <w:pPr>
        <w:pStyle w:val="Indenta"/>
      </w:pPr>
      <w:r>
        <w:tab/>
        <w:t>(c)</w:t>
      </w:r>
      <w:r>
        <w:tab/>
        <w:t>a certificate stating that a person identified in the certificate was authorised by delegation under this Act to exercise specified functions of the Commissioner on a specified date or over a specified period;</w:t>
      </w:r>
    </w:p>
    <w:p>
      <w:pPr>
        <w:pStyle w:val="Indenta"/>
      </w:pPr>
      <w:r>
        <w:tab/>
        <w:t>(d)</w:t>
      </w:r>
      <w:r>
        <w:tab/>
        <w:t>a certificate stating that a return had not been received at the Commissioner’s office by a specified date;</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152" w:name="_Toc390071244"/>
      <w:r>
        <w:rPr>
          <w:rStyle w:val="CharSectno"/>
        </w:rPr>
        <w:t>122</w:t>
      </w:r>
      <w:r>
        <w:t>.</w:t>
      </w:r>
      <w:r>
        <w:tab/>
        <w:t>Extracts from register of delegates</w:t>
      </w:r>
      <w:bookmarkEnd w:id="152"/>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53" w:name="_Toc390071245"/>
      <w:r>
        <w:rPr>
          <w:rStyle w:val="CharSectno"/>
        </w:rPr>
        <w:t>123</w:t>
      </w:r>
      <w:r>
        <w:t>.</w:t>
      </w:r>
      <w:r>
        <w:tab/>
        <w:t>Averments in charges</w:t>
      </w:r>
      <w:bookmarkEnd w:id="153"/>
    </w:p>
    <w:p>
      <w:pPr>
        <w:pStyle w:val="Subsection"/>
      </w:pPr>
      <w:r>
        <w:rPr>
          <w:b/>
        </w:rPr>
        <w:tab/>
      </w:r>
      <w:r>
        <w:rPr>
          <w:b/>
        </w:rPr>
        <w:tab/>
      </w:r>
      <w:r>
        <w:t>In proceedings for an offence against a taxation Act —</w:t>
      </w:r>
    </w:p>
    <w:p>
      <w:pPr>
        <w:pStyle w:val="Indenta"/>
        <w:spacing w:before="60"/>
      </w:pPr>
      <w:r>
        <w:tab/>
        <w:t>(a)</w:t>
      </w:r>
      <w:r>
        <w:tab/>
        <w:t>an allegation in the charge that the accused is a party to a specified instrument or transaction is, in the absence of evidence to the contrary, evidence of the alleged fact;</w:t>
      </w:r>
    </w:p>
    <w:p>
      <w:pPr>
        <w:pStyle w:val="Indenta"/>
        <w:spacing w:before="60"/>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spacing w:before="60"/>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154" w:name="_Toc390071246"/>
      <w:r>
        <w:rPr>
          <w:rStyle w:val="CharSectno"/>
        </w:rPr>
        <w:t>124</w:t>
      </w:r>
      <w:r>
        <w:t>.</w:t>
      </w:r>
      <w:r>
        <w:tab/>
        <w:t>Presumption of regularity</w:t>
      </w:r>
      <w:bookmarkEnd w:id="154"/>
    </w:p>
    <w:p>
      <w:pPr>
        <w:pStyle w:val="Subsection"/>
        <w:spacing w:before="15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50"/>
      </w:pPr>
      <w:r>
        <w:tab/>
        <w:t>(2)</w:t>
      </w:r>
      <w:r>
        <w:tab/>
        <w:t>In proceedings under a taxation Act, compliance by the Commissioner or an investigator with the requirements of the taxation Acts is presumed, in the absence of evidence to the contrary.</w:t>
      </w:r>
    </w:p>
    <w:p>
      <w:pPr>
        <w:pStyle w:val="Heading3"/>
      </w:pPr>
      <w:bookmarkStart w:id="155" w:name="_Toc390071247"/>
      <w:r>
        <w:rPr>
          <w:rStyle w:val="CharDivNo"/>
        </w:rPr>
        <w:t>Division 4</w:t>
      </w:r>
      <w:r>
        <w:t xml:space="preserve"> — </w:t>
      </w:r>
      <w:r>
        <w:rPr>
          <w:rStyle w:val="CharDivText"/>
        </w:rPr>
        <w:t>Exemption from personal liability</w:t>
      </w:r>
      <w:bookmarkEnd w:id="155"/>
    </w:p>
    <w:p>
      <w:pPr>
        <w:pStyle w:val="Heading5"/>
      </w:pPr>
      <w:bookmarkStart w:id="156" w:name="_Toc390071248"/>
      <w:r>
        <w:rPr>
          <w:rStyle w:val="CharSectno"/>
        </w:rPr>
        <w:t>125</w:t>
      </w:r>
      <w:r>
        <w:t>.</w:t>
      </w:r>
      <w:r>
        <w:tab/>
        <w:t>Exemption from personal liability</w:t>
      </w:r>
      <w:bookmarkEnd w:id="156"/>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157" w:name="_Toc390071249"/>
      <w:r>
        <w:rPr>
          <w:rStyle w:val="CharDivNo"/>
        </w:rPr>
        <w:t>Division 5</w:t>
      </w:r>
      <w:r>
        <w:t xml:space="preserve"> — </w:t>
      </w:r>
      <w:r>
        <w:rPr>
          <w:rStyle w:val="CharDivText"/>
        </w:rPr>
        <w:t>Regulations</w:t>
      </w:r>
      <w:bookmarkEnd w:id="157"/>
    </w:p>
    <w:p>
      <w:pPr>
        <w:pStyle w:val="Heading5"/>
      </w:pPr>
      <w:bookmarkStart w:id="158" w:name="_Toc390071250"/>
      <w:r>
        <w:rPr>
          <w:rStyle w:val="CharSectno"/>
        </w:rPr>
        <w:t>126</w:t>
      </w:r>
      <w:r>
        <w:t>.</w:t>
      </w:r>
      <w:r>
        <w:tab/>
        <w:t>Regulations</w:t>
      </w:r>
      <w:bookmarkEnd w:id="158"/>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159" w:name="_Toc390071251"/>
      <w:r>
        <w:rPr>
          <w:rStyle w:val="CharSectno"/>
        </w:rPr>
        <w:t>127</w:t>
      </w:r>
      <w:r>
        <w:t>.</w:t>
      </w:r>
      <w:r>
        <w:tab/>
        <w:t>Practices</w:t>
      </w:r>
      <w:bookmarkEnd w:id="159"/>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3"/>
      </w:pPr>
      <w:bookmarkStart w:id="160" w:name="_Toc390071252"/>
      <w:r>
        <w:rPr>
          <w:rStyle w:val="CharDivNo"/>
        </w:rPr>
        <w:t>Division 6</w:t>
      </w:r>
      <w:r>
        <w:t> — </w:t>
      </w:r>
      <w:r>
        <w:rPr>
          <w:rStyle w:val="CharDivText"/>
        </w:rPr>
        <w:t>Early operation of certain amendments to taxation Acts</w:t>
      </w:r>
      <w:bookmarkEnd w:id="160"/>
    </w:p>
    <w:p>
      <w:pPr>
        <w:pStyle w:val="Footnoteheading"/>
      </w:pPr>
      <w:r>
        <w:tab/>
        <w:t>[Heading inserted by No. 31 of 2008 s. 28.]</w:t>
      </w:r>
    </w:p>
    <w:p>
      <w:pPr>
        <w:pStyle w:val="Heading5"/>
      </w:pPr>
      <w:bookmarkStart w:id="161" w:name="_Toc390071253"/>
      <w:r>
        <w:rPr>
          <w:rStyle w:val="CharSectno"/>
        </w:rPr>
        <w:t>129</w:t>
      </w:r>
      <w:r>
        <w:t>.</w:t>
      </w:r>
      <w:r>
        <w:tab/>
        <w:t>Meaning of terms in this Division</w:t>
      </w:r>
      <w:bookmarkEnd w:id="161"/>
    </w:p>
    <w:p>
      <w:pPr>
        <w:pStyle w:val="Subsection"/>
      </w:pPr>
      <w:r>
        <w:tab/>
        <w:t>(1)</w:t>
      </w:r>
      <w:r>
        <w:tab/>
        <w:t xml:space="preserve">In this Division — </w:t>
      </w:r>
    </w:p>
    <w:p>
      <w:pPr>
        <w:pStyle w:val="Defstart"/>
      </w:pPr>
      <w:r>
        <w:rPr>
          <w:b/>
        </w:rPr>
        <w:tab/>
        <w:t>“</w:t>
      </w:r>
      <w:r>
        <w:rPr>
          <w:rStyle w:val="CharDefText"/>
        </w:rPr>
        <w:t>amending Bill</w:t>
      </w:r>
      <w:r>
        <w:rPr>
          <w:b/>
        </w:rPr>
        <w:t>”</w:t>
      </w:r>
      <w:r>
        <w:t>, in relation to a determination notice, means a Bill provisions of which are determined by the notice to be pre</w:t>
      </w:r>
      <w:r>
        <w:noBreakHyphen/>
        <w:t xml:space="preserve">enactment provisions; </w:t>
      </w:r>
    </w:p>
    <w:p>
      <w:pPr>
        <w:pStyle w:val="Defstart"/>
      </w:pPr>
      <w:r>
        <w:rPr>
          <w:b/>
        </w:rPr>
        <w:tab/>
        <w:t>“</w:t>
      </w:r>
      <w:r>
        <w:rPr>
          <w:rStyle w:val="CharDefText"/>
        </w:rPr>
        <w:t>determination notice</w:t>
      </w:r>
      <w:r>
        <w:rPr>
          <w:b/>
        </w:rPr>
        <w:t>”</w:t>
      </w:r>
      <w:r>
        <w:t xml:space="preserve"> means a notice made under section 130; </w:t>
      </w:r>
    </w:p>
    <w:p>
      <w:pPr>
        <w:pStyle w:val="Defstart"/>
      </w:pPr>
      <w:r>
        <w:rPr>
          <w:b/>
        </w:rPr>
        <w:tab/>
        <w:t>“</w:t>
      </w:r>
      <w:r>
        <w:rPr>
          <w:rStyle w:val="CharDefText"/>
        </w:rPr>
        <w:t>tax threshold</w:t>
      </w:r>
      <w:r>
        <w:rPr>
          <w:b/>
        </w:rPr>
        <w:t>”</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t>“</w:t>
      </w:r>
      <w:r>
        <w:rPr>
          <w:rStyle w:val="CharDefText"/>
        </w:rPr>
        <w:t>taxation Act</w:t>
      </w:r>
      <w:r>
        <w:rPr>
          <w:b/>
        </w:rPr>
        <w:t>”</w:t>
      </w:r>
      <w:r>
        <w:t xml:space="preserve"> includes the </w:t>
      </w:r>
      <w:r>
        <w:rPr>
          <w:i/>
          <w:iCs/>
        </w:rPr>
        <w:t>First Home Owner Grant Act 2000</w:t>
      </w:r>
      <w:r>
        <w:t>.</w:t>
      </w:r>
    </w:p>
    <w:p>
      <w:pPr>
        <w:pStyle w:val="Subsection"/>
      </w:pPr>
      <w:r>
        <w:tab/>
        <w:t>(2)</w:t>
      </w:r>
      <w:r>
        <w:tab/>
        <w:t xml:space="preserve">For the purposes of this Division a Bill is </w:t>
      </w:r>
      <w:r>
        <w:rPr>
          <w:b/>
        </w:rPr>
        <w:t>“</w:t>
      </w:r>
      <w:r>
        <w:rPr>
          <w:rStyle w:val="CharDefText"/>
        </w:rPr>
        <w:t>before</w:t>
      </w:r>
      <w:r>
        <w:rPr>
          <w:b/>
        </w:rPr>
        <w:t>”</w:t>
      </w:r>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pPr>
      <w:bookmarkStart w:id="162" w:name="_Toc390071254"/>
      <w:r>
        <w:rPr>
          <w:rStyle w:val="CharSectno"/>
        </w:rPr>
        <w:t>130</w:t>
      </w:r>
      <w:r>
        <w:t>.</w:t>
      </w:r>
      <w:r>
        <w:tab/>
        <w:t>Determination of pre</w:t>
      </w:r>
      <w:r>
        <w:noBreakHyphen/>
        <w:t>enactment provisions</w:t>
      </w:r>
      <w:bookmarkEnd w:id="162"/>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163" w:name="_Toc390071255"/>
      <w:r>
        <w:rPr>
          <w:rStyle w:val="CharSectno"/>
        </w:rPr>
        <w:t>131</w:t>
      </w:r>
      <w:r>
        <w:t>.</w:t>
      </w:r>
      <w:r>
        <w:tab/>
        <w:t>Duration of determination notice</w:t>
      </w:r>
      <w:bookmarkEnd w:id="163"/>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164" w:name="_Toc390071256"/>
      <w:r>
        <w:rPr>
          <w:rStyle w:val="CharSectno"/>
        </w:rPr>
        <w:t>132</w:t>
      </w:r>
      <w:r>
        <w:t>.</w:t>
      </w:r>
      <w:r>
        <w:tab/>
        <w:t>Amendment and replacement of determination notice</w:t>
      </w:r>
      <w:bookmarkEnd w:id="164"/>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b/>
        </w:rPr>
        <w:t>“</w:t>
      </w:r>
      <w:r>
        <w:rPr>
          <w:rStyle w:val="CharDefText"/>
        </w:rPr>
        <w:t>original notice</w:t>
      </w:r>
      <w:r>
        <w:rPr>
          <w:b/>
        </w:rPr>
        <w:t>”</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165" w:name="_Toc390071257"/>
      <w:r>
        <w:rPr>
          <w:rStyle w:val="CharSectno"/>
        </w:rPr>
        <w:t>133</w:t>
      </w:r>
      <w:r>
        <w:t>.</w:t>
      </w:r>
      <w:r>
        <w:tab/>
        <w:t>Effect of pre</w:t>
      </w:r>
      <w:r>
        <w:noBreakHyphen/>
        <w:t>enactment provisions</w:t>
      </w:r>
      <w:bookmarkEnd w:id="165"/>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b/>
        </w:rPr>
        <w:t>“</w:t>
      </w:r>
      <w:r>
        <w:rPr>
          <w:rStyle w:val="CharDefText"/>
        </w:rPr>
        <w:t>unaffected amount</w:t>
      </w:r>
      <w:r>
        <w:rPr>
          <w:b/>
        </w:rPr>
        <w:t>”</w:t>
      </w:r>
      <w:r>
        <w:t>), the amount of tax payable is reduced to the unaffected amount.</w:t>
      </w:r>
    </w:p>
    <w:p>
      <w:pPr>
        <w:pStyle w:val="Footnotesection"/>
      </w:pPr>
      <w:r>
        <w:tab/>
        <w:t>[Section 133 inserted by No. 31 of 2008 s. 28.]</w:t>
      </w:r>
    </w:p>
    <w:p>
      <w:pPr>
        <w:pStyle w:val="Heading5"/>
      </w:pPr>
      <w:bookmarkStart w:id="166" w:name="_Toc390071258"/>
      <w:r>
        <w:rPr>
          <w:rStyle w:val="CharSectno"/>
        </w:rPr>
        <w:t>134</w:t>
      </w:r>
      <w:r>
        <w:t>.</w:t>
      </w:r>
      <w:r>
        <w:tab/>
        <w:t>Review of Division</w:t>
      </w:r>
      <w:bookmarkEnd w:id="166"/>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67" w:name="_Toc390071259"/>
      <w:r>
        <w:rPr>
          <w:rStyle w:val="CharSchNo"/>
        </w:rPr>
        <w:t>Glossary</w:t>
      </w:r>
      <w:bookmarkEnd w:id="167"/>
    </w:p>
    <w:p>
      <w:pPr>
        <w:pStyle w:val="yShoulderClause"/>
      </w:pPr>
      <w:r>
        <w:t>[s. 4]</w:t>
      </w:r>
    </w:p>
    <w:p>
      <w:pPr>
        <w:pStyle w:val="ySubsection"/>
      </w:pPr>
      <w:r>
        <w:tab/>
      </w:r>
      <w:r>
        <w:tab/>
        <w:t>Unless the contrary intention appears —</w:t>
      </w:r>
    </w:p>
    <w:p>
      <w:pPr>
        <w:pStyle w:val="yDefstart"/>
      </w:pPr>
      <w:r>
        <w:tab/>
      </w:r>
      <w:r>
        <w:rPr>
          <w:b/>
        </w:rPr>
        <w:t>“</w:t>
      </w:r>
      <w:r>
        <w:rPr>
          <w:rStyle w:val="CharDefText"/>
        </w:rPr>
        <w:t>address</w:t>
      </w:r>
      <w:r>
        <w:rPr>
          <w:b/>
        </w:rPr>
        <w:t>”</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b/>
        </w:rPr>
        <w:t>“</w:t>
      </w:r>
      <w:r>
        <w:rPr>
          <w:rStyle w:val="CharDefText"/>
        </w:rPr>
        <w:t>appointed representative</w:t>
      </w:r>
      <w:r>
        <w:rPr>
          <w:b/>
        </w:rPr>
        <w:t>”</w:t>
      </w:r>
      <w:r>
        <w:t xml:space="preserve"> means a person appointed under section 12 to represent the Commissioner in proceedings under a taxation Act;</w:t>
      </w:r>
    </w:p>
    <w:p>
      <w:pPr>
        <w:pStyle w:val="Defstart"/>
        <w:rPr>
          <w:sz w:val="22"/>
        </w:rPr>
      </w:pPr>
      <w:r>
        <w:rPr>
          <w:b/>
          <w:color w:val="000000"/>
          <w:sz w:val="22"/>
        </w:rPr>
        <w:tab/>
        <w:t>“</w:t>
      </w:r>
      <w:r>
        <w:rPr>
          <w:rStyle w:val="CharDefText"/>
          <w:color w:val="000000"/>
          <w:sz w:val="22"/>
        </w:rPr>
        <w:t>approved</w:t>
      </w:r>
      <w:r>
        <w:rPr>
          <w:b/>
          <w:color w:val="000000"/>
          <w:sz w:val="22"/>
        </w:rPr>
        <w:t>”</w:t>
      </w:r>
      <w:r>
        <w:rPr>
          <w:color w:val="000000"/>
          <w:sz w:val="22"/>
        </w:rPr>
        <w:t xml:space="preserve"> means approved by the Commissioner; </w:t>
      </w:r>
    </w:p>
    <w:p>
      <w:pPr>
        <w:pStyle w:val="yDefstart"/>
      </w:pPr>
      <w:r>
        <w:tab/>
      </w:r>
      <w:r>
        <w:rPr>
          <w:b/>
        </w:rPr>
        <w:t>“</w:t>
      </w:r>
      <w:r>
        <w:rPr>
          <w:rStyle w:val="CharDefText"/>
        </w:rPr>
        <w:t>assessment</w:t>
      </w:r>
      <w:r>
        <w:rPr>
          <w:b/>
        </w:rPr>
        <w:t xml:space="preserve">” </w:t>
      </w:r>
      <w:r>
        <w:t>means a determination of a kind referred to in section 13(1), whether the determination is made by way of a self</w:t>
      </w:r>
      <w:r>
        <w:noBreakHyphen/>
        <w:t>assessment, an official assessment or a reassessment;</w:t>
      </w:r>
    </w:p>
    <w:p>
      <w:pPr>
        <w:pStyle w:val="yDefstart"/>
      </w:pPr>
      <w:r>
        <w:tab/>
      </w:r>
      <w:r>
        <w:rPr>
          <w:b/>
        </w:rPr>
        <w:t>“</w:t>
      </w:r>
      <w:r>
        <w:rPr>
          <w:rStyle w:val="CharDefText"/>
        </w:rPr>
        <w:t>assessment notice</w:t>
      </w:r>
      <w:r>
        <w:rPr>
          <w:b/>
        </w:rPr>
        <w:t>”</w:t>
      </w:r>
      <w:r>
        <w:t xml:space="preserve"> means a notice under section 23;</w:t>
      </w:r>
    </w:p>
    <w:p>
      <w:pPr>
        <w:pStyle w:val="yDefstart"/>
      </w:pPr>
      <w:r>
        <w:tab/>
      </w:r>
      <w:r>
        <w:rPr>
          <w:b/>
        </w:rPr>
        <w:t>“</w:t>
      </w:r>
      <w:r>
        <w:rPr>
          <w:rStyle w:val="CharDefText"/>
        </w:rPr>
        <w:t>charge</w:t>
      </w:r>
      <w:r>
        <w:rPr>
          <w:b/>
        </w:rPr>
        <w:t>”</w:t>
      </w:r>
      <w:r>
        <w:t>, in relation to land, means a charge on the land created under section 76 or 77;</w:t>
      </w:r>
    </w:p>
    <w:p>
      <w:pPr>
        <w:pStyle w:val="yDefstart"/>
      </w:pPr>
      <w:r>
        <w:tab/>
      </w:r>
      <w:r>
        <w:rPr>
          <w:b/>
        </w:rPr>
        <w:t>“</w:t>
      </w:r>
      <w:r>
        <w:rPr>
          <w:rStyle w:val="CharDefText"/>
        </w:rPr>
        <w:t>Commissioner</w:t>
      </w:r>
      <w:r>
        <w:rPr>
          <w:b/>
        </w:rPr>
        <w:t>”</w:t>
      </w:r>
      <w:r>
        <w:t xml:space="preserve"> means the Commissioner of State Revenue appointed in accordance with section 6;</w:t>
      </w:r>
    </w:p>
    <w:p>
      <w:pPr>
        <w:pStyle w:val="yDefstart"/>
      </w:pPr>
      <w:r>
        <w:tab/>
      </w:r>
      <w:r>
        <w:rPr>
          <w:b/>
        </w:rPr>
        <w:t>“</w:t>
      </w:r>
      <w:r>
        <w:rPr>
          <w:rStyle w:val="CharDefText"/>
        </w:rPr>
        <w:t>corresponding Commissioner</w:t>
      </w:r>
      <w:r>
        <w:rPr>
          <w:b/>
        </w:rPr>
        <w:t>”</w:t>
      </w:r>
      <w:r>
        <w:t>, in relation to a recognised jurisdiction in which a recognised revenue law is in force, means the person responsible for administering the recognised revenue law;</w:t>
      </w:r>
    </w:p>
    <w:p>
      <w:pPr>
        <w:pStyle w:val="yDefstart"/>
      </w:pPr>
      <w:r>
        <w:tab/>
      </w:r>
      <w:r>
        <w:rPr>
          <w:b/>
        </w:rPr>
        <w:t>“</w:t>
      </w:r>
      <w:r>
        <w:rPr>
          <w:rStyle w:val="CharDefText"/>
        </w:rPr>
        <w:t>decision</w:t>
      </w:r>
      <w:r>
        <w:rPr>
          <w:b/>
        </w:rPr>
        <w:t>”</w:t>
      </w:r>
      <w:r>
        <w:t xml:space="preserve"> includes a direction;</w:t>
      </w:r>
    </w:p>
    <w:p>
      <w:pPr>
        <w:pStyle w:val="Defstart"/>
        <w:rPr>
          <w:sz w:val="22"/>
        </w:rPr>
      </w:pPr>
      <w:r>
        <w:rPr>
          <w:sz w:val="22"/>
        </w:rPr>
        <w:tab/>
      </w:r>
      <w:r>
        <w:rPr>
          <w:b/>
          <w:sz w:val="22"/>
        </w:rPr>
        <w:t>“</w:t>
      </w:r>
      <w:r>
        <w:rPr>
          <w:rStyle w:val="CharDefText"/>
          <w:sz w:val="22"/>
        </w:rPr>
        <w:t>directly reviewable decision</w:t>
      </w:r>
      <w:r>
        <w:rPr>
          <w:sz w:val="22"/>
        </w:rPr>
        <w:t>” means a decision under a taxation Act that is expressed by the Act to be directly reviewable;</w:t>
      </w:r>
    </w:p>
    <w:p>
      <w:pPr>
        <w:pStyle w:val="yDefstart"/>
      </w:pPr>
      <w:r>
        <w:tab/>
      </w:r>
      <w:r>
        <w:rPr>
          <w:b/>
        </w:rPr>
        <w:t>“</w:t>
      </w:r>
      <w:r>
        <w:rPr>
          <w:rStyle w:val="CharDefText"/>
        </w:rPr>
        <w:t>document</w:t>
      </w:r>
      <w:r>
        <w:rPr>
          <w:b/>
        </w:rPr>
        <w:t>”</w:t>
      </w:r>
      <w:r>
        <w:t xml:space="preserve"> includes information stored or recorded by any means;</w:t>
      </w:r>
    </w:p>
    <w:p>
      <w:pPr>
        <w:pStyle w:val="yDefstart"/>
      </w:pPr>
      <w:r>
        <w:tab/>
      </w:r>
      <w:r>
        <w:rPr>
          <w:b/>
        </w:rPr>
        <w:t>“</w:t>
      </w:r>
      <w:r>
        <w:rPr>
          <w:rStyle w:val="CharDefText"/>
        </w:rPr>
        <w:t>due date</w:t>
      </w:r>
      <w:r>
        <w:rPr>
          <w:b/>
        </w:rPr>
        <w:t>”</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b/>
        </w:rPr>
        <w:t>“</w:t>
      </w:r>
      <w:r>
        <w:rPr>
          <w:rStyle w:val="CharDefText"/>
        </w:rPr>
        <w:t>garnishee</w:t>
      </w:r>
      <w:r>
        <w:rPr>
          <w:b/>
        </w:rPr>
        <w:t>”</w:t>
      </w:r>
      <w:r>
        <w:t xml:space="preserve"> has the definition given in section 65;</w:t>
      </w:r>
    </w:p>
    <w:p>
      <w:pPr>
        <w:pStyle w:val="yDefstart"/>
      </w:pPr>
      <w:r>
        <w:tab/>
      </w:r>
      <w:r>
        <w:rPr>
          <w:b/>
        </w:rPr>
        <w:t>“</w:t>
      </w:r>
      <w:r>
        <w:rPr>
          <w:rStyle w:val="CharDefText"/>
        </w:rPr>
        <w:t>group</w:t>
      </w:r>
      <w:r>
        <w:rPr>
          <w:b/>
        </w:rPr>
        <w:t>”</w:t>
      </w:r>
      <w:r>
        <w:t xml:space="preserve"> means 2 or more persons who are grouped together for the purposes of a taxation Act;</w:t>
      </w:r>
    </w:p>
    <w:p>
      <w:pPr>
        <w:pStyle w:val="yDefstart"/>
      </w:pPr>
      <w:r>
        <w:tab/>
      </w:r>
      <w:r>
        <w:rPr>
          <w:b/>
        </w:rPr>
        <w:t>“</w:t>
      </w:r>
      <w:r>
        <w:rPr>
          <w:rStyle w:val="CharDefText"/>
        </w:rPr>
        <w:t>identity card</w:t>
      </w:r>
      <w:r>
        <w:rPr>
          <w:b/>
        </w:rPr>
        <w:t>”</w:t>
      </w:r>
      <w:r>
        <w:t xml:space="preserve"> means an identity card issued to an investigator under section 11;</w:t>
      </w:r>
    </w:p>
    <w:p>
      <w:pPr>
        <w:pStyle w:val="yDefstart"/>
      </w:pPr>
      <w:r>
        <w:tab/>
      </w:r>
      <w:r>
        <w:rPr>
          <w:b/>
        </w:rPr>
        <w:t>“</w:t>
      </w:r>
      <w:r>
        <w:rPr>
          <w:rStyle w:val="CharDefText"/>
        </w:rPr>
        <w:t>instrument</w:t>
      </w:r>
      <w:r>
        <w:rPr>
          <w:b/>
        </w:rPr>
        <w:t>”</w:t>
      </w:r>
      <w:r>
        <w:t xml:space="preserve"> means —</w:t>
      </w:r>
    </w:p>
    <w:p>
      <w:pPr>
        <w:pStyle w:val="yDefpara"/>
      </w:pPr>
      <w:r>
        <w:tab/>
        <w:t>(a)</w:t>
      </w:r>
      <w:r>
        <w:tab/>
        <w:t xml:space="preserve">a statement, conveyance, transfer, lease, licence, </w:t>
      </w:r>
      <w:r>
        <w:rPr>
          <w:color w:val="000000"/>
        </w:rPr>
        <w:t>policy of insurance</w:t>
      </w:r>
      <w:r>
        <w:t xml:space="preserve"> or any other document of a kind referred to in the Second Schedule to the </w:t>
      </w:r>
      <w:r>
        <w:rPr>
          <w:i/>
        </w:rPr>
        <w:t>Stamp Act 1921</w:t>
      </w:r>
      <w:r>
        <w:t xml:space="preserve">; </w:t>
      </w:r>
    </w:p>
    <w:p>
      <w:pPr>
        <w:pStyle w:val="yDefpara"/>
      </w:pPr>
      <w:r>
        <w:tab/>
        <w:t>(b)</w:t>
      </w:r>
      <w:r>
        <w:tab/>
        <w:t>a statement or return that is required under a taxation Act for the assessment of tax;</w:t>
      </w:r>
    </w:p>
    <w:p>
      <w:pPr>
        <w:pStyle w:val="yDefpara"/>
      </w:pPr>
      <w:r>
        <w:tab/>
        <w:t>(c)</w:t>
      </w:r>
      <w:r>
        <w:tab/>
        <w:t xml:space="preserve">a memorandum created by the Commissioner under section 20; </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para"/>
      </w:pPr>
      <w:r>
        <w:tab/>
        <w:t>(f)</w:t>
      </w:r>
      <w:r>
        <w:tab/>
        <w:t>a copy, duplicate or counterpart of an instrument or document referred to in another paragraph of this definition;</w:t>
      </w:r>
    </w:p>
    <w:p>
      <w:pPr>
        <w:pStyle w:val="yDefstart"/>
      </w:pPr>
      <w:r>
        <w:tab/>
      </w:r>
      <w:r>
        <w:rPr>
          <w:b/>
        </w:rPr>
        <w:t>“</w:t>
      </w:r>
      <w:r>
        <w:rPr>
          <w:rStyle w:val="CharDefText"/>
        </w:rPr>
        <w:t>investigation purposes</w:t>
      </w:r>
      <w:r>
        <w:rPr>
          <w:b/>
        </w:rPr>
        <w:t>”</w:t>
      </w:r>
      <w:r>
        <w:t xml:space="preserve"> means any or all of the purposes for which an investigation may be carried out under section 92 or 93;</w:t>
      </w:r>
    </w:p>
    <w:p>
      <w:pPr>
        <w:pStyle w:val="yDefstart"/>
      </w:pPr>
      <w:r>
        <w:tab/>
      </w:r>
      <w:r>
        <w:rPr>
          <w:b/>
        </w:rPr>
        <w:t>“</w:t>
      </w:r>
      <w:r>
        <w:rPr>
          <w:rStyle w:val="CharDefText"/>
        </w:rPr>
        <w:t>investigator</w:t>
      </w:r>
      <w:r>
        <w:rPr>
          <w:b/>
        </w:rPr>
        <w:t>”</w:t>
      </w:r>
      <w:r>
        <w:t xml:space="preserve"> means a person appointed to be an investigator under section 11;</w:t>
      </w:r>
    </w:p>
    <w:p>
      <w:pPr>
        <w:pStyle w:val="yDefstart"/>
      </w:pPr>
      <w:r>
        <w:tab/>
      </w:r>
      <w:r>
        <w:rPr>
          <w:b/>
        </w:rPr>
        <w:t>“</w:t>
      </w:r>
      <w:r>
        <w:rPr>
          <w:rStyle w:val="CharDefText"/>
        </w:rPr>
        <w:t>official assessment</w:t>
      </w:r>
      <w:r>
        <w:rPr>
          <w:b/>
        </w:rPr>
        <w:t>”</w:t>
      </w:r>
      <w:r>
        <w:t xml:space="preserve"> has the definition given in section 15(1);</w:t>
      </w:r>
    </w:p>
    <w:p>
      <w:pPr>
        <w:pStyle w:val="yDefstart"/>
      </w:pPr>
      <w:r>
        <w:tab/>
      </w:r>
      <w:r>
        <w:rPr>
          <w:b/>
        </w:rPr>
        <w:t>“</w:t>
      </w:r>
      <w:r>
        <w:rPr>
          <w:rStyle w:val="CharDefText"/>
        </w:rPr>
        <w:t>official document</w:t>
      </w:r>
      <w:r>
        <w:rPr>
          <w:b/>
        </w:rPr>
        <w:t>”</w:t>
      </w:r>
      <w:r>
        <w:t xml:space="preserve"> means an instrument and any other record or document that is —</w:t>
      </w:r>
    </w:p>
    <w:p>
      <w:pPr>
        <w:pStyle w:val="yDefpara"/>
      </w:pPr>
      <w:r>
        <w:tab/>
        <w:t>(a)</w:t>
      </w:r>
      <w:r>
        <w:tab/>
        <w:t>kept under or for the purposes of a taxation Act;</w:t>
      </w:r>
    </w:p>
    <w:p>
      <w:pPr>
        <w:pStyle w:val="yDefpara"/>
      </w:pPr>
      <w:r>
        <w:tab/>
        <w:t>(b)</w:t>
      </w:r>
      <w:r>
        <w:tab/>
        <w:t>required to be stamped under or for the purposes of a taxation Act; or</w:t>
      </w:r>
    </w:p>
    <w:p>
      <w:pPr>
        <w:pStyle w:val="yDefpara"/>
      </w:pPr>
      <w:r>
        <w:tab/>
        <w:t>(c)</w:t>
      </w:r>
      <w:r>
        <w:tab/>
        <w:t>required to be lodged with the Commissioner under or for the purposes of a taxation Act;</w:t>
      </w:r>
    </w:p>
    <w:p>
      <w:pPr>
        <w:pStyle w:val="yDefstart"/>
      </w:pPr>
      <w:r>
        <w:tab/>
      </w:r>
      <w:r>
        <w:rPr>
          <w:b/>
        </w:rPr>
        <w:t>“</w:t>
      </w:r>
      <w:r>
        <w:rPr>
          <w:rStyle w:val="CharDefText"/>
        </w:rPr>
        <w:t>original assessment</w:t>
      </w:r>
      <w:r>
        <w:rPr>
          <w:b/>
        </w:rPr>
        <w: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b/>
        </w:rPr>
        <w:t>“</w:t>
      </w:r>
      <w:r>
        <w:rPr>
          <w:rStyle w:val="CharDefText"/>
        </w:rPr>
        <w:t>penalty tax</w:t>
      </w:r>
      <w:r>
        <w:rPr>
          <w:b/>
        </w:rPr>
        <w:t>”</w:t>
      </w:r>
      <w:r>
        <w:t xml:space="preserve"> means — </w:t>
      </w:r>
    </w:p>
    <w:p>
      <w:pPr>
        <w:pStyle w:val="yDefpara"/>
      </w:pPr>
      <w:r>
        <w:tab/>
        <w:t>(a)</w:t>
      </w:r>
      <w:r>
        <w:tab/>
        <w:t>penalty tax payable under section 26;</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w:t>
      </w:r>
    </w:p>
    <w:p>
      <w:pPr>
        <w:pStyle w:val="yDefstart"/>
      </w:pPr>
      <w:r>
        <w:tab/>
      </w:r>
      <w:r>
        <w:rPr>
          <w:b/>
        </w:rPr>
        <w:t>“</w:t>
      </w:r>
      <w:r>
        <w:rPr>
          <w:rStyle w:val="CharDefText"/>
        </w:rPr>
        <w:t>person</w:t>
      </w:r>
      <w:r>
        <w:rPr>
          <w:b/>
        </w:rPr>
        <w:t>”</w:t>
      </w:r>
      <w:r>
        <w:t xml:space="preserve"> includes a group;</w:t>
      </w:r>
    </w:p>
    <w:p>
      <w:pPr>
        <w:pStyle w:val="yDefstart"/>
      </w:pPr>
      <w:r>
        <w:tab/>
      </w:r>
      <w:r>
        <w:rPr>
          <w:b/>
        </w:rPr>
        <w:t>“</w:t>
      </w:r>
      <w:r>
        <w:rPr>
          <w:rStyle w:val="CharDefText"/>
        </w:rPr>
        <w:t>premises</w:t>
      </w:r>
      <w:r>
        <w:rPr>
          <w:b/>
        </w:rPr>
        <w:t>”</w:t>
      </w:r>
      <w:r>
        <w:t xml:space="preserve"> means —</w:t>
      </w:r>
    </w:p>
    <w:p>
      <w:pPr>
        <w:pStyle w:val="yDefpara"/>
      </w:pPr>
      <w:r>
        <w:tab/>
        <w:t>(a)</w:t>
      </w:r>
      <w:r>
        <w:tab/>
        <w:t>land (whether built on or not);</w:t>
      </w:r>
    </w:p>
    <w:p>
      <w:pPr>
        <w:pStyle w:val="yDefpara"/>
      </w:pPr>
      <w:r>
        <w:tab/>
        <w:t>(b)</w:t>
      </w:r>
      <w:r>
        <w:tab/>
        <w:t>a building or structure on land; or</w:t>
      </w:r>
    </w:p>
    <w:p>
      <w:pPr>
        <w:pStyle w:val="yDefpara"/>
      </w:pPr>
      <w:r>
        <w:tab/>
        <w:t>(c)</w:t>
      </w:r>
      <w:r>
        <w:tab/>
        <w:t>a vehicle,</w:t>
      </w:r>
    </w:p>
    <w:p>
      <w:pPr>
        <w:pStyle w:val="yDefstart"/>
      </w:pPr>
      <w:r>
        <w:tab/>
      </w:r>
      <w:r>
        <w:tab/>
        <w:t>and includes a part of premises;</w:t>
      </w:r>
    </w:p>
    <w:p>
      <w:pPr>
        <w:pStyle w:val="yDefstart"/>
      </w:pPr>
      <w:r>
        <w:tab/>
      </w:r>
      <w:r>
        <w:rPr>
          <w:b/>
        </w:rPr>
        <w:t>“</w:t>
      </w:r>
      <w:r>
        <w:rPr>
          <w:rStyle w:val="CharDefText"/>
        </w:rPr>
        <w:t>previous assessment</w:t>
      </w:r>
      <w:r>
        <w:rPr>
          <w:b/>
        </w:rPr>
        <w:t>”</w:t>
      </w:r>
      <w:r>
        <w:t>, in relation to a reassessment of tax, means the assessment that was or is to be reviewed by the reassessment whether the reviewed assessment was an original assessment or an earlier reassessment;</w:t>
      </w:r>
    </w:p>
    <w:p>
      <w:pPr>
        <w:pStyle w:val="yDefstart"/>
      </w:pPr>
      <w:r>
        <w:tab/>
      </w:r>
      <w:r>
        <w:rPr>
          <w:b/>
        </w:rPr>
        <w:t>“</w:t>
      </w:r>
      <w:r>
        <w:rPr>
          <w:rStyle w:val="CharDefText"/>
        </w:rPr>
        <w:t>primary liability</w:t>
      </w:r>
      <w:r>
        <w:rPr>
          <w:b/>
        </w:rPr>
        <w:t>”</w:t>
      </w:r>
      <w:r>
        <w:t xml:space="preserve"> for tax means a liability for tax exclusive of any liability for penalty tax;</w:t>
      </w:r>
    </w:p>
    <w:p>
      <w:pPr>
        <w:pStyle w:val="yDefstart"/>
      </w:pPr>
      <w:r>
        <w:rPr>
          <w:b/>
        </w:rPr>
        <w:tab/>
        <w:t>“</w:t>
      </w:r>
      <w:r>
        <w:rPr>
          <w:rStyle w:val="CharDefText"/>
        </w:rPr>
        <w:t>publish</w:t>
      </w:r>
      <w:r>
        <w:rPr>
          <w:b/>
        </w:rPr>
        <w:t>”</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b/>
        </w:rPr>
        <w:t>“</w:t>
      </w:r>
      <w:r>
        <w:rPr>
          <w:rStyle w:val="CharDefText"/>
        </w:rPr>
        <w:t>reassessment</w:t>
      </w:r>
      <w:r>
        <w:rPr>
          <w:b/>
        </w:rPr>
        <w:t>”</w:t>
      </w:r>
      <w:r>
        <w:t xml:space="preserve"> does not include an original assessment;</w:t>
      </w:r>
    </w:p>
    <w:p>
      <w:pPr>
        <w:pStyle w:val="yDefstart"/>
      </w:pPr>
      <w:r>
        <w:tab/>
      </w:r>
      <w:r>
        <w:rPr>
          <w:b/>
        </w:rPr>
        <w:t>“</w:t>
      </w:r>
      <w:r>
        <w:rPr>
          <w:rStyle w:val="CharDefText"/>
        </w:rPr>
        <w:t>recognised jurisdiction</w:t>
      </w:r>
      <w:r>
        <w:rPr>
          <w:b/>
        </w:rPr>
        <w:t>”</w:t>
      </w:r>
      <w:r>
        <w:t xml:space="preserve"> means the Commonwealth or another State;</w:t>
      </w:r>
    </w:p>
    <w:p>
      <w:pPr>
        <w:pStyle w:val="yDefstart"/>
      </w:pPr>
      <w:r>
        <w:tab/>
      </w:r>
      <w:r>
        <w:rPr>
          <w:b/>
        </w:rPr>
        <w:t>“</w:t>
      </w:r>
      <w:r>
        <w:rPr>
          <w:rStyle w:val="CharDefText"/>
        </w:rPr>
        <w:t>recognised revenue law</w:t>
      </w:r>
      <w:r>
        <w:rPr>
          <w:b/>
        </w:rPr>
        <w:t>”</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b/>
        </w:rPr>
        <w:t>“</w:t>
      </w:r>
      <w:r>
        <w:rPr>
          <w:rStyle w:val="CharDefText"/>
        </w:rPr>
        <w:t>record</w:t>
      </w:r>
      <w:r>
        <w:rPr>
          <w:b/>
        </w:rPr>
        <w:t>”</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r>
      <w:r>
        <w:tab/>
        <w:t>whether or not the use or assistance of some electronic, electrical, mechanical, chemical or other device or process is required to recover or convey the information or meaning;</w:t>
      </w:r>
    </w:p>
    <w:p>
      <w:pPr>
        <w:pStyle w:val="yDefstart"/>
      </w:pPr>
      <w:r>
        <w:tab/>
      </w:r>
      <w:r>
        <w:rPr>
          <w:b/>
        </w:rPr>
        <w:t>“</w:t>
      </w:r>
      <w:r>
        <w:rPr>
          <w:rStyle w:val="CharDefText"/>
        </w:rPr>
        <w:t>Registrar of Titles</w:t>
      </w:r>
      <w:r>
        <w:rPr>
          <w:b/>
        </w:rPr>
        <w:t>”</w:t>
      </w:r>
      <w:r>
        <w:t xml:space="preserve"> means the Registrar of Titles or the Registrar of Deeds and Transfers;</w:t>
      </w:r>
    </w:p>
    <w:p>
      <w:pPr>
        <w:pStyle w:val="yDefstart"/>
      </w:pPr>
      <w:r>
        <w:tab/>
      </w:r>
      <w:r>
        <w:rPr>
          <w:b/>
        </w:rPr>
        <w:t>“</w:t>
      </w:r>
      <w:r>
        <w:rPr>
          <w:rStyle w:val="CharDefText"/>
        </w:rPr>
        <w:t>relevant material</w:t>
      </w:r>
      <w:r>
        <w:rPr>
          <w:b/>
        </w:rPr>
        <w:t>”</w:t>
      </w:r>
      <w:r>
        <w:t xml:space="preserve"> means an instrument, record or anything else that is relevant to —</w:t>
      </w:r>
    </w:p>
    <w:p>
      <w:pPr>
        <w:pStyle w:val="yDefpara"/>
      </w:pPr>
      <w:r>
        <w:tab/>
        <w:t>(a)</w:t>
      </w:r>
      <w:r>
        <w:tab/>
        <w:t>ascertaining whether a tax liability exists;</w:t>
      </w:r>
    </w:p>
    <w:p>
      <w:pPr>
        <w:pStyle w:val="yDefpara"/>
      </w:pPr>
      <w:r>
        <w:tab/>
        <w:t>(b)</w:t>
      </w:r>
      <w:r>
        <w:tab/>
        <w:t>assessing the amount of a tax liability;</w:t>
      </w:r>
    </w:p>
    <w:p>
      <w:pPr>
        <w:pStyle w:val="yDefpara"/>
      </w:pPr>
      <w:r>
        <w:tab/>
        <w:t>(c)</w:t>
      </w:r>
      <w:r>
        <w:tab/>
        <w:t>deciding an application for a rebate or refund of tax, or an exemption from tax, or any other application under a taxation Act;</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b/>
        </w:rPr>
        <w:t>“</w:t>
      </w:r>
      <w:r>
        <w:rPr>
          <w:rStyle w:val="CharDefText"/>
        </w:rPr>
        <w:t>responsible party</w:t>
      </w:r>
      <w:r>
        <w:rPr>
          <w:b/>
        </w:rPr>
        <w:t>”</w:t>
      </w:r>
      <w:r>
        <w:t>, in relation to a special tax return arrangement, means the person with whom the arrangement is made as mentioned in section 49(1);</w:t>
      </w:r>
    </w:p>
    <w:p>
      <w:pPr>
        <w:pStyle w:val="Defstart"/>
        <w:rPr>
          <w:sz w:val="22"/>
        </w:rPr>
      </w:pPr>
      <w:r>
        <w:tab/>
      </w:r>
      <w:r>
        <w:rPr>
          <w:b/>
          <w:sz w:val="22"/>
        </w:rPr>
        <w:t>“</w:t>
      </w:r>
      <w:r>
        <w:rPr>
          <w:rStyle w:val="CharDefText"/>
          <w:sz w:val="22"/>
        </w:rPr>
        <w:t>review proceedings</w:t>
      </w:r>
      <w:r>
        <w:rPr>
          <w:b/>
          <w:sz w:val="22"/>
        </w:rPr>
        <w:t>”</w:t>
      </w:r>
      <w:r>
        <w:rPr>
          <w:sz w:val="22"/>
        </w:rPr>
        <w:t xml:space="preserve"> means — </w:t>
      </w:r>
    </w:p>
    <w:p>
      <w:pPr>
        <w:pStyle w:val="Defpara"/>
        <w:rPr>
          <w:sz w:val="22"/>
        </w:rPr>
      </w:pPr>
      <w:r>
        <w:rPr>
          <w:sz w:val="22"/>
        </w:rPr>
        <w:tab/>
        <w:t>(a)</w:t>
      </w:r>
      <w:r>
        <w:rPr>
          <w:sz w:val="22"/>
        </w:rPr>
        <w:tab/>
        <w:t xml:space="preserve">proceedings on an application under section 40; </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b/>
        </w:rPr>
        <w:t>“</w:t>
      </w:r>
      <w:r>
        <w:rPr>
          <w:rStyle w:val="CharDefText"/>
        </w:rPr>
        <w:t>self</w:t>
      </w:r>
      <w:r>
        <w:rPr>
          <w:rStyle w:val="CharDefText"/>
        </w:rPr>
        <w:noBreakHyphen/>
        <w:t>assessment</w:t>
      </w:r>
      <w:r>
        <w:rPr>
          <w:b/>
        </w:rPr>
        <w:t xml:space="preserve">” </w:t>
      </w:r>
      <w:r>
        <w:t>has the meaning given in section 14;</w:t>
      </w:r>
    </w:p>
    <w:p>
      <w:pPr>
        <w:pStyle w:val="yDefstart"/>
      </w:pPr>
      <w:r>
        <w:tab/>
      </w:r>
      <w:r>
        <w:rPr>
          <w:b/>
        </w:rPr>
        <w:t>“</w:t>
      </w:r>
      <w:r>
        <w:rPr>
          <w:rStyle w:val="CharDefText"/>
        </w:rPr>
        <w:t>special tax return arrangement</w:t>
      </w:r>
      <w:r>
        <w:rPr>
          <w:b/>
        </w:rPr>
        <w:t>”</w:t>
      </w:r>
      <w:r>
        <w:t xml:space="preserve"> means an arrangement approved under section 49;</w:t>
      </w:r>
    </w:p>
    <w:p>
      <w:pPr>
        <w:pStyle w:val="yDefstart"/>
      </w:pPr>
      <w:r>
        <w:tab/>
      </w:r>
      <w:r>
        <w:rPr>
          <w:b/>
        </w:rPr>
        <w:t>“</w:t>
      </w:r>
      <w:r>
        <w:rPr>
          <w:rStyle w:val="CharDefText"/>
        </w:rPr>
        <w:t>State</w:t>
      </w:r>
      <w:r>
        <w:rPr>
          <w:b/>
        </w:rPr>
        <w:t>”</w:t>
      </w:r>
      <w:r>
        <w:t xml:space="preserve"> includes the Northern Territory and the Australian Capital Territory;</w:t>
      </w:r>
    </w:p>
    <w:p>
      <w:pPr>
        <w:pStyle w:val="yDefstart"/>
      </w:pPr>
      <w:r>
        <w:tab/>
      </w:r>
      <w:r>
        <w:rPr>
          <w:b/>
        </w:rPr>
        <w:t>“</w:t>
      </w:r>
      <w:r>
        <w:rPr>
          <w:rStyle w:val="CharDefText"/>
        </w:rPr>
        <w:t>tax</w:t>
      </w:r>
      <w:r>
        <w:rPr>
          <w:b/>
        </w:rPr>
        <w:t>”</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b/>
        </w:rPr>
        <w:t>“</w:t>
      </w:r>
      <w:r>
        <w:rPr>
          <w:rStyle w:val="CharDefText"/>
        </w:rPr>
        <w:t>tax liability</w:t>
      </w:r>
      <w:r>
        <w:rPr>
          <w:b/>
        </w:rPr>
        <w:t>”</w:t>
      </w:r>
      <w:r>
        <w:t xml:space="preserve"> means a liability to pay tax (including a liability that has not fallen due for payment);</w:t>
      </w:r>
    </w:p>
    <w:p>
      <w:pPr>
        <w:pStyle w:val="yDefstart"/>
      </w:pPr>
      <w:r>
        <w:tab/>
      </w:r>
      <w:r>
        <w:rPr>
          <w:b/>
        </w:rPr>
        <w:t>“</w:t>
      </w:r>
      <w:r>
        <w:rPr>
          <w:rStyle w:val="CharDefText"/>
        </w:rPr>
        <w:t>taxation Act</w:t>
      </w:r>
      <w:r>
        <w:rPr>
          <w:b/>
        </w:rPr>
        <w:t>”</w:t>
      </w:r>
      <w:r>
        <w:t xml:space="preserve"> means an enactment specified as a taxation Act under section 3(1);</w:t>
      </w:r>
    </w:p>
    <w:p>
      <w:pPr>
        <w:pStyle w:val="yDefstart"/>
      </w:pPr>
      <w:r>
        <w:tab/>
      </w:r>
      <w:r>
        <w:rPr>
          <w:b/>
        </w:rPr>
        <w:t>“</w:t>
      </w:r>
      <w:r>
        <w:rPr>
          <w:rStyle w:val="CharDefText"/>
        </w:rPr>
        <w:t>taxpayer</w:t>
      </w:r>
      <w:r>
        <w:rPr>
          <w:b/>
        </w:rPr>
        <w:t>”</w:t>
      </w:r>
      <w:r>
        <w:t xml:space="preserve"> means — </w:t>
      </w:r>
    </w:p>
    <w:p>
      <w:pPr>
        <w:pStyle w:val="yDefpara"/>
      </w:pPr>
      <w:r>
        <w:tab/>
        <w:t>(a)</w:t>
      </w:r>
      <w:r>
        <w:tab/>
        <w:t>a person who is or may be liable to pay tax;</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b/>
        </w:rPr>
        <w:t>“</w:t>
      </w:r>
      <w:r>
        <w:rPr>
          <w:rStyle w:val="CharDefText"/>
        </w:rPr>
        <w:t>tax payment arrangement</w:t>
      </w:r>
      <w:r>
        <w:rPr>
          <w:b/>
        </w:rPr>
        <w:t>”</w:t>
      </w:r>
      <w:r>
        <w:t xml:space="preserve"> means an arrangement approved under section 47;</w:t>
      </w:r>
    </w:p>
    <w:p>
      <w:pPr>
        <w:pStyle w:val="yDefstart"/>
      </w:pPr>
      <w:r>
        <w:tab/>
      </w:r>
      <w:r>
        <w:rPr>
          <w:b/>
        </w:rPr>
        <w:t>“</w:t>
      </w:r>
      <w:r>
        <w:rPr>
          <w:rStyle w:val="CharDefText"/>
        </w:rPr>
        <w:t>tax record</w:t>
      </w:r>
      <w:r>
        <w:rPr>
          <w:b/>
        </w:rPr>
        <w:t>”</w:t>
      </w:r>
      <w:r>
        <w:t xml:space="preserve"> means a record required to be kept under a taxation Act or under a special tax return arrangement;</w:t>
      </w:r>
    </w:p>
    <w:p>
      <w:pPr>
        <w:pStyle w:val="yDefstart"/>
      </w:pPr>
      <w:r>
        <w:tab/>
      </w:r>
      <w:r>
        <w:rPr>
          <w:b/>
        </w:rPr>
        <w:t>“</w:t>
      </w:r>
      <w:r>
        <w:rPr>
          <w:rStyle w:val="CharDefText"/>
        </w:rPr>
        <w:t>vehicle</w:t>
      </w:r>
      <w:r>
        <w:rPr>
          <w:b/>
        </w:rPr>
        <w:t>”</w:t>
      </w:r>
      <w:r>
        <w:t xml:space="preserve"> includes a train, vessel or aircraft.</w:t>
      </w:r>
    </w:p>
    <w:p>
      <w:pPr>
        <w:pStyle w:val="yFootnotesection"/>
      </w:pPr>
      <w:r>
        <w:tab/>
        <w:t>[Glossary amended by No. 66 of 2003 s. 95(5) and 108(3); No. 12 of 2004 s. 12; No. 55 of 2004 s. 1183; No. 60 of 2006 s. 184.]</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68" w:name="_Toc390071260"/>
      <w:r>
        <w:t>Notes</w:t>
      </w:r>
      <w:bookmarkEnd w:id="168"/>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4, 5, 6</w:t>
      </w:r>
      <w:r>
        <w:rPr>
          <w:snapToGrid w:val="0"/>
        </w:rPr>
        <w:t>.  The table also contains information about any reprint.</w:t>
      </w:r>
    </w:p>
    <w:p>
      <w:pPr>
        <w:pStyle w:val="nHeading3"/>
      </w:pPr>
      <w:bookmarkStart w:id="169" w:name="_Toc390071261"/>
      <w:r>
        <w:t>Compilation table</w:t>
      </w:r>
      <w:bookmarkEnd w:id="16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Taxation Administration Act 2003</w:t>
            </w:r>
          </w:p>
        </w:tc>
        <w:tc>
          <w:tcPr>
            <w:tcW w:w="1134" w:type="dxa"/>
            <w:tcBorders>
              <w:top w:val="single" w:sz="8" w:space="0" w:color="auto"/>
            </w:tcBorders>
          </w:tcPr>
          <w:p>
            <w:pPr>
              <w:pStyle w:val="nTable"/>
              <w:spacing w:after="40"/>
              <w:rPr>
                <w:sz w:val="19"/>
              </w:rPr>
            </w:pPr>
            <w:r>
              <w:rPr>
                <w:sz w:val="19"/>
              </w:rPr>
              <w:t xml:space="preserve">1 of 2003 </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s. 1 and 2: 20 Mar 2003;</w:t>
            </w:r>
            <w:r>
              <w:rPr>
                <w:sz w:val="19"/>
              </w:rPr>
              <w:br/>
              <w:t>Act other than s. 1, 2, 34(2)(c), (4) and (5), 41(2) and (4), 47(8), 48, 56(3), 57(3), 59 and 127 and the definition of “non</w:t>
            </w:r>
            <w:r>
              <w:rPr>
                <w:sz w:val="19"/>
              </w:rPr>
              <w:noBreakHyphen/>
              <w:t>reviewable decision” in the Glossary </w:t>
            </w:r>
            <w:r>
              <w:rPr>
                <w:sz w:val="19"/>
                <w:vertAlign w:val="superscript"/>
              </w:rPr>
              <w:t>3, 7</w:t>
            </w:r>
            <w:r>
              <w:rPr>
                <w:sz w:val="19"/>
              </w:rPr>
              <w:t xml:space="preserve">: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p>
        </w:tc>
      </w:tr>
      <w:tr>
        <w:tc>
          <w:tcPr>
            <w:tcW w:w="2268"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8</w:t>
            </w:r>
          </w:p>
        </w:tc>
        <w:tc>
          <w:tcPr>
            <w:tcW w:w="1134"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68"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4"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29 Jun 2004 (see s. 2(1))</w:t>
            </w:r>
          </w:p>
        </w:tc>
      </w:tr>
      <w:t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9</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z w:val="19"/>
              </w:rPr>
              <w:t xml:space="preserve">Revenue Laws Amendment (Tax Relief) Act 2004 </w:t>
            </w:r>
            <w:r>
              <w:rPr>
                <w:sz w:val="19"/>
              </w:rPr>
              <w:t>Pt. 3 </w:t>
            </w:r>
            <w:r>
              <w:rPr>
                <w:sz w:val="19"/>
                <w:vertAlign w:val="superscript"/>
              </w:rPr>
              <w:t>10</w:t>
            </w:r>
          </w:p>
        </w:tc>
        <w:tc>
          <w:tcPr>
            <w:tcW w:w="1134" w:type="dxa"/>
          </w:tcPr>
          <w:p>
            <w:pPr>
              <w:pStyle w:val="nTable"/>
              <w:spacing w:after="40"/>
              <w:rPr>
                <w:sz w:val="19"/>
              </w:rPr>
            </w:pPr>
            <w:r>
              <w:rPr>
                <w:sz w:val="19"/>
              </w:rPr>
              <w:t>82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2(1))</w:t>
            </w:r>
          </w:p>
        </w:tc>
      </w:tr>
      <w:tr>
        <w:trPr>
          <w:cantSplit/>
        </w:trPr>
        <w:tc>
          <w:tcPr>
            <w:tcW w:w="2268" w:type="dxa"/>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z w:val="19"/>
              </w:rPr>
            </w:pPr>
            <w:r>
              <w:rPr>
                <w:snapToGrid w:val="0"/>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keepNext/>
              <w:keepLines/>
              <w:spacing w:after="40"/>
              <w:rPr>
                <w:snapToGrid w:val="0"/>
                <w:sz w:val="19"/>
              </w:rPr>
            </w:pPr>
            <w:r>
              <w:rPr>
                <w:i/>
                <w:snapToGrid w:val="0"/>
                <w:sz w:val="19"/>
              </w:rPr>
              <w:t>Revenue Laws Amendment Act (No. 2) 2005</w:t>
            </w:r>
            <w:r>
              <w:rPr>
                <w:snapToGrid w:val="0"/>
                <w:sz w:val="19"/>
              </w:rPr>
              <w:t xml:space="preserve"> Pt. 4</w:t>
            </w:r>
          </w:p>
        </w:tc>
        <w:tc>
          <w:tcPr>
            <w:tcW w:w="1134" w:type="dxa"/>
          </w:tcPr>
          <w:p>
            <w:pPr>
              <w:pStyle w:val="nTable"/>
              <w:keepNext/>
              <w:keepLines/>
              <w:spacing w:after="40"/>
              <w:rPr>
                <w:snapToGrid w:val="0"/>
                <w:sz w:val="19"/>
              </w:rPr>
            </w:pPr>
            <w:r>
              <w:rPr>
                <w:snapToGrid w:val="0"/>
                <w:sz w:val="19"/>
              </w:rPr>
              <w:t>12 of 2005</w:t>
            </w:r>
          </w:p>
        </w:tc>
        <w:tc>
          <w:tcPr>
            <w:tcW w:w="1134" w:type="dxa"/>
          </w:tcPr>
          <w:p>
            <w:pPr>
              <w:pStyle w:val="nTable"/>
              <w:keepNext/>
              <w:keepLines/>
              <w:spacing w:after="40"/>
              <w:rPr>
                <w:sz w:val="19"/>
              </w:rPr>
            </w:pPr>
            <w:r>
              <w:rPr>
                <w:sz w:val="19"/>
              </w:rPr>
              <w:t>30 Aug 2005</w:t>
            </w:r>
          </w:p>
        </w:tc>
        <w:tc>
          <w:tcPr>
            <w:tcW w:w="2552" w:type="dxa"/>
          </w:tcPr>
          <w:p>
            <w:pPr>
              <w:pStyle w:val="nTable"/>
              <w:keepNext/>
              <w:keepLines/>
              <w:spacing w:after="40"/>
              <w:rPr>
                <w:snapToGrid w:val="0"/>
                <w:sz w:val="19"/>
              </w:rPr>
            </w:pPr>
            <w:r>
              <w:rPr>
                <w:snapToGrid w:val="0"/>
                <w:sz w:val="19"/>
              </w:rPr>
              <w:t>30 Aug 2005 (see s. 2(1))</w:t>
            </w:r>
          </w:p>
        </w:tc>
      </w:tr>
      <w:tr>
        <w:trPr>
          <w:cantSplit/>
        </w:trPr>
        <w:tc>
          <w:tcPr>
            <w:tcW w:w="7088" w:type="dxa"/>
            <w:gridSpan w:val="4"/>
          </w:tcPr>
          <w:p>
            <w:pPr>
              <w:pStyle w:val="nTable"/>
              <w:spacing w:after="40"/>
              <w:rPr>
                <w:snapToGrid w:val="0"/>
                <w:sz w:val="19"/>
              </w:rPr>
            </w:pPr>
            <w:r>
              <w:rPr>
                <w:b/>
                <w:snapToGrid w:val="0"/>
                <w:sz w:val="19"/>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68" w:type="dxa"/>
          </w:tcPr>
          <w:p>
            <w:pPr>
              <w:pStyle w:val="nTable"/>
              <w:rPr>
                <w:sz w:val="19"/>
              </w:rPr>
            </w:pPr>
            <w:r>
              <w:rPr>
                <w:i/>
                <w:snapToGrid w:val="0"/>
                <w:sz w:val="19"/>
              </w:rPr>
              <w:t>Planning and Development (Consequential and Transitional Provisions) Act 2005</w:t>
            </w:r>
            <w:r>
              <w:rPr>
                <w:sz w:val="19"/>
              </w:rPr>
              <w:t xml:space="preserve"> s. 15</w:t>
            </w:r>
          </w:p>
        </w:tc>
        <w:tc>
          <w:tcPr>
            <w:tcW w:w="1134" w:type="dxa"/>
          </w:tcPr>
          <w:p>
            <w:pPr>
              <w:pStyle w:val="nTable"/>
              <w:spacing w:after="60"/>
              <w:rPr>
                <w:sz w:val="19"/>
              </w:rPr>
            </w:pPr>
            <w:r>
              <w:rPr>
                <w:snapToGrid w:val="0"/>
                <w:sz w:val="19"/>
              </w:rPr>
              <w:t>38 of 2005</w:t>
            </w:r>
          </w:p>
        </w:tc>
        <w:tc>
          <w:tcPr>
            <w:tcW w:w="1134" w:type="dxa"/>
          </w:tcPr>
          <w:p>
            <w:pPr>
              <w:pStyle w:val="nTable"/>
              <w:rPr>
                <w:sz w:val="19"/>
              </w:rPr>
            </w:pPr>
            <w:r>
              <w:rPr>
                <w:sz w:val="19"/>
              </w:rPr>
              <w:t>12 Dec 2005</w:t>
            </w:r>
          </w:p>
        </w:tc>
        <w:tc>
          <w:tcPr>
            <w:tcW w:w="2552" w:type="dxa"/>
          </w:tcPr>
          <w:p>
            <w:pPr>
              <w:pStyle w:val="nTable"/>
              <w:rPr>
                <w:sz w:val="19"/>
              </w:rPr>
            </w:pPr>
            <w:r>
              <w:rPr>
                <w:sz w:val="19"/>
              </w:rPr>
              <w:t xml:space="preserve">9 Apr 2006 (see s. 2 and </w:t>
            </w:r>
            <w:r>
              <w:rPr>
                <w:i/>
                <w:sz w:val="19"/>
              </w:rPr>
              <w:t>Gazette</w:t>
            </w:r>
            <w:r>
              <w:rPr>
                <w:sz w:val="19"/>
              </w:rPr>
              <w:t xml:space="preserve"> 21 Mar 2006 p. 1078)</w:t>
            </w:r>
          </w:p>
        </w:tc>
      </w:tr>
      <w:tr>
        <w:tc>
          <w:tcPr>
            <w:tcW w:w="2268" w:type="dxa"/>
          </w:tcPr>
          <w:p>
            <w:pPr>
              <w:pStyle w:val="nTable"/>
              <w:rPr>
                <w:i/>
                <w:snapToGrid w:val="0"/>
                <w:sz w:val="19"/>
              </w:rPr>
            </w:pPr>
            <w:r>
              <w:rPr>
                <w:i/>
                <w:snapToGrid w:val="0"/>
                <w:sz w:val="19"/>
              </w:rPr>
              <w:t>Land Information Authority Act 2006</w:t>
            </w:r>
            <w:r>
              <w:rPr>
                <w:snapToGrid w:val="0"/>
                <w:sz w:val="19"/>
              </w:rPr>
              <w:t xml:space="preserve"> s. 184</w:t>
            </w:r>
            <w:r>
              <w:rPr>
                <w:snapToGrid w:val="0"/>
                <w:sz w:val="19"/>
                <w:vertAlign w:val="superscript"/>
              </w:rPr>
              <w:t xml:space="preserve"> </w:t>
            </w:r>
          </w:p>
        </w:tc>
        <w:tc>
          <w:tcPr>
            <w:tcW w:w="1134" w:type="dxa"/>
          </w:tcPr>
          <w:p>
            <w:pPr>
              <w:pStyle w:val="nTable"/>
              <w:spacing w:after="60"/>
              <w:rPr>
                <w:snapToGrid w:val="0"/>
                <w:sz w:val="19"/>
              </w:rPr>
            </w:pPr>
            <w:r>
              <w:rPr>
                <w:snapToGrid w:val="0"/>
                <w:sz w:val="19"/>
              </w:rPr>
              <w:t>60 of 2006</w:t>
            </w:r>
          </w:p>
        </w:tc>
        <w:tc>
          <w:tcPr>
            <w:tcW w:w="1134" w:type="dxa"/>
          </w:tcPr>
          <w:p>
            <w:pPr>
              <w:pStyle w:val="nTable"/>
              <w:rPr>
                <w:sz w:val="19"/>
              </w:rPr>
            </w:pPr>
            <w:r>
              <w:rPr>
                <w:snapToGrid w:val="0"/>
                <w:sz w:val="19"/>
              </w:rPr>
              <w:t>16 Nov 2006</w:t>
            </w:r>
          </w:p>
        </w:tc>
        <w:tc>
          <w:tcPr>
            <w:tcW w:w="2552" w:type="dxa"/>
          </w:tcPr>
          <w:p>
            <w:pPr>
              <w:pStyle w:val="nTable"/>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rPr>
                <w:i/>
                <w:snapToGrid w:val="0"/>
                <w:sz w:val="19"/>
              </w:rPr>
            </w:pPr>
            <w:r>
              <w:rPr>
                <w:i/>
                <w:snapToGrid w:val="0"/>
                <w:sz w:val="19"/>
              </w:rPr>
              <w:t>Financial Legislation Amendment and Repeal Act 2006</w:t>
            </w:r>
            <w:r>
              <w:rPr>
                <w:snapToGrid w:val="0"/>
                <w:sz w:val="19"/>
              </w:rPr>
              <w:t xml:space="preserve"> s. 17</w:t>
            </w:r>
          </w:p>
        </w:tc>
        <w:tc>
          <w:tcPr>
            <w:tcW w:w="1134" w:type="dxa"/>
          </w:tcPr>
          <w:p>
            <w:pPr>
              <w:pStyle w:val="nTable"/>
              <w:spacing w:after="60"/>
              <w:rPr>
                <w:snapToGrid w:val="0"/>
                <w:sz w:val="19"/>
              </w:rPr>
            </w:pPr>
            <w:r>
              <w:rPr>
                <w:snapToGrid w:val="0"/>
                <w:sz w:val="19"/>
              </w:rPr>
              <w:t>77 of 2006</w:t>
            </w:r>
          </w:p>
        </w:tc>
        <w:tc>
          <w:tcPr>
            <w:tcW w:w="1134" w:type="dxa"/>
          </w:tcPr>
          <w:p>
            <w:pPr>
              <w:pStyle w:val="nTable"/>
              <w:rPr>
                <w:snapToGrid w:val="0"/>
                <w:sz w:val="19"/>
              </w:rPr>
            </w:pPr>
            <w:r>
              <w:rPr>
                <w:snapToGrid w:val="0"/>
                <w:sz w:val="19"/>
              </w:rPr>
              <w:t>21 Dec 2006</w:t>
            </w:r>
          </w:p>
        </w:tc>
        <w:tc>
          <w:tcPr>
            <w:tcW w:w="2552" w:type="dxa"/>
          </w:tcPr>
          <w:p>
            <w:pPr>
              <w:pStyle w:val="nTable"/>
              <w:rPr>
                <w:sz w:val="19"/>
              </w:rPr>
            </w:pPr>
            <w:r>
              <w:rPr>
                <w:sz w:val="19"/>
              </w:rPr>
              <w:t xml:space="preserve">1 Feb 2007 (see s. 2(1) and </w:t>
            </w:r>
            <w:r>
              <w:rPr>
                <w:i/>
                <w:sz w:val="19"/>
              </w:rPr>
              <w:t>Gazette</w:t>
            </w:r>
            <w:r>
              <w:rPr>
                <w:sz w:val="19"/>
              </w:rPr>
              <w:t xml:space="preserve"> 19 Jan 2007 p. 137)</w:t>
            </w:r>
          </w:p>
        </w:tc>
      </w:tr>
      <w:tr>
        <w:tc>
          <w:tcPr>
            <w:tcW w:w="2268" w:type="dxa"/>
          </w:tcPr>
          <w:p>
            <w:pPr>
              <w:pStyle w:val="nTable"/>
              <w:rPr>
                <w:iCs/>
                <w:snapToGrid w:val="0"/>
                <w:sz w:val="19"/>
              </w:rPr>
            </w:pPr>
            <w:r>
              <w:rPr>
                <w:i/>
                <w:snapToGrid w:val="0"/>
                <w:sz w:val="19"/>
              </w:rPr>
              <w:t>Revenue Laws Amendment (Assessment) Act 2007</w:t>
            </w:r>
            <w:r>
              <w:rPr>
                <w:iCs/>
                <w:snapToGrid w:val="0"/>
                <w:sz w:val="19"/>
              </w:rPr>
              <w:t xml:space="preserve"> Pt. 3</w:t>
            </w:r>
          </w:p>
        </w:tc>
        <w:tc>
          <w:tcPr>
            <w:tcW w:w="1134" w:type="dxa"/>
          </w:tcPr>
          <w:p>
            <w:pPr>
              <w:pStyle w:val="nTable"/>
              <w:spacing w:after="60"/>
              <w:rPr>
                <w:snapToGrid w:val="0"/>
                <w:sz w:val="19"/>
              </w:rPr>
            </w:pPr>
            <w:r>
              <w:rPr>
                <w:snapToGrid w:val="0"/>
                <w:sz w:val="19"/>
              </w:rPr>
              <w:t xml:space="preserve">13 of 2007 </w:t>
            </w:r>
          </w:p>
        </w:tc>
        <w:tc>
          <w:tcPr>
            <w:tcW w:w="1134" w:type="dxa"/>
          </w:tcPr>
          <w:p>
            <w:pPr>
              <w:pStyle w:val="nTable"/>
              <w:rPr>
                <w:snapToGrid w:val="0"/>
                <w:sz w:val="19"/>
              </w:rPr>
            </w:pPr>
            <w:r>
              <w:rPr>
                <w:snapToGrid w:val="0"/>
                <w:sz w:val="19"/>
              </w:rPr>
              <w:t>29 Jun 2007</w:t>
            </w:r>
          </w:p>
        </w:tc>
        <w:tc>
          <w:tcPr>
            <w:tcW w:w="2552" w:type="dxa"/>
          </w:tcPr>
          <w:p>
            <w:pPr>
              <w:pStyle w:val="nTable"/>
              <w:rPr>
                <w:sz w:val="19"/>
              </w:rPr>
            </w:pPr>
            <w:r>
              <w:rPr>
                <w:sz w:val="19"/>
              </w:rPr>
              <w:t>30 Jun 2007 (see s. 2(b))</w:t>
            </w:r>
          </w:p>
        </w:tc>
      </w:tr>
      <w:tr>
        <w:trPr>
          <w:cantSplit/>
        </w:trPr>
        <w:tc>
          <w:tcPr>
            <w:tcW w:w="7088" w:type="dxa"/>
            <w:gridSpan w:val="4"/>
          </w:tcPr>
          <w:p>
            <w:pPr>
              <w:pStyle w:val="nTable"/>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r>
        <w:tc>
          <w:tcPr>
            <w:tcW w:w="2268" w:type="dxa"/>
            <w:tcBorders>
              <w:bottom w:val="single" w:sz="4" w:space="0" w:color="auto"/>
            </w:tcBorders>
          </w:tcPr>
          <w:p>
            <w:pPr>
              <w:pStyle w:val="nTable"/>
              <w:rPr>
                <w:iCs/>
                <w:snapToGrid w:val="0"/>
                <w:sz w:val="19"/>
              </w:rPr>
            </w:pPr>
            <w:r>
              <w:rPr>
                <w:i/>
                <w:snapToGrid w:val="0"/>
                <w:sz w:val="19"/>
              </w:rPr>
              <w:t>Revenue Laws Amendment Act (No. 2) 2008</w:t>
            </w:r>
            <w:r>
              <w:rPr>
                <w:iCs/>
                <w:snapToGrid w:val="0"/>
                <w:sz w:val="19"/>
              </w:rPr>
              <w:t xml:space="preserve"> Pt. 2 Div. 1 and Pt. 3 Div. 1 and 2</w:t>
            </w:r>
          </w:p>
        </w:tc>
        <w:tc>
          <w:tcPr>
            <w:tcW w:w="1134" w:type="dxa"/>
            <w:tcBorders>
              <w:bottom w:val="single" w:sz="4" w:space="0" w:color="auto"/>
            </w:tcBorders>
          </w:tcPr>
          <w:p>
            <w:pPr>
              <w:pStyle w:val="nTable"/>
              <w:spacing w:after="60"/>
              <w:rPr>
                <w:snapToGrid w:val="0"/>
                <w:sz w:val="19"/>
              </w:rPr>
            </w:pPr>
            <w:r>
              <w:rPr>
                <w:snapToGrid w:val="0"/>
                <w:sz w:val="19"/>
              </w:rPr>
              <w:t>31 of 2008</w:t>
            </w:r>
          </w:p>
        </w:tc>
        <w:tc>
          <w:tcPr>
            <w:tcW w:w="1134" w:type="dxa"/>
            <w:tcBorders>
              <w:bottom w:val="single" w:sz="4" w:space="0" w:color="auto"/>
            </w:tcBorders>
          </w:tcPr>
          <w:p>
            <w:pPr>
              <w:pStyle w:val="nTable"/>
              <w:rPr>
                <w:snapToGrid w:val="0"/>
                <w:sz w:val="19"/>
              </w:rPr>
            </w:pPr>
            <w:r>
              <w:rPr>
                <w:snapToGrid w:val="0"/>
                <w:sz w:val="19"/>
              </w:rPr>
              <w:t>27 Jun 2008</w:t>
            </w:r>
          </w:p>
        </w:tc>
        <w:tc>
          <w:tcPr>
            <w:tcW w:w="2552" w:type="dxa"/>
            <w:tcBorders>
              <w:bottom w:val="single" w:sz="4" w:space="0" w:color="auto"/>
            </w:tcBorders>
          </w:tcPr>
          <w:p>
            <w:pPr>
              <w:pStyle w:val="nTable"/>
              <w:rPr>
                <w:sz w:val="19"/>
              </w:rPr>
            </w:pPr>
            <w:r>
              <w:rPr>
                <w:sz w:val="19"/>
              </w:rPr>
              <w:t>28 Jun 2008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0" w:name="_Toc390071262"/>
      <w:r>
        <w:t>Provisions that have not come into operation</w:t>
      </w:r>
      <w:bookmarkEnd w:id="1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vertAlign w:val="superscript"/>
              </w:rPr>
            </w:pPr>
            <w:r>
              <w:rPr>
                <w:i/>
                <w:sz w:val="19"/>
              </w:rPr>
              <w:t>Taxation Administration Act 2003</w:t>
            </w:r>
            <w:r>
              <w:rPr>
                <w:sz w:val="19"/>
              </w:rPr>
              <w:t xml:space="preserve"> s. 34(2)(c) and (4), 47(8), 48, 56(3), 57(3) and 59 </w:t>
            </w:r>
            <w:r>
              <w:rPr>
                <w:sz w:val="19"/>
                <w:vertAlign w:val="superscript"/>
              </w:rPr>
              <w:t>3</w:t>
            </w:r>
          </w:p>
        </w:tc>
        <w:tc>
          <w:tcPr>
            <w:tcW w:w="1134" w:type="dxa"/>
            <w:tcBorders>
              <w:top w:val="single" w:sz="4" w:space="0" w:color="auto"/>
            </w:tcBorders>
          </w:tcPr>
          <w:p>
            <w:pPr>
              <w:pStyle w:val="nTable"/>
              <w:spacing w:after="40"/>
              <w:rPr>
                <w:sz w:val="19"/>
              </w:rPr>
            </w:pPr>
            <w:r>
              <w:rPr>
                <w:sz w:val="19"/>
              </w:rPr>
              <w:t>1 of 2003</w:t>
            </w:r>
            <w:r>
              <w:rPr>
                <w:sz w:val="19"/>
              </w:rPr>
              <w:br/>
              <w:t>(as amended by No. 55 of 2004; No. 31 of 2008 s. 24)</w:t>
            </w:r>
          </w:p>
        </w:tc>
        <w:tc>
          <w:tcPr>
            <w:tcW w:w="1134" w:type="dxa"/>
            <w:tcBorders>
              <w:top w:val="single" w:sz="4" w:space="0" w:color="auto"/>
            </w:tcBorders>
          </w:tcPr>
          <w:p>
            <w:pPr>
              <w:pStyle w:val="nTable"/>
              <w:spacing w:after="40"/>
              <w:rPr>
                <w:sz w:val="19"/>
              </w:rPr>
            </w:pPr>
            <w:r>
              <w:rPr>
                <w:sz w:val="19"/>
              </w:rPr>
              <w:t>20 Mar 2003</w:t>
            </w:r>
          </w:p>
        </w:tc>
        <w:tc>
          <w:tcPr>
            <w:tcW w:w="2552" w:type="dxa"/>
            <w:tcBorders>
              <w:top w:val="single" w:sz="4" w:space="0" w:color="auto"/>
            </w:tcBorders>
          </w:tcPr>
          <w:p>
            <w:pPr>
              <w:pStyle w:val="nTable"/>
              <w:spacing w:after="40"/>
              <w:rPr>
                <w:sz w:val="19"/>
              </w:rPr>
            </w:pPr>
            <w:r>
              <w:rPr>
                <w:sz w:val="19"/>
              </w:rPr>
              <w:t>To be proclaimed (see s. 2)</w:t>
            </w:r>
          </w:p>
        </w:tc>
      </w:tr>
      <w:tr>
        <w:tc>
          <w:tcPr>
            <w:tcW w:w="2268" w:type="dxa"/>
          </w:tcPr>
          <w:p>
            <w:pPr>
              <w:pStyle w:val="nTable"/>
              <w:spacing w:before="100"/>
              <w:rPr>
                <w:i/>
                <w:iCs/>
                <w:snapToGrid w:val="0"/>
                <w:sz w:val="19"/>
                <w:vertAlign w:val="superscript"/>
              </w:rPr>
            </w:pPr>
            <w:r>
              <w:rPr>
                <w:i/>
                <w:snapToGrid w:val="0"/>
                <w:sz w:val="19"/>
              </w:rPr>
              <w:t>Biosecurity and Agriculture Management (Repeal and Consequential Provisions) Act 2007</w:t>
            </w:r>
            <w:r>
              <w:rPr>
                <w:iCs/>
                <w:snapToGrid w:val="0"/>
                <w:sz w:val="19"/>
              </w:rPr>
              <w:t xml:space="preserve"> s. 94 </w:t>
            </w:r>
            <w:r>
              <w:rPr>
                <w:iCs/>
                <w:snapToGrid w:val="0"/>
                <w:sz w:val="19"/>
                <w:vertAlign w:val="superscript"/>
              </w:rPr>
              <w:t>11</w:t>
            </w:r>
          </w:p>
        </w:tc>
        <w:tc>
          <w:tcPr>
            <w:tcW w:w="1134" w:type="dxa"/>
          </w:tcPr>
          <w:p>
            <w:pPr>
              <w:pStyle w:val="nTable"/>
              <w:spacing w:before="100"/>
              <w:rPr>
                <w:snapToGrid w:val="0"/>
                <w:sz w:val="19"/>
              </w:rPr>
            </w:pPr>
            <w:r>
              <w:rPr>
                <w:snapToGrid w:val="0"/>
                <w:sz w:val="19"/>
              </w:rPr>
              <w:t>24 of 2007</w:t>
            </w:r>
          </w:p>
        </w:tc>
        <w:tc>
          <w:tcPr>
            <w:tcW w:w="1134" w:type="dxa"/>
          </w:tcPr>
          <w:p>
            <w:pPr>
              <w:pStyle w:val="nTable"/>
              <w:spacing w:before="100"/>
              <w:rPr>
                <w:sz w:val="19"/>
              </w:rPr>
            </w:pPr>
            <w:r>
              <w:rPr>
                <w:snapToGrid w:val="0"/>
                <w:sz w:val="19"/>
              </w:rPr>
              <w:t>12 Oct 2007</w:t>
            </w:r>
          </w:p>
        </w:tc>
        <w:tc>
          <w:tcPr>
            <w:tcW w:w="2552" w:type="dxa"/>
          </w:tcPr>
          <w:p>
            <w:pPr>
              <w:pStyle w:val="nTable"/>
              <w:spacing w:before="100"/>
              <w:rPr>
                <w:snapToGrid w:val="0"/>
                <w:sz w:val="19"/>
              </w:rPr>
            </w:pPr>
            <w:r>
              <w:rPr>
                <w:snapToGrid w:val="0"/>
                <w:sz w:val="19"/>
              </w:rPr>
              <w:t>To be proclaimed (s. 2(2))</w:t>
            </w:r>
          </w:p>
        </w:tc>
      </w:tr>
      <w:tr>
        <w:tc>
          <w:tcPr>
            <w:tcW w:w="2268" w:type="dxa"/>
          </w:tcPr>
          <w:p>
            <w:pPr>
              <w:pStyle w:val="nTable"/>
              <w:keepNext/>
              <w:keepLines/>
              <w:spacing w:before="100"/>
              <w:rPr>
                <w:i/>
                <w:snapToGrid w:val="0"/>
                <w:sz w:val="19"/>
              </w:rPr>
            </w:pPr>
            <w:r>
              <w:rPr>
                <w:i/>
                <w:sz w:val="19"/>
              </w:rPr>
              <w:t>Duties Legislation Amendment Act 2008</w:t>
            </w:r>
            <w:r>
              <w:rPr>
                <w:iCs/>
                <w:sz w:val="19"/>
              </w:rPr>
              <w:t xml:space="preserve"> Pt. 2 Div. 3 </w:t>
            </w:r>
            <w:r>
              <w:rPr>
                <w:iCs/>
                <w:sz w:val="19"/>
                <w:vertAlign w:val="superscript"/>
              </w:rPr>
              <w:t>12</w:t>
            </w:r>
          </w:p>
        </w:tc>
        <w:tc>
          <w:tcPr>
            <w:tcW w:w="1134" w:type="dxa"/>
          </w:tcPr>
          <w:p>
            <w:pPr>
              <w:pStyle w:val="nTable"/>
              <w:spacing w:before="100"/>
              <w:rPr>
                <w:snapToGrid w:val="0"/>
                <w:sz w:val="19"/>
              </w:rPr>
            </w:pPr>
            <w:r>
              <w:rPr>
                <w:sz w:val="19"/>
              </w:rPr>
              <w:t>12 of 2008</w:t>
            </w:r>
          </w:p>
        </w:tc>
        <w:tc>
          <w:tcPr>
            <w:tcW w:w="1134" w:type="dxa"/>
          </w:tcPr>
          <w:p>
            <w:pPr>
              <w:pStyle w:val="nTable"/>
              <w:spacing w:before="100"/>
              <w:rPr>
                <w:snapToGrid w:val="0"/>
                <w:sz w:val="19"/>
              </w:rPr>
            </w:pPr>
            <w:r>
              <w:rPr>
                <w:sz w:val="19"/>
              </w:rPr>
              <w:t>14 Apr 2008</w:t>
            </w:r>
          </w:p>
        </w:tc>
        <w:tc>
          <w:tcPr>
            <w:tcW w:w="2552" w:type="dxa"/>
          </w:tcPr>
          <w:p>
            <w:pPr>
              <w:pStyle w:val="nTable"/>
              <w:spacing w:before="100"/>
              <w:rPr>
                <w:snapToGrid w:val="0"/>
                <w:sz w:val="19"/>
              </w:rPr>
            </w:pPr>
            <w:r>
              <w:rPr>
                <w:sz w:val="19"/>
              </w:rPr>
              <w:t>1 Jul 2008 (see s. 2(d))</w:t>
            </w:r>
          </w:p>
        </w:tc>
      </w:tr>
      <w:tr>
        <w:tc>
          <w:tcPr>
            <w:tcW w:w="2268" w:type="dxa"/>
            <w:tcBorders>
              <w:bottom w:val="single" w:sz="4" w:space="0" w:color="auto"/>
            </w:tcBorders>
          </w:tcPr>
          <w:p>
            <w:pPr>
              <w:pStyle w:val="nTable"/>
              <w:rPr>
                <w:iCs/>
                <w:snapToGrid w:val="0"/>
                <w:sz w:val="19"/>
                <w:vertAlign w:val="superscript"/>
              </w:rPr>
            </w:pPr>
            <w:r>
              <w:rPr>
                <w:i/>
                <w:snapToGrid w:val="0"/>
                <w:sz w:val="19"/>
              </w:rPr>
              <w:t>Revenue Laws Amendment Act (No. 2) 2008</w:t>
            </w:r>
            <w:r>
              <w:rPr>
                <w:iCs/>
                <w:snapToGrid w:val="0"/>
                <w:sz w:val="19"/>
              </w:rPr>
              <w:t xml:space="preserve"> Pt. 3 Div. 3 </w:t>
            </w:r>
            <w:r>
              <w:rPr>
                <w:iCs/>
                <w:snapToGrid w:val="0"/>
                <w:sz w:val="19"/>
                <w:vertAlign w:val="superscript"/>
              </w:rPr>
              <w:t>13</w:t>
            </w:r>
          </w:p>
        </w:tc>
        <w:tc>
          <w:tcPr>
            <w:tcW w:w="1134" w:type="dxa"/>
            <w:tcBorders>
              <w:bottom w:val="single" w:sz="4" w:space="0" w:color="auto"/>
            </w:tcBorders>
          </w:tcPr>
          <w:p>
            <w:pPr>
              <w:pStyle w:val="nTable"/>
              <w:spacing w:after="60"/>
              <w:rPr>
                <w:snapToGrid w:val="0"/>
                <w:sz w:val="19"/>
              </w:rPr>
            </w:pPr>
            <w:r>
              <w:rPr>
                <w:snapToGrid w:val="0"/>
                <w:sz w:val="19"/>
              </w:rPr>
              <w:t>31 of 2008</w:t>
            </w:r>
          </w:p>
        </w:tc>
        <w:tc>
          <w:tcPr>
            <w:tcW w:w="1134" w:type="dxa"/>
            <w:tcBorders>
              <w:bottom w:val="single" w:sz="4" w:space="0" w:color="auto"/>
            </w:tcBorders>
          </w:tcPr>
          <w:p>
            <w:pPr>
              <w:pStyle w:val="nTable"/>
              <w:rPr>
                <w:snapToGrid w:val="0"/>
                <w:sz w:val="19"/>
              </w:rPr>
            </w:pPr>
            <w:r>
              <w:rPr>
                <w:snapToGrid w:val="0"/>
                <w:sz w:val="19"/>
              </w:rPr>
              <w:t>27 Jun 2008</w:t>
            </w:r>
          </w:p>
        </w:tc>
        <w:tc>
          <w:tcPr>
            <w:tcW w:w="2552" w:type="dxa"/>
            <w:tcBorders>
              <w:bottom w:val="single" w:sz="4" w:space="0" w:color="auto"/>
            </w:tcBorders>
          </w:tcPr>
          <w:p>
            <w:pPr>
              <w:pStyle w:val="nTable"/>
              <w:rPr>
                <w:sz w:val="19"/>
              </w:rPr>
            </w:pPr>
            <w:r>
              <w:rPr>
                <w:sz w:val="19"/>
              </w:rPr>
              <w:t>To be proclaimed (see s. 2(d))</w:t>
            </w:r>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keepLines/>
        <w:spacing w:before="16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Taxation Administration Act 2003</w:t>
      </w:r>
      <w:r>
        <w:rPr>
          <w:snapToGrid w:val="0"/>
        </w:rPr>
        <w:t xml:space="preserve"> </w:t>
      </w:r>
      <w:r>
        <w:t>s. 34(2)(c) and (4), 47(8), 48, 56(3), 57(3) and 59</w:t>
      </w:r>
      <w:r>
        <w:rPr>
          <w:snapToGrid w:val="0"/>
        </w:rPr>
        <w:t xml:space="preserve"> (as amended by the </w:t>
      </w:r>
      <w:r>
        <w:rPr>
          <w:i/>
          <w:snapToGrid w:val="0"/>
        </w:rPr>
        <w:t>State Administrative Tribunal (Conferral of Jurisdiction) Amendment and Repeal Act 2004</w:t>
      </w:r>
      <w:r>
        <w:rPr>
          <w:sz w:val="19"/>
        </w:rPr>
        <w:t xml:space="preserve">) </w:t>
      </w:r>
      <w:r>
        <w:rPr>
          <w:snapToGrid w:val="0"/>
        </w:rPr>
        <w:t>had not come into operation.  They read as follows:</w:t>
      </w:r>
    </w:p>
    <w:p>
      <w:pPr>
        <w:pStyle w:val="MiscOpen"/>
      </w:pPr>
      <w:r>
        <w:t>“</w:t>
      </w:r>
    </w:p>
    <w:p>
      <w:pPr>
        <w:pStyle w:val="nzHeading5"/>
      </w:pPr>
      <w:r>
        <w:rPr>
          <w:rStyle w:val="CharSectno"/>
        </w:rPr>
        <w:t>34</w:t>
      </w:r>
      <w:r>
        <w:t>.</w:t>
      </w:r>
      <w:r>
        <w:tab/>
        <w:t>Right to object</w:t>
      </w:r>
    </w:p>
    <w:p>
      <w:pPr>
        <w:pStyle w:val="nzSubsection"/>
      </w:pPr>
      <w:r>
        <w:tab/>
        <w:t>(2)</w:t>
      </w:r>
      <w:r>
        <w:tab/>
        <w:t>...</w:t>
      </w:r>
    </w:p>
    <w:p>
      <w:pPr>
        <w:pStyle w:val="nzIndenta"/>
      </w:pPr>
      <w:r>
        <w:tab/>
        <w:t>(c)</w:t>
      </w:r>
      <w:r>
        <w:tab/>
        <w:t>a directly reviewable decision;</w:t>
      </w:r>
    </w:p>
    <w:p>
      <w:pPr>
        <w:pStyle w:val="nzSubsection"/>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nzMiscellaneousBody"/>
        <w:tabs>
          <w:tab w:val="left" w:pos="1418"/>
        </w:tabs>
        <w:ind w:left="1440" w:hanging="873"/>
        <w:rPr>
          <w:i/>
        </w:rPr>
      </w:pPr>
      <w:r>
        <w:tab/>
      </w:r>
      <w:r>
        <w:rPr>
          <w:i/>
        </w:rPr>
        <w:t>[Section 34 amended by No. 55 of 2004 s. 1171; No. 31 of 2008 s. 24.]</w:t>
      </w:r>
    </w:p>
    <w:p>
      <w:pPr>
        <w:pStyle w:val="nzHeading5"/>
      </w:pPr>
      <w:r>
        <w:rPr>
          <w:rStyle w:val="CharSectno"/>
        </w:rPr>
        <w:t>47</w:t>
      </w:r>
      <w:r>
        <w:t>.</w:t>
      </w:r>
      <w:r>
        <w:tab/>
        <w:t>Arrangements for instalments and extensions of time</w:t>
      </w:r>
    </w:p>
    <w:p>
      <w:pPr>
        <w:pStyle w:val="nzSubsection"/>
      </w:pPr>
      <w:r>
        <w:tab/>
        <w:t>(8)</w:t>
      </w:r>
      <w:r>
        <w:tab/>
        <w:t>A decision of the Commissioner under this section in connection with extending time for payment of tax or approving payment of tax in instalments is directly reviewable.</w:t>
      </w:r>
    </w:p>
    <w:p>
      <w:pPr>
        <w:pStyle w:val="nzMiscellaneousBody"/>
        <w:tabs>
          <w:tab w:val="left" w:pos="1418"/>
        </w:tabs>
        <w:rPr>
          <w:i/>
        </w:rPr>
      </w:pPr>
      <w:r>
        <w:tab/>
      </w:r>
      <w:r>
        <w:rPr>
          <w:i/>
        </w:rPr>
        <w:t>[Section 47 amended by No. 55 of 2004 s. 1179.]</w:t>
      </w:r>
    </w:p>
    <w:p>
      <w:pPr>
        <w:pStyle w:val="nzHeading5"/>
      </w:pPr>
      <w:r>
        <w:rPr>
          <w:rStyle w:val="CharSectno"/>
        </w:rPr>
        <w:t>48</w:t>
      </w:r>
      <w:r>
        <w:t>.</w:t>
      </w:r>
      <w:r>
        <w:tab/>
        <w:t>No action to compel approval of tax payment arrangement</w:t>
      </w:r>
    </w:p>
    <w:p>
      <w:pPr>
        <w:pStyle w:val="nzSubsection"/>
      </w:pPr>
      <w:r>
        <w:tab/>
      </w:r>
      <w:r>
        <w:tab/>
        <w:t>No action can be brought in a court to compel the Commissioner to approve a tax payment arrangement.</w:t>
      </w:r>
    </w:p>
    <w:p>
      <w:pPr>
        <w:pStyle w:val="nzHeading5"/>
      </w:pPr>
      <w:r>
        <w:rPr>
          <w:rStyle w:val="CharSectno"/>
        </w:rPr>
        <w:t>56</w:t>
      </w:r>
      <w:r>
        <w:t>.</w:t>
      </w:r>
      <w:r>
        <w:tab/>
        <w:t>Waiver of tax</w:t>
      </w:r>
    </w:p>
    <w:p>
      <w:pPr>
        <w:pStyle w:val="nzSubsection"/>
      </w:pPr>
      <w:r>
        <w:tab/>
        <w:t>(3)</w:t>
      </w:r>
      <w:r>
        <w:tab/>
        <w:t>A decision by the Commissioner to waive tax, or not to waive tax, is directly reviewable.</w:t>
      </w:r>
    </w:p>
    <w:p>
      <w:pPr>
        <w:pStyle w:val="nzMiscellaneousBody"/>
        <w:tabs>
          <w:tab w:val="left" w:pos="1418"/>
        </w:tabs>
        <w:rPr>
          <w:i/>
        </w:rPr>
      </w:pPr>
      <w:r>
        <w:tab/>
      </w:r>
      <w:r>
        <w:rPr>
          <w:i/>
        </w:rPr>
        <w:t>[Section 56 amended by No. 55 of 2004 s. 1180.]</w:t>
      </w:r>
    </w:p>
    <w:p>
      <w:pPr>
        <w:pStyle w:val="nzHeading5"/>
      </w:pPr>
      <w:r>
        <w:rPr>
          <w:rStyle w:val="CharSectno"/>
        </w:rPr>
        <w:t>57</w:t>
      </w:r>
      <w:r>
        <w:t>.</w:t>
      </w:r>
      <w:r>
        <w:tab/>
        <w:t>Writing off tax liability</w:t>
      </w:r>
    </w:p>
    <w:p>
      <w:pPr>
        <w:pStyle w:val="nzSubsection"/>
        <w:keepNext/>
        <w:keepLines/>
      </w:pPr>
      <w:r>
        <w:tab/>
        <w:t>(3)</w:t>
      </w:r>
      <w:r>
        <w:tab/>
        <w:t>A decision by the Commissioner to write off a liability, or not to write off a liability, is directly reviewable.</w:t>
      </w:r>
    </w:p>
    <w:p>
      <w:pPr>
        <w:pStyle w:val="nzMiscellaneousBody"/>
        <w:tabs>
          <w:tab w:val="left" w:pos="1418"/>
        </w:tabs>
        <w:rPr>
          <w:i/>
        </w:rPr>
      </w:pPr>
      <w:r>
        <w:tab/>
      </w:r>
      <w:r>
        <w:rPr>
          <w:i/>
        </w:rPr>
        <w:t>[Section 57 amended by No. 55 of 2004 s. 1181.]</w:t>
      </w:r>
    </w:p>
    <w:p>
      <w:pPr>
        <w:pStyle w:val="nzHeading5"/>
      </w:pPr>
      <w:r>
        <w:rPr>
          <w:rStyle w:val="CharSectno"/>
        </w:rPr>
        <w:t>59</w:t>
      </w:r>
      <w:r>
        <w:t>.</w:t>
      </w:r>
      <w:r>
        <w:tab/>
        <w:t>No action to compel waiver or writing off</w:t>
      </w:r>
    </w:p>
    <w:p>
      <w:pPr>
        <w:pStyle w:val="nzSubsection"/>
      </w:pPr>
      <w:r>
        <w:tab/>
        <w:t>(1)</w:t>
      </w:r>
      <w:r>
        <w:tab/>
        <w:t>No action can be brought in a court to compel the Commissioner to waive payment of tax or to write off a tax liability.</w:t>
      </w:r>
    </w:p>
    <w:p>
      <w:pPr>
        <w:pStyle w:val="nzSubsection"/>
        <w:rPr>
          <w:snapToGrid w:val="0"/>
        </w:rPr>
      </w:pPr>
      <w:r>
        <w:tab/>
        <w:t>(2)</w:t>
      </w:r>
      <w:r>
        <w:tab/>
        <w:t xml:space="preserve">Subsection (1) does not prevent an appeal from a decision of the </w:t>
      </w:r>
      <w:r>
        <w:rPr>
          <w:snapToGrid w:val="0"/>
        </w:rPr>
        <w:t>State Administrative Tribunal.</w:t>
      </w:r>
    </w:p>
    <w:p>
      <w:pPr>
        <w:pStyle w:val="nzMiscellaneousBody"/>
        <w:tabs>
          <w:tab w:val="left" w:pos="1418"/>
        </w:tabs>
        <w:rPr>
          <w:i/>
        </w:rPr>
      </w:pPr>
      <w:r>
        <w:tab/>
      </w:r>
      <w:r>
        <w:rPr>
          <w:i/>
        </w:rPr>
        <w:t>[Section 59 amended by No. 55 of 2004 s. 1182.]</w:t>
      </w:r>
    </w:p>
    <w:p>
      <w:pPr>
        <w:pStyle w:val="MiscClose"/>
      </w:pPr>
      <w:r>
        <w:t>”.</w:t>
      </w:r>
    </w:p>
    <w:p>
      <w:pPr>
        <w:pStyle w:val="nSubsection"/>
        <w:rPr>
          <w:snapToGrid w:val="0"/>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5</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Western Australia.</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in its application as a law of Western Australia    ”.</w:t>
      </w:r>
    </w:p>
    <w:p>
      <w:pPr>
        <w:pStyle w:val="nzHeading5"/>
      </w:pPr>
      <w:r>
        <w:t>47.</w:t>
      </w:r>
      <w:r>
        <w:tab/>
        <w:t>Sections 5A and 5B inserted</w:t>
      </w:r>
    </w:p>
    <w:p>
      <w:pPr>
        <w:pStyle w:val="nzSubsection"/>
      </w:pPr>
      <w:r>
        <w:tab/>
      </w:r>
      <w:r>
        <w:tab/>
        <w:t xml:space="preserve">After section 5 the following sections are inserted — </w:t>
      </w:r>
    </w:p>
    <w:p>
      <w:pPr>
        <w:pStyle w:val="MiscOpen"/>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Western Australia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r>
        <w:rPr>
          <w:i/>
          <w:iCs/>
        </w:rPr>
        <w:t>Metropolitan Region Town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ind w:left="1985" w:hanging="1418"/>
      </w:pPr>
      <w:r>
        <w:tab/>
      </w:r>
      <w:r>
        <w:tab/>
      </w:r>
      <w:r>
        <w:tab/>
        <w:t>“    or the applied Taxation Administration Act    ”.</w:t>
      </w:r>
    </w:p>
    <w:p>
      <w:pPr>
        <w:pStyle w:val="nzHeading5"/>
      </w:pPr>
      <w:r>
        <w:t>50.</w:t>
      </w:r>
      <w:r>
        <w:tab/>
        <w:t>Glossary modified</w:t>
      </w:r>
    </w:p>
    <w:p>
      <w:pPr>
        <w:pStyle w:val="nzSubsection"/>
      </w:pPr>
      <w:r>
        <w:tab/>
      </w:r>
      <w:r>
        <w:tab/>
        <w:t>The Glossary is modified by inserting in their appropriate alphabetical positions —</w:t>
      </w:r>
    </w:p>
    <w:p>
      <w:pPr>
        <w:pStyle w:val="MiscOpen"/>
        <w:ind w:left="880"/>
        <w:rPr>
          <w:highlight w:val="cyan"/>
        </w:rPr>
      </w:pPr>
      <w:r>
        <w:t>“</w:t>
      </w:r>
      <w:r>
        <w:rPr>
          <w:highlight w:val="cyan"/>
        </w:rPr>
        <w:t xml:space="preserve">    </w:t>
      </w:r>
    </w:p>
    <w:p>
      <w:pPr>
        <w:pStyle w:val="nzDefstart"/>
      </w:pPr>
      <w:r>
        <w:rPr>
          <w:b/>
        </w:rPr>
        <w:tab/>
        <w:t>“</w:t>
      </w:r>
      <w:r>
        <w:rPr>
          <w:b/>
          <w:bCs/>
        </w:rPr>
        <w:t>applied taxation Act</w:t>
      </w:r>
      <w:r>
        <w:rPr>
          <w:b/>
        </w:rPr>
        <w:t>”</w:t>
      </w:r>
      <w:r>
        <w:t xml:space="preserve"> means a taxation Act in its application as a law of the Commonwealth in or in relation to Commonwealth places in Western Australia in accordance with the Commonwealth Act;</w:t>
      </w:r>
    </w:p>
    <w:p>
      <w:pPr>
        <w:pStyle w:val="nzDefstart"/>
      </w:pPr>
      <w:r>
        <w:tab/>
      </w:r>
      <w:r>
        <w:rPr>
          <w:b/>
        </w:rPr>
        <w:t>“</w:t>
      </w:r>
      <w:r>
        <w:rPr>
          <w:b/>
          <w:bCs/>
        </w:rPr>
        <w:t>applied Taxation Administration Act</w:t>
      </w:r>
      <w:r>
        <w:rPr>
          <w:b/>
        </w:rPr>
        <w:t>”</w:t>
      </w:r>
      <w:r>
        <w:t xml:space="preserve"> means the </w:t>
      </w:r>
      <w:r>
        <w:rPr>
          <w:i/>
        </w:rPr>
        <w:t xml:space="preserve">Taxation Administration Act 2003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nzDefstart"/>
        <w:keepNext/>
        <w:keepLines/>
      </w:pPr>
      <w:r>
        <w:tab/>
      </w:r>
      <w:r>
        <w:rPr>
          <w:b/>
        </w:rPr>
        <w:t>“</w:t>
      </w:r>
      <w:r>
        <w:rPr>
          <w:b/>
          <w:bCs/>
        </w:rPr>
        <w:t>Commonwealth place</w:t>
      </w:r>
      <w:r>
        <w:rPr>
          <w:b/>
        </w:rPr>
        <w:t>”</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MiscClose"/>
      </w:pPr>
      <w:r>
        <w:t>”.</w:t>
      </w:r>
    </w:p>
    <w:p>
      <w:pPr>
        <w:pStyle w:val="nSubsection"/>
      </w:pPr>
      <w:r>
        <w:rPr>
          <w:vertAlign w:val="superscript"/>
        </w:rPr>
        <w:t>6</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7</w:t>
      </w:r>
      <w:r>
        <w:t> — </w:t>
      </w:r>
      <w:r>
        <w:rPr>
          <w:rStyle w:val="CharPartText"/>
        </w:rPr>
        <w:t>Taxation administration</w:t>
      </w:r>
    </w:p>
    <w:p>
      <w:pPr>
        <w:pStyle w:val="nzHeading3"/>
      </w:pPr>
      <w:r>
        <w:rPr>
          <w:rStyle w:val="CharDivNo"/>
        </w:rPr>
        <w:t>Division 1</w:t>
      </w:r>
      <w:r>
        <w:t> — </w:t>
      </w:r>
      <w:r>
        <w:rPr>
          <w:rStyle w:val="CharDivText"/>
        </w:rPr>
        <w:t xml:space="preserve">The applied </w:t>
      </w:r>
      <w:r>
        <w:rPr>
          <w:rStyle w:val="CharDivText"/>
          <w:i/>
          <w:iCs/>
        </w:rPr>
        <w:t>Taxation Administration Act 2003</w:t>
      </w:r>
    </w:p>
    <w:p>
      <w:pPr>
        <w:pStyle w:val="nzHeading5"/>
      </w:pPr>
      <w:r>
        <w:rPr>
          <w:rStyle w:val="CharSectno"/>
        </w:rPr>
        <w:t>48</w:t>
      </w:r>
      <w:r>
        <w:t>.</w:t>
      </w:r>
      <w:r>
        <w:tab/>
        <w:t xml:space="preserve">Modification of the applied </w:t>
      </w:r>
      <w:r>
        <w:rPr>
          <w:i/>
          <w:iCs/>
        </w:rPr>
        <w:t>Taxation Administration Act 2003</w:t>
      </w:r>
    </w:p>
    <w:p>
      <w:pPr>
        <w:pStyle w:val="nzSubsection"/>
      </w:pPr>
      <w:r>
        <w:tab/>
      </w:r>
      <w:r>
        <w:tab/>
        <w:t xml:space="preserve">This Division sets out modifications of the </w:t>
      </w:r>
      <w:r>
        <w:rPr>
          <w:i/>
        </w:rPr>
        <w:t>Taxation Administration Act 2003</w:t>
      </w:r>
      <w:r>
        <w:t xml:space="preserve"> of Western Australia in its application as a law of the Commonwealth in or in relation to Commonwealth places in Western Australia.</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any other enactment that is prescribed by the regulations as a taxation Act and that is a State taxing law, in its application as a law of the Commonwealth in or in relation to Commonwealth places in Western Australia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 xml:space="preserve">Section 5 is modified by deleting “Western Australia”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pPr>
      <w:r>
        <w:tab/>
      </w:r>
      <w:r>
        <w:tab/>
        <w:t xml:space="preserve">After section 5 the following sections are inserted — </w:t>
      </w:r>
    </w:p>
    <w:p>
      <w:pPr>
        <w:pStyle w:val="MiscOpen"/>
        <w:spacing w:before="80"/>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r>
        <w:rPr>
          <w:i/>
        </w:rPr>
        <w:t>Metropolitan Region Town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Western Australia were not Commonwealth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an Act administered by the Commissioner as a law of Western Australia;</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w:t>
      </w:r>
      <w:r>
        <w:rPr>
          <w:highlight w:val="cyan"/>
        </w:rPr>
        <w:t xml:space="preserve">    </w:t>
      </w:r>
    </w:p>
    <w:p>
      <w:pPr>
        <w:pStyle w:val="nzDefstart"/>
      </w:pPr>
      <w:r>
        <w:rPr>
          <w:b/>
        </w:rPr>
        <w:tab/>
        <w:t>“</w:t>
      </w:r>
      <w:r>
        <w:rPr>
          <w:b/>
          <w:bCs/>
        </w:rPr>
        <w:t>Commissioner</w:t>
      </w:r>
      <w:r>
        <w:rPr>
          <w:b/>
        </w:rPr>
        <w:t>”</w:t>
      </w:r>
      <w:r>
        <w:t xml:space="preserve"> means the Commissioner of State Revenue of Western Australia appointed in accordance with the corresponding Taxation Administration Act section 6;</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tab/>
      </w:r>
      <w:r>
        <w:rPr>
          <w:b/>
        </w:rPr>
        <w:t>“</w:t>
      </w:r>
      <w:r>
        <w:rPr>
          <w:b/>
          <w:bCs/>
        </w:rPr>
        <w:t>Commonwealth place</w:t>
      </w:r>
      <w:r>
        <w:rPr>
          <w:b/>
        </w:rPr>
        <w:t>”</w:t>
      </w:r>
      <w:r>
        <w:t xml:space="preserve"> means a Commonwealth place in or in relation to which this Act applies or is taken to have applied under the Commonwealth Mirror Taxes Act section 6;</w:t>
      </w:r>
    </w:p>
    <w:p>
      <w:pPr>
        <w:pStyle w:val="nzDefstart"/>
      </w:pPr>
      <w:r>
        <w:rPr>
          <w:b/>
        </w:rPr>
        <w:tab/>
        <w:t>“</w:t>
      </w:r>
      <w:r>
        <w:rPr>
          <w:b/>
          <w:bCs/>
        </w:rPr>
        <w:t>corresponding taxation Act</w:t>
      </w:r>
      <w:r>
        <w:rPr>
          <w:b/>
        </w:rPr>
        <w:t>”</w:t>
      </w:r>
      <w:r>
        <w:t xml:space="preserve"> means a taxation Act within the meaning of the corresponding Taxation Administration Act;</w:t>
      </w:r>
    </w:p>
    <w:p>
      <w:pPr>
        <w:pStyle w:val="nzDefstart"/>
      </w:pPr>
      <w:r>
        <w:rPr>
          <w:b/>
        </w:rPr>
        <w:tab/>
        <w:t>“</w:t>
      </w:r>
      <w:r>
        <w:rPr>
          <w:b/>
          <w:bCs/>
        </w:rPr>
        <w:t>corresponding Taxation Administration Act</w:t>
      </w:r>
      <w:r>
        <w:rPr>
          <w:b/>
        </w:rPr>
        <w:t>”</w:t>
      </w:r>
      <w:r>
        <w:t xml:space="preserve"> means the </w:t>
      </w:r>
      <w:r>
        <w:rPr>
          <w:i/>
          <w:iCs/>
        </w:rPr>
        <w:t>Taxation Administration Act 2003</w:t>
      </w:r>
      <w:r>
        <w:t xml:space="preserve"> of Western Australia in its application as a law of Western Australia;</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“identity card”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“investigator”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“recognised jurisdiction” by deleting “another State” and inserting instead — </w:t>
      </w:r>
    </w:p>
    <w:p>
      <w:pPr>
        <w:pStyle w:val="nzIndenta"/>
        <w:rPr>
          <w:sz w:val="22"/>
        </w:rPr>
      </w:pPr>
      <w:r>
        <w:rPr>
          <w:sz w:val="22"/>
        </w:rPr>
        <w:tab/>
      </w:r>
      <w:r>
        <w:rPr>
          <w:sz w:val="22"/>
        </w:rPr>
        <w:tab/>
      </w:r>
      <w:r>
        <w:t>“    a State other than Western Australia</w:t>
      </w:r>
      <w:r>
        <w:rPr>
          <w:sz w:val="22"/>
        </w:rPr>
        <w:t xml:space="preserve">    ”;</w:t>
      </w:r>
    </w:p>
    <w:p>
      <w:pPr>
        <w:pStyle w:val="nzIndenta"/>
      </w:pPr>
      <w:r>
        <w:tab/>
        <w:t>(d)</w:t>
      </w:r>
      <w:r>
        <w:tab/>
        <w:t xml:space="preserve">in the definition of “recognised revenue law”, in paragraphs (a) and (b), by deleting “another State” and inserting instead — </w:t>
      </w:r>
    </w:p>
    <w:p>
      <w:pPr>
        <w:pStyle w:val="nzIndenta"/>
        <w:rPr>
          <w:sz w:val="22"/>
        </w:rPr>
      </w:pPr>
      <w:r>
        <w:rPr>
          <w:sz w:val="22"/>
        </w:rPr>
        <w:tab/>
      </w:r>
      <w:r>
        <w:rPr>
          <w:sz w:val="22"/>
        </w:rPr>
        <w:tab/>
        <w:t xml:space="preserve">“    </w:t>
      </w:r>
      <w:r>
        <w:t xml:space="preserve">a State other than Western Australia    </w:t>
      </w:r>
      <w:r>
        <w:rPr>
          <w:sz w:val="22"/>
        </w:rPr>
        <w:t>”;</w:t>
      </w:r>
    </w:p>
    <w:p>
      <w:pPr>
        <w:pStyle w:val="nzIndenta"/>
        <w:keepNext/>
        <w:keepLines/>
      </w:pPr>
      <w:r>
        <w:tab/>
        <w:t>(e)</w:t>
      </w:r>
      <w:r>
        <w:tab/>
        <w:t>in the definition of “taxation Act” by inserting after “enactment” —</w:t>
      </w:r>
    </w:p>
    <w:p>
      <w:pPr>
        <w:pStyle w:val="MiscOpen"/>
        <w:ind w:left="1418"/>
      </w:pPr>
      <w:r>
        <w:t xml:space="preserve">“    </w:t>
      </w:r>
    </w:p>
    <w:p>
      <w:pPr>
        <w:pStyle w:val="nzDefstart"/>
      </w:pPr>
      <w:r>
        <w:tab/>
      </w:r>
      <w:r>
        <w:tab/>
        <w:t>(in its application as a law of the Commonwealth in or in relation to Commonwealth places in Western Australia in accordance with the Commonwealth Mirror Taxes Act)</w:t>
      </w:r>
    </w:p>
    <w:p>
      <w:pPr>
        <w:pStyle w:val="MiscClose"/>
        <w:tabs>
          <w:tab w:val="left" w:pos="6120"/>
        </w:tabs>
        <w:jc w:val="center"/>
      </w:pPr>
      <w:r>
        <w:tab/>
      </w:r>
      <w:r>
        <w:tab/>
        <w:t>”.</w:t>
      </w:r>
    </w:p>
    <w:p>
      <w:pPr>
        <w:pStyle w:val="MiscClose"/>
      </w:pPr>
      <w:r>
        <w:t>”.</w:t>
      </w:r>
    </w:p>
    <w:p>
      <w:pPr>
        <w:pStyle w:val="nSubsection"/>
        <w:rPr>
          <w:snapToGrid w:val="0"/>
        </w:rPr>
      </w:pPr>
      <w:r>
        <w:rPr>
          <w:snapToGrid w:val="0"/>
          <w:vertAlign w:val="superscript"/>
        </w:rPr>
        <w:t>7</w:t>
      </w:r>
      <w:r>
        <w:rPr>
          <w:snapToGrid w:val="0"/>
          <w:vertAlign w:val="superscript"/>
        </w:rPr>
        <w:tab/>
      </w:r>
      <w:r>
        <w:rPr>
          <w:snapToGrid w:val="0"/>
        </w:rPr>
        <w:t xml:space="preserve">Section 34(5) of this Act had not come into operation when it was repealed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 of this Act was repealed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“non reviewable decision”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rPr>
          <w:snapToGrid w:val="0"/>
        </w:rPr>
      </w:pPr>
      <w:r>
        <w:rPr>
          <w:vertAlign w:val="superscript"/>
        </w:rPr>
        <w:t>8</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MiscOpen"/>
      </w:pPr>
      <w:r>
        <w:t>“</w:t>
      </w: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MiscClose"/>
      </w:pPr>
      <w:r>
        <w: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10</w:t>
      </w:r>
      <w:r>
        <w:tab/>
        <w:t>The</w:t>
      </w:r>
      <w:r>
        <w:rPr>
          <w:snapToGrid w:val="0"/>
        </w:rPr>
        <w:t xml:space="preserve"> </w:t>
      </w:r>
      <w:r>
        <w:rPr>
          <w:i/>
        </w:rPr>
        <w:t xml:space="preserve">Revenue Laws Amendment (Tax Relief) Act 2004 </w:t>
      </w:r>
      <w:r>
        <w:t>Pt. 4 </w:t>
      </w:r>
      <w:r>
        <w:rPr>
          <w:snapToGrid w:val="0"/>
        </w:rPr>
        <w:t>reads as follows:</w:t>
      </w:r>
    </w:p>
    <w:p>
      <w:pPr>
        <w:pStyle w:val="MiscOpen"/>
      </w:pPr>
      <w:r>
        <w:t>“</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t>“Commissioner”</w:t>
      </w:r>
      <w:r>
        <w:t xml:space="preserve"> means the Commissioner of State Revenue appointed in accordance with the </w:t>
      </w:r>
      <w:r>
        <w:rPr>
          <w:i/>
        </w:rPr>
        <w:t>Taxation Administration Act 2003</w:t>
      </w:r>
      <w:r>
        <w:t xml:space="preserve"> section 6;</w:t>
      </w:r>
    </w:p>
    <w:p>
      <w:pPr>
        <w:pStyle w:val="nzDefstart"/>
      </w:pPr>
      <w:r>
        <w:rPr>
          <w:b/>
        </w:rPr>
        <w:tab/>
        <w:t>“duty”</w:t>
      </w:r>
      <w:r>
        <w:t xml:space="preserve"> means duty payable under the </w:t>
      </w:r>
      <w:r>
        <w:rPr>
          <w:i/>
        </w:rPr>
        <w:t>Stamp Act 1921</w:t>
      </w:r>
      <w:r>
        <w:t>;</w:t>
      </w:r>
    </w:p>
    <w:p>
      <w:pPr>
        <w:pStyle w:val="nzDefstart"/>
      </w:pPr>
      <w:r>
        <w:rPr>
          <w:b/>
        </w:rPr>
        <w:tab/>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t>“instrument”</w:t>
      </w:r>
      <w:r>
        <w:t xml:space="preserve"> means a conveyance or transfer of property or a contract, agreement or other instrument that is chargeable with duty as a conveyance or transfer of property;</w:t>
      </w:r>
    </w:p>
    <w:p>
      <w:pPr>
        <w:pStyle w:val="nzDefstart"/>
      </w:pPr>
      <w:r>
        <w:rPr>
          <w:b/>
        </w:rPr>
        <w:tab/>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MiscClose"/>
      </w:pPr>
      <w:r>
        <w:t>”.</w:t>
      </w:r>
    </w:p>
    <w:p>
      <w:pPr>
        <w:pStyle w:val="nSubsection"/>
        <w:keepNext/>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94 </w:t>
      </w:r>
      <w:r>
        <w:rPr>
          <w:snapToGrid w:val="0"/>
        </w:rPr>
        <w:t>had not come into operation.  It reads as follows:</w:t>
      </w:r>
    </w:p>
    <w:p>
      <w:pPr>
        <w:pStyle w:val="MiscOpen"/>
        <w:spacing w:before="60"/>
        <w:rPr>
          <w:sz w:val="20"/>
        </w:rPr>
      </w:pPr>
      <w:r>
        <w:rPr>
          <w:sz w:val="20"/>
        </w:rPr>
        <w:t>“</w:t>
      </w:r>
    </w:p>
    <w:p>
      <w:pPr>
        <w:pStyle w:val="nzHeading5"/>
      </w:pPr>
      <w:r>
        <w:rPr>
          <w:rStyle w:val="CharSectno"/>
        </w:rPr>
        <w:t>94</w:t>
      </w:r>
      <w:r>
        <w:t>.</w:t>
      </w:r>
      <w:r>
        <w:tab/>
      </w:r>
      <w:r>
        <w:rPr>
          <w:i/>
          <w:iCs/>
        </w:rPr>
        <w:t>Taxation Administration Act 2003</w:t>
      </w:r>
      <w:r>
        <w:t xml:space="preserve"> amended</w:t>
      </w:r>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MiscClose"/>
      </w:pPr>
      <w:r>
        <w:t>”.</w:t>
      </w:r>
    </w:p>
    <w:p>
      <w:pPr>
        <w:pStyle w:val="nSubsection"/>
        <w:keepLines/>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Pt. 2 Div. 3</w:t>
      </w:r>
      <w:r>
        <w:rPr>
          <w:snapToGrid w:val="0"/>
        </w:rPr>
        <w:t xml:space="preserve"> had not come into operation.  It reads as follows:</w:t>
      </w:r>
    </w:p>
    <w:p>
      <w:pPr>
        <w:pStyle w:val="MiscOpen"/>
      </w:pPr>
      <w:r>
        <w:t>“</w:t>
      </w:r>
    </w:p>
    <w:p>
      <w:pPr>
        <w:pStyle w:val="nzHeading2"/>
      </w:pPr>
      <w:r>
        <w:rPr>
          <w:rStyle w:val="CharPartNo"/>
        </w:rPr>
        <w:t>Part 2</w:t>
      </w:r>
      <w:r>
        <w:t> — </w:t>
      </w:r>
      <w:r>
        <w:rPr>
          <w:rStyle w:val="CharPartText"/>
        </w:rPr>
        <w:t>Amendments</w:t>
      </w:r>
    </w:p>
    <w:p>
      <w:pPr>
        <w:pStyle w:val="nzHeading3"/>
      </w:pPr>
      <w:r>
        <w:rPr>
          <w:rStyle w:val="CharDivNo"/>
        </w:rPr>
        <w:t>Division 3</w:t>
      </w:r>
      <w:r>
        <w:t> — </w:t>
      </w:r>
      <w:r>
        <w:rPr>
          <w:rStyle w:val="CharDivText"/>
          <w:i/>
          <w:iCs/>
        </w:rPr>
        <w:t xml:space="preserve">Taxation Administration Act 2003 </w:t>
      </w:r>
      <w:r>
        <w:rPr>
          <w:rStyle w:val="CharDivText"/>
        </w:rPr>
        <w:t>amended</w:t>
      </w:r>
    </w:p>
    <w:p>
      <w:pPr>
        <w:pStyle w:val="nzHeading5"/>
        <w:rPr>
          <w:snapToGrid w:val="0"/>
        </w:rPr>
      </w:pPr>
      <w:r>
        <w:rPr>
          <w:rStyle w:val="CharSectno"/>
        </w:rPr>
        <w:t>33</w:t>
      </w:r>
      <w:r>
        <w:rPr>
          <w:snapToGrid w:val="0"/>
        </w:rPr>
        <w:t>.</w:t>
      </w:r>
      <w:r>
        <w:rPr>
          <w:snapToGrid w:val="0"/>
        </w:rPr>
        <w:tab/>
        <w:t>The Act amended in this Division</w:t>
      </w:r>
    </w:p>
    <w:p>
      <w:pPr>
        <w:pStyle w:val="nzSubsection"/>
      </w:pPr>
      <w:r>
        <w:tab/>
      </w:r>
      <w:r>
        <w:tab/>
        <w:t xml:space="preserve">The amendments in this Division are to the </w:t>
      </w:r>
      <w:r>
        <w:rPr>
          <w:i/>
        </w:rPr>
        <w:t>Taxation Administration Act 2003</w:t>
      </w:r>
      <w:r>
        <w:t>.</w:t>
      </w:r>
    </w:p>
    <w:p>
      <w:pPr>
        <w:pStyle w:val="nzHeading5"/>
      </w:pPr>
      <w:r>
        <w:rPr>
          <w:rStyle w:val="CharSectno"/>
        </w:rPr>
        <w:t>34</w:t>
      </w:r>
      <w:r>
        <w:t>.</w:t>
      </w:r>
      <w:r>
        <w:tab/>
        <w:t>Section 3 amended</w:t>
      </w:r>
    </w:p>
    <w:p>
      <w:pPr>
        <w:pStyle w:val="nzSubsection"/>
      </w:pPr>
      <w:r>
        <w:tab/>
      </w:r>
      <w:r>
        <w:tab/>
        <w:t>After section 3(1)(c) the following paragraph is inserted —</w:t>
      </w:r>
    </w:p>
    <w:p>
      <w:pPr>
        <w:pStyle w:val="nzSubsection"/>
      </w:pPr>
      <w:r>
        <w:tab/>
      </w:r>
      <w:r>
        <w:tab/>
        <w:t xml:space="preserve">“    </w:t>
      </w:r>
      <w:r>
        <w:tab/>
        <w:t>(ca)</w:t>
      </w:r>
      <w:r>
        <w:tab/>
        <w:t xml:space="preserve">the </w:t>
      </w:r>
      <w:r>
        <w:rPr>
          <w:i/>
          <w:iCs/>
        </w:rPr>
        <w:t>Duties Act 2008</w:t>
      </w:r>
      <w:r>
        <w:t>;    ”.</w:t>
      </w:r>
    </w:p>
    <w:p>
      <w:pPr>
        <w:pStyle w:val="nzHeading5"/>
      </w:pPr>
      <w:r>
        <w:rPr>
          <w:rStyle w:val="CharSectno"/>
        </w:rPr>
        <w:t>35</w:t>
      </w:r>
      <w:r>
        <w:t>.</w:t>
      </w:r>
      <w:r>
        <w:tab/>
        <w:t>Section 18 amended</w:t>
      </w:r>
    </w:p>
    <w:p>
      <w:pPr>
        <w:pStyle w:val="nzSubsection"/>
      </w:pPr>
      <w:r>
        <w:tab/>
      </w:r>
      <w:r>
        <w:tab/>
        <w:t xml:space="preserve">Section 18(3) is repealed and the following subsection is inserted instead — </w:t>
      </w:r>
    </w:p>
    <w:p>
      <w:pPr>
        <w:pStyle w:val="MiscOpen"/>
        <w:spacing w:before="60"/>
        <w:ind w:left="601"/>
      </w:pPr>
      <w:r>
        <w:t xml:space="preserve">“    </w:t>
      </w:r>
    </w:p>
    <w:p>
      <w:pPr>
        <w:pStyle w:val="nzSubsection"/>
      </w:pPr>
      <w:r>
        <w:tab/>
        <w:t>(3)</w:t>
      </w:r>
      <w:r>
        <w:tab/>
        <w:t xml:space="preserve">If tax payable on — </w:t>
      </w:r>
    </w:p>
    <w:p>
      <w:pPr>
        <w:pStyle w:val="nzIndenta"/>
      </w:pPr>
      <w:r>
        <w:tab/>
        <w:t>(a)</w:t>
      </w:r>
      <w:r>
        <w:tab/>
        <w:t>an instrument; or</w:t>
      </w:r>
    </w:p>
    <w:p>
      <w:pPr>
        <w:pStyle w:val="nzIndenta"/>
        <w:keepNext/>
        <w:keepLines/>
      </w:pPr>
      <w:r>
        <w:tab/>
        <w:t>(b)</w:t>
      </w:r>
      <w:r>
        <w:tab/>
        <w:t>a transaction or event that an instrument effects or records,</w:t>
      </w:r>
    </w:p>
    <w:p>
      <w:pPr>
        <w:pStyle w:val="nz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MiscClose"/>
      </w:pPr>
      <w:r>
        <w:t xml:space="preserve">    ”.</w:t>
      </w:r>
    </w:p>
    <w:p>
      <w:pPr>
        <w:pStyle w:val="nzHeading5"/>
      </w:pPr>
      <w:r>
        <w:rPr>
          <w:rStyle w:val="CharSectno"/>
        </w:rPr>
        <w:t>36</w:t>
      </w:r>
      <w:r>
        <w:t>.</w:t>
      </w:r>
      <w:r>
        <w:tab/>
        <w:t>Section 20 amended</w:t>
      </w:r>
    </w:p>
    <w:p>
      <w:pPr>
        <w:pStyle w:val="nzSubsection"/>
      </w:pPr>
      <w:r>
        <w:tab/>
        <w:t>(1)</w:t>
      </w:r>
      <w:r>
        <w:tab/>
        <w:t>Section 20(2) is amended as follows:</w:t>
      </w:r>
    </w:p>
    <w:p>
      <w:pPr>
        <w:pStyle w:val="nzIndenta"/>
      </w:pPr>
      <w:r>
        <w:tab/>
        <w:t>(a)</w:t>
      </w:r>
      <w:r>
        <w:tab/>
        <w:t xml:space="preserve">by deleting “on an instrument required to be lodged under a taxation Act, but the instrument has not been lodged as required” and inserting instead — </w:t>
      </w:r>
    </w:p>
    <w:p>
      <w:pPr>
        <w:pStyle w:val="MiscOpen"/>
        <w:spacing w:before="40"/>
        <w:ind w:left="879"/>
      </w:pPr>
      <w:r>
        <w:t xml:space="preserve">“    </w:t>
      </w:r>
    </w:p>
    <w:p>
      <w:pPr>
        <w:pStyle w:val="nzSubsection"/>
      </w:pPr>
      <w:r>
        <w:tab/>
      </w:r>
      <w:r>
        <w:tab/>
        <w:t>but an instrument has not been lodged as required under a taxation Act</w:t>
      </w:r>
    </w:p>
    <w:p>
      <w:pPr>
        <w:pStyle w:val="MiscClose"/>
      </w:pPr>
      <w:r>
        <w:t xml:space="preserve">    ”;</w:t>
      </w:r>
    </w:p>
    <w:p>
      <w:pPr>
        <w:pStyle w:val="nzIndenta"/>
      </w:pPr>
      <w:r>
        <w:tab/>
        <w:t>(b)</w:t>
      </w:r>
      <w:r>
        <w:tab/>
        <w:t>in paragraph (b) by deleting “if a copy of the instrument is not available —”.</w:t>
      </w:r>
    </w:p>
    <w:p>
      <w:pPr>
        <w:pStyle w:val="nzSubsection"/>
      </w:pPr>
      <w:r>
        <w:tab/>
        <w:t>(2)</w:t>
      </w:r>
      <w:r>
        <w:tab/>
        <w:t xml:space="preserve">Section 20(3) is repealed and the following subsection is inserted instead — </w:t>
      </w:r>
    </w:p>
    <w:p>
      <w:pPr>
        <w:pStyle w:val="MiscOpen"/>
        <w:ind w:left="600"/>
      </w:pPr>
      <w:r>
        <w:t xml:space="preserve">“    </w:t>
      </w:r>
    </w:p>
    <w:p>
      <w:pPr>
        <w:pStyle w:val="nzSubsection"/>
      </w:pPr>
      <w:r>
        <w:tab/>
        <w:t>(3)</w:t>
      </w:r>
      <w:r>
        <w:tab/>
        <w:t>A memorandum created under subsection (1)(a) or (2)(b) is taken to be the instrument and to have been lodged by the person required to lodge it under the taxation Act.</w:t>
      </w:r>
    </w:p>
    <w:p>
      <w:pPr>
        <w:pStyle w:val="MiscClose"/>
      </w:pPr>
      <w:r>
        <w:t xml:space="preserve">    ”.</w:t>
      </w:r>
    </w:p>
    <w:p>
      <w:pPr>
        <w:pStyle w:val="nzSubsection"/>
      </w:pPr>
      <w:r>
        <w:tab/>
        <w:t>(3)</w:t>
      </w:r>
      <w:r>
        <w:tab/>
        <w:t xml:space="preserve">Section 20(4) is amended by deleting “, (2)(b) or (3)” and inserting instead — </w:t>
      </w:r>
    </w:p>
    <w:p>
      <w:pPr>
        <w:pStyle w:val="nzSubsection"/>
      </w:pPr>
      <w:r>
        <w:tab/>
      </w:r>
      <w:r>
        <w:tab/>
        <w:t>“    or (2)(b)    ”.</w:t>
      </w:r>
    </w:p>
    <w:p>
      <w:pPr>
        <w:pStyle w:val="nzSubsection"/>
      </w:pPr>
      <w:r>
        <w:tab/>
        <w:t>(4)</w:t>
      </w:r>
      <w:r>
        <w:tab/>
        <w:t xml:space="preserve">Section 20(5) and (6) are repealed and the following subsections are inserted instead — </w:t>
      </w:r>
    </w:p>
    <w:p>
      <w:pPr>
        <w:pStyle w:val="MiscOpen"/>
        <w:ind w:left="600"/>
      </w:pPr>
      <w:r>
        <w:t xml:space="preserve">“    </w:t>
      </w:r>
    </w:p>
    <w:p>
      <w:pPr>
        <w:pStyle w:val="nzSubsection"/>
      </w:pPr>
      <w:r>
        <w:tab/>
        <w:t>(5)</w:t>
      </w:r>
      <w:r>
        <w:tab/>
        <w:t>The copy or memorandum may be endorsed to indicate the payment of tax.</w:t>
      </w:r>
    </w:p>
    <w:p>
      <w:pPr>
        <w:pStyle w:val="nzSubsection"/>
      </w:pPr>
      <w:r>
        <w:tab/>
        <w:t>(6)</w:t>
      </w:r>
      <w:r>
        <w:tab/>
        <w:t>The validity of an assessment and the liability to pay tax do not depend on the availability of an instrument or a copy of an instrument, or on the creation of a memorandum of an instrument.</w:t>
      </w:r>
    </w:p>
    <w:p>
      <w:pPr>
        <w:pStyle w:val="MiscClose"/>
      </w:pPr>
      <w:r>
        <w:t xml:space="preserve">    ”.</w:t>
      </w:r>
    </w:p>
    <w:p>
      <w:pPr>
        <w:pStyle w:val="nzHeading5"/>
      </w:pPr>
      <w:r>
        <w:rPr>
          <w:rStyle w:val="CharSectno"/>
        </w:rPr>
        <w:t>37</w:t>
      </w:r>
      <w:r>
        <w:t>.</w:t>
      </w:r>
      <w:r>
        <w:tab/>
        <w:t>Section 23 amended</w:t>
      </w:r>
    </w:p>
    <w:p>
      <w:pPr>
        <w:pStyle w:val="nzSubsection"/>
      </w:pPr>
      <w:r>
        <w:tab/>
      </w:r>
      <w:r>
        <w:tab/>
        <w:t xml:space="preserve">Section 23(2) is amended by deleting paragraph (b) and “or” after it and inserting instead — </w:t>
      </w:r>
    </w:p>
    <w:p>
      <w:pPr>
        <w:pStyle w:val="MiscOpen"/>
        <w:ind w:left="1340"/>
      </w:pPr>
      <w:r>
        <w:t xml:space="preserve">“    </w:t>
      </w:r>
    </w:p>
    <w:p>
      <w:pPr>
        <w:pStyle w:val="nz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MiscClose"/>
      </w:pPr>
      <w:r>
        <w:t xml:space="preserve">    ”.</w:t>
      </w:r>
    </w:p>
    <w:p>
      <w:pPr>
        <w:pStyle w:val="nzHeading5"/>
      </w:pPr>
      <w:r>
        <w:rPr>
          <w:rStyle w:val="CharSectno"/>
        </w:rPr>
        <w:t>38</w:t>
      </w:r>
      <w:r>
        <w:t>.</w:t>
      </w:r>
      <w:r>
        <w:tab/>
        <w:t>Section 24 amended</w:t>
      </w:r>
    </w:p>
    <w:p>
      <w:pPr>
        <w:pStyle w:val="nzSubsection"/>
      </w:pPr>
      <w:r>
        <w:tab/>
      </w:r>
      <w:r>
        <w:tab/>
        <w:t xml:space="preserve">After section 24(1) the following subsection is inserted — </w:t>
      </w:r>
    </w:p>
    <w:p>
      <w:pPr>
        <w:pStyle w:val="MiscOpen"/>
        <w:ind w:left="600"/>
      </w:pPr>
      <w:r>
        <w:t xml:space="preserve">“    </w:t>
      </w:r>
    </w:p>
    <w:p>
      <w:pPr>
        <w:pStyle w:val="nzSubsection"/>
      </w:pPr>
      <w:r>
        <w:tab/>
        <w:t>(1a)</w:t>
      </w:r>
      <w:r>
        <w:tab/>
        <w:t>An assessment notice must set out the date on which it is issued.</w:t>
      </w:r>
    </w:p>
    <w:p>
      <w:pPr>
        <w:pStyle w:val="MiscClose"/>
      </w:pPr>
      <w:r>
        <w:t xml:space="preserve">    ”.</w:t>
      </w:r>
    </w:p>
    <w:p>
      <w:pPr>
        <w:pStyle w:val="nzHeading5"/>
      </w:pPr>
      <w:r>
        <w:rPr>
          <w:rStyle w:val="CharSectno"/>
        </w:rPr>
        <w:t>39</w:t>
      </w:r>
      <w:r>
        <w:t>.</w:t>
      </w:r>
      <w:r>
        <w:tab/>
        <w:t>Section 34 amended</w:t>
      </w:r>
    </w:p>
    <w:p>
      <w:pPr>
        <w:pStyle w:val="nzSubsection"/>
      </w:pPr>
      <w:r>
        <w:tab/>
        <w:t>(1)</w:t>
      </w:r>
      <w:r>
        <w:tab/>
        <w:t>Section 34(1) is amended after paragraph (b) by deleting the full stop and inserting —</w:t>
      </w:r>
    </w:p>
    <w:p>
      <w:pPr>
        <w:pStyle w:val="MiscOpen"/>
        <w:ind w:left="1620"/>
      </w:pPr>
      <w:r>
        <w:t xml:space="preserve">“    </w:t>
      </w:r>
    </w:p>
    <w:p>
      <w:pPr>
        <w:pStyle w:val="nzIndenta"/>
      </w:pPr>
      <w:r>
        <w:tab/>
      </w:r>
      <w:r>
        <w:tab/>
        <w:t>; or</w:t>
      </w:r>
    </w:p>
    <w:p>
      <w:pPr>
        <w:pStyle w:val="nz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nz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MiscClose"/>
      </w:pPr>
      <w:r>
        <w:t xml:space="preserve">    ”.</w:t>
      </w:r>
    </w:p>
    <w:p>
      <w:pPr>
        <w:pStyle w:val="nzSubsection"/>
      </w:pPr>
      <w:r>
        <w:tab/>
        <w:t>(2)</w:t>
      </w:r>
      <w:r>
        <w:tab/>
        <w:t xml:space="preserve">Section 34(2)(b) is deleted and the following paragraph is inserted instead — </w:t>
      </w:r>
    </w:p>
    <w:p>
      <w:pPr>
        <w:pStyle w:val="MiscOpen"/>
        <w:ind w:left="1340"/>
      </w:pPr>
      <w:r>
        <w:t xml:space="preserve">“    </w:t>
      </w:r>
    </w:p>
    <w:p>
      <w:pPr>
        <w:pStyle w:val="nz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MiscClose"/>
      </w:pPr>
      <w:r>
        <w:t xml:space="preserve">    ”.</w:t>
      </w:r>
    </w:p>
    <w:p>
      <w:pPr>
        <w:pStyle w:val="nzHeading5"/>
      </w:pPr>
      <w:r>
        <w:rPr>
          <w:rStyle w:val="CharSectno"/>
        </w:rPr>
        <w:t>40</w:t>
      </w:r>
      <w:r>
        <w:t>.</w:t>
      </w:r>
      <w:r>
        <w:tab/>
        <w:t>Section 36 amended</w:t>
      </w:r>
    </w:p>
    <w:p>
      <w:pPr>
        <w:pStyle w:val="nzSubsection"/>
        <w:spacing w:before="160"/>
      </w:pPr>
      <w:r>
        <w:tab/>
      </w:r>
      <w:r>
        <w:tab/>
        <w:t>Section 36(1)(b) is amended as follows:</w:t>
      </w:r>
    </w:p>
    <w:p>
      <w:pPr>
        <w:pStyle w:val="nzIndenta"/>
      </w:pPr>
      <w:r>
        <w:tab/>
        <w:t>(a)</w:t>
      </w:r>
      <w:r>
        <w:tab/>
        <w:t xml:space="preserve">by deleting “denoted by stamping” and inserting instead — </w:t>
      </w:r>
    </w:p>
    <w:p>
      <w:pPr>
        <w:pStyle w:val="nzIndenta"/>
      </w:pPr>
      <w:r>
        <w:tab/>
      </w:r>
      <w:r>
        <w:tab/>
        <w:t>“    indicated by endorsement    ”;</w:t>
      </w:r>
    </w:p>
    <w:p>
      <w:pPr>
        <w:pStyle w:val="nzIndenta"/>
      </w:pPr>
      <w:r>
        <w:tab/>
        <w:t>(b)</w:t>
      </w:r>
      <w:r>
        <w:tab/>
        <w:t xml:space="preserve">by deleting “stamped” and inserting instead — </w:t>
      </w:r>
    </w:p>
    <w:p>
      <w:pPr>
        <w:pStyle w:val="nzIndenta"/>
      </w:pPr>
      <w:r>
        <w:tab/>
      </w:r>
      <w:r>
        <w:tab/>
        <w:t>“    endorsed    ”.</w:t>
      </w:r>
    </w:p>
    <w:p>
      <w:pPr>
        <w:pStyle w:val="nzHeading5"/>
      </w:pPr>
      <w:r>
        <w:rPr>
          <w:rStyle w:val="CharSectno"/>
        </w:rPr>
        <w:t>41</w:t>
      </w:r>
      <w:r>
        <w:t>.</w:t>
      </w:r>
      <w:r>
        <w:tab/>
        <w:t>Section 43 amended</w:t>
      </w:r>
    </w:p>
    <w:p>
      <w:pPr>
        <w:pStyle w:val="nzSubsection"/>
      </w:pPr>
      <w:r>
        <w:tab/>
      </w:r>
      <w:r>
        <w:tab/>
        <w:t xml:space="preserve">Section 43(2) is amended by inserting before “the </w:t>
      </w:r>
      <w:r>
        <w:rPr>
          <w:i/>
          <w:iCs/>
        </w:rPr>
        <w:t>Pay</w:t>
      </w:r>
      <w:r>
        <w:rPr>
          <w:i/>
          <w:iCs/>
        </w:rPr>
        <w:noBreakHyphen/>
        <w:t>roll</w:t>
      </w:r>
      <w:r>
        <w:t xml:space="preserve">” — </w:t>
      </w:r>
    </w:p>
    <w:p>
      <w:pPr>
        <w:pStyle w:val="nzSubsection"/>
      </w:pPr>
      <w:r>
        <w:tab/>
      </w:r>
      <w:r>
        <w:tab/>
        <w:t xml:space="preserve">“    the </w:t>
      </w:r>
      <w:r>
        <w:rPr>
          <w:i/>
          <w:iCs/>
        </w:rPr>
        <w:t>Duties Act 2008</w:t>
      </w:r>
      <w:r>
        <w:t>,    ”.</w:t>
      </w:r>
    </w:p>
    <w:p>
      <w:pPr>
        <w:pStyle w:val="nzHeading5"/>
      </w:pPr>
      <w:r>
        <w:rPr>
          <w:rStyle w:val="CharSectno"/>
        </w:rPr>
        <w:t>42</w:t>
      </w:r>
      <w:r>
        <w:t>.</w:t>
      </w:r>
      <w:r>
        <w:tab/>
        <w:t>Section 50 amended</w:t>
      </w:r>
    </w:p>
    <w:p>
      <w:pPr>
        <w:pStyle w:val="nzSubsection"/>
        <w:spacing w:before="160"/>
      </w:pPr>
      <w:r>
        <w:tab/>
      </w:r>
      <w:r>
        <w:tab/>
        <w:t>Section 50(1) is amended as follows:</w:t>
      </w:r>
    </w:p>
    <w:p>
      <w:pPr>
        <w:pStyle w:val="nzIndenta"/>
      </w:pPr>
      <w:r>
        <w:tab/>
        <w:t>(a)</w:t>
      </w:r>
      <w:r>
        <w:tab/>
        <w:t xml:space="preserve">by deleting paragraph (d) and inserting instead — </w:t>
      </w:r>
    </w:p>
    <w:p>
      <w:pPr>
        <w:pStyle w:val="MiscOpen"/>
        <w:ind w:left="1340"/>
      </w:pPr>
      <w:r>
        <w:t xml:space="preserve">“    </w:t>
      </w:r>
    </w:p>
    <w:p>
      <w:pPr>
        <w:pStyle w:val="nzIndenta"/>
      </w:pPr>
      <w:r>
        <w:tab/>
        <w:t>(d)</w:t>
      </w:r>
      <w:r>
        <w:tab/>
        <w:t>may provide for the endorsement or certification of instruments to indicate the amount of tax paid or payable under the special tax return arrangement, or to indicate that tax is not payable; and</w:t>
      </w:r>
    </w:p>
    <w:p>
      <w:pPr>
        <w:pStyle w:val="MiscClose"/>
      </w:pPr>
      <w:r>
        <w:t xml:space="preserve">    ”;</w:t>
      </w:r>
    </w:p>
    <w:p>
      <w:pPr>
        <w:pStyle w:val="nzIndenta"/>
      </w:pPr>
      <w:r>
        <w:tab/>
        <w:t>(b)</w:t>
      </w:r>
      <w:r>
        <w:tab/>
        <w:t xml:space="preserve">in paragraph (g) by deleting “cancel a stamp duty certificate issued by the party under the arrangement and issue a replacement certificate to give” and inserting instead — </w:t>
      </w:r>
    </w:p>
    <w:p>
      <w:pPr>
        <w:pStyle w:val="nzIndenta"/>
      </w:pPr>
      <w:r>
        <w:tab/>
      </w:r>
      <w:r>
        <w:tab/>
        <w:t>“    do things for the purpose of giving    ”;</w:t>
      </w:r>
    </w:p>
    <w:p>
      <w:pPr>
        <w:pStyle w:val="nzIndenta"/>
      </w:pPr>
      <w:r>
        <w:tab/>
        <w:t>(c)</w:t>
      </w:r>
      <w:r>
        <w:tab/>
        <w:t xml:space="preserve">after each of paragraphs (a), (b), (c) and (e) by inserting — </w:t>
      </w:r>
    </w:p>
    <w:p>
      <w:pPr>
        <w:pStyle w:val="nzIndenta"/>
      </w:pPr>
      <w:r>
        <w:tab/>
      </w:r>
      <w:r>
        <w:tab/>
        <w:t>“    and    ”.</w:t>
      </w:r>
    </w:p>
    <w:p>
      <w:pPr>
        <w:pStyle w:val="nzHeading5"/>
      </w:pPr>
      <w:r>
        <w:rPr>
          <w:rStyle w:val="CharSectno"/>
        </w:rPr>
        <w:t>43</w:t>
      </w:r>
      <w:r>
        <w:t>.</w:t>
      </w:r>
      <w:r>
        <w:tab/>
        <w:t>Section 51 replaced</w:t>
      </w:r>
    </w:p>
    <w:p>
      <w:pPr>
        <w:pStyle w:val="nzSubsection"/>
        <w:spacing w:before="160"/>
      </w:pPr>
      <w:r>
        <w:tab/>
      </w:r>
      <w:r>
        <w:tab/>
        <w:t xml:space="preserve">Section 51 is repealed and the following section is inserted instead — </w:t>
      </w:r>
    </w:p>
    <w:p>
      <w:pPr>
        <w:pStyle w:val="MiscOpen"/>
        <w:spacing w:before="160"/>
      </w:pPr>
      <w:r>
        <w:t xml:space="preserve">“    </w:t>
      </w:r>
    </w:p>
    <w:p>
      <w:pPr>
        <w:pStyle w:val="nzHeading5"/>
      </w:pPr>
      <w:r>
        <w:t>51.</w:t>
      </w:r>
      <w:r>
        <w:tab/>
        <w:t>Improper endorsement or certification of an instrument</w:t>
      </w:r>
    </w:p>
    <w:p>
      <w:pPr>
        <w:pStyle w:val="nzSubsection"/>
        <w:spacing w:before="160"/>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nzPenstart"/>
      </w:pPr>
      <w:r>
        <w:tab/>
        <w:t>Penalty: $20 000.</w:t>
      </w:r>
    </w:p>
    <w:p>
      <w:pPr>
        <w:pStyle w:val="MiscClose"/>
      </w:pPr>
      <w:r>
        <w:t xml:space="preserve">    ”.</w:t>
      </w:r>
    </w:p>
    <w:p>
      <w:pPr>
        <w:pStyle w:val="nzHeading5"/>
      </w:pPr>
      <w:r>
        <w:rPr>
          <w:rStyle w:val="CharSectno"/>
        </w:rPr>
        <w:t>44</w:t>
      </w:r>
      <w:r>
        <w:t>.</w:t>
      </w:r>
      <w:r>
        <w:tab/>
        <w:t>Section 55 amended</w:t>
      </w:r>
    </w:p>
    <w:p>
      <w:pPr>
        <w:pStyle w:val="nzSubsection"/>
      </w:pPr>
      <w:r>
        <w:tab/>
      </w:r>
      <w:r>
        <w:tab/>
        <w:t xml:space="preserve">After section 55(1)(b) the following paragraph is inserted — </w:t>
      </w:r>
    </w:p>
    <w:p>
      <w:pPr>
        <w:pStyle w:val="MiscOpen"/>
        <w:ind w:left="1340"/>
      </w:pPr>
      <w:r>
        <w:t xml:space="preserve">“    </w:t>
      </w:r>
    </w:p>
    <w:p>
      <w:pPr>
        <w:pStyle w:val="nzIndenta"/>
      </w:pPr>
      <w:r>
        <w:tab/>
        <w:t>(ba)</w:t>
      </w:r>
      <w:r>
        <w:tab/>
        <w:t xml:space="preserve">duty payable under the </w:t>
      </w:r>
      <w:r>
        <w:rPr>
          <w:i/>
          <w:iCs/>
        </w:rPr>
        <w:t>Duties Act 2008</w:t>
      </w:r>
      <w:r>
        <w:t xml:space="preserve"> Chapter 4;</w:t>
      </w:r>
    </w:p>
    <w:p>
      <w:pPr>
        <w:pStyle w:val="MiscClose"/>
      </w:pPr>
      <w:r>
        <w:t xml:space="preserve">    ”.</w:t>
      </w:r>
    </w:p>
    <w:p>
      <w:pPr>
        <w:pStyle w:val="nzHeading5"/>
      </w:pPr>
      <w:r>
        <w:rPr>
          <w:rStyle w:val="CharSectno"/>
        </w:rPr>
        <w:t>45</w:t>
      </w:r>
      <w:r>
        <w:t>.</w:t>
      </w:r>
      <w:r>
        <w:tab/>
        <w:t>Section 77A inserted</w:t>
      </w:r>
    </w:p>
    <w:p>
      <w:pPr>
        <w:pStyle w:val="nzSubsection"/>
      </w:pPr>
      <w:r>
        <w:tab/>
      </w:r>
      <w:r>
        <w:tab/>
        <w:t xml:space="preserve">After section 77 the following section is inserted — </w:t>
      </w:r>
    </w:p>
    <w:p>
      <w:pPr>
        <w:pStyle w:val="MiscOpen"/>
      </w:pPr>
      <w:r>
        <w:t xml:space="preserve">“    </w:t>
      </w:r>
    </w:p>
    <w:p>
      <w:pPr>
        <w:pStyle w:val="nzHeading5"/>
      </w:pPr>
      <w:r>
        <w:t>77A.</w:t>
      </w:r>
      <w:r>
        <w:tab/>
        <w:t>Charge on land to secure transfer duty or landholder duty</w:t>
      </w:r>
    </w:p>
    <w:p>
      <w:pPr>
        <w:pStyle w:val="nzSubsection"/>
      </w:pPr>
      <w:r>
        <w:tab/>
        <w:t>(1)</w:t>
      </w:r>
      <w:r>
        <w:tab/>
        <w:t xml:space="preserve">In this section — </w:t>
      </w:r>
    </w:p>
    <w:p>
      <w:pPr>
        <w:pStyle w:val="nzDefstart"/>
      </w:pPr>
      <w:r>
        <w:rPr>
          <w:b/>
        </w:rPr>
        <w:tab/>
        <w:t>“</w:t>
      </w:r>
      <w:r>
        <w:rPr>
          <w:rStyle w:val="CharDefText"/>
        </w:rPr>
        <w:t>landholder</w:t>
      </w:r>
      <w:r>
        <w:rPr>
          <w:b/>
        </w:rPr>
        <w:t>”</w:t>
      </w:r>
      <w:r>
        <w:t xml:space="preserve"> and </w:t>
      </w:r>
      <w:r>
        <w:rPr>
          <w:b/>
        </w:rPr>
        <w:t>“</w:t>
      </w:r>
      <w:r>
        <w:rPr>
          <w:rStyle w:val="CharDefText"/>
        </w:rPr>
        <w:t>linked entity</w:t>
      </w:r>
      <w:r>
        <w:rPr>
          <w:b/>
        </w:rPr>
        <w:t>”</w:t>
      </w:r>
      <w:r>
        <w:t xml:space="preserve"> have the meanings given in the </w:t>
      </w:r>
      <w:r>
        <w:rPr>
          <w:i/>
          <w:iCs/>
        </w:rPr>
        <w:t>Duties Act 2008</w:t>
      </w:r>
      <w:r>
        <w:t xml:space="preserve"> section 148;</w:t>
      </w:r>
    </w:p>
    <w:p>
      <w:pPr>
        <w:pStyle w:val="nzDefstart"/>
      </w:pPr>
      <w:r>
        <w:rPr>
          <w:b/>
        </w:rPr>
        <w:tab/>
        <w:t>“</w:t>
      </w:r>
      <w:r>
        <w:rPr>
          <w:rStyle w:val="CharDefText"/>
        </w:rPr>
        <w:t>landholder duty</w:t>
      </w:r>
      <w:r>
        <w:rPr>
          <w:b/>
        </w:rPr>
        <w:t>”</w:t>
      </w:r>
      <w:r>
        <w:t xml:space="preserve"> means duty under the </w:t>
      </w:r>
      <w:r>
        <w:rPr>
          <w:i/>
          <w:iCs/>
        </w:rPr>
        <w:t>Duties Act 2008</w:t>
      </w:r>
      <w:r>
        <w:t xml:space="preserve"> Chapter 3;</w:t>
      </w:r>
    </w:p>
    <w:p>
      <w:pPr>
        <w:pStyle w:val="nzDefstart"/>
      </w:pPr>
      <w:r>
        <w:rPr>
          <w:b/>
        </w:rPr>
        <w:tab/>
        <w:t>“</w:t>
      </w:r>
      <w:r>
        <w:rPr>
          <w:rStyle w:val="CharDefText"/>
        </w:rPr>
        <w:t>lodge</w:t>
      </w:r>
      <w:r>
        <w:rPr>
          <w:b/>
        </w:rPr>
        <w:t>”</w:t>
      </w:r>
      <w:r>
        <w:t xml:space="preserve"> means to lodge with the Registrar of Titles;</w:t>
      </w:r>
    </w:p>
    <w:p>
      <w:pPr>
        <w:pStyle w:val="nzDefstart"/>
      </w:pPr>
      <w:r>
        <w:rPr>
          <w:b/>
        </w:rPr>
        <w:tab/>
        <w:t>“</w:t>
      </w:r>
      <w:r>
        <w:rPr>
          <w:rStyle w:val="CharDefText"/>
        </w:rPr>
        <w:t>transfer duty</w:t>
      </w:r>
      <w:r>
        <w:rPr>
          <w:b/>
        </w:rPr>
        <w:t>”</w:t>
      </w:r>
      <w:r>
        <w:t xml:space="preserve"> means duty under the </w:t>
      </w:r>
      <w:r>
        <w:rPr>
          <w:i/>
          <w:iCs/>
        </w:rPr>
        <w:t>Duties Act 2008</w:t>
      </w:r>
      <w:r>
        <w:t xml:space="preserve"> Chapter 2.</w:t>
      </w:r>
    </w:p>
    <w:p>
      <w:pPr>
        <w:pStyle w:val="nzSubsection"/>
      </w:pPr>
      <w:r>
        <w:tab/>
        <w:t>(2)</w:t>
      </w:r>
      <w:r>
        <w:tab/>
        <w:t xml:space="preserve">If transfer duty payable on a transaction in relation to land as defined in the </w:t>
      </w:r>
      <w:r>
        <w:rPr>
          <w:i/>
          <w:iCs/>
        </w:rPr>
        <w:t>Duties Act 2008</w:t>
      </w:r>
      <w:r>
        <w:t xml:space="preserve"> section 3 is not paid by the due date because it is taken not to be paid under subsection (6), the Commissioner may lodge a memorial to create a charge on the land for the unpaid transfer duty.</w:t>
      </w:r>
    </w:p>
    <w:p>
      <w:pPr>
        <w:pStyle w:val="nz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nz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nzSubsection"/>
      </w:pPr>
      <w:r>
        <w:tab/>
        <w:t>(5)</w:t>
      </w:r>
      <w:r>
        <w:tab/>
        <w:t xml:space="preserve">The charge arises on the land when the memorial is registered under section 83. </w:t>
      </w:r>
    </w:p>
    <w:p>
      <w:pPr>
        <w:pStyle w:val="nz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nz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MiscClose"/>
      </w:pPr>
      <w:r>
        <w:t xml:space="preserve">    ”.</w:t>
      </w:r>
    </w:p>
    <w:p>
      <w:pPr>
        <w:pStyle w:val="nzHeading5"/>
      </w:pPr>
      <w:r>
        <w:rPr>
          <w:rStyle w:val="CharSectno"/>
        </w:rPr>
        <w:t>46</w:t>
      </w:r>
      <w:r>
        <w:t>.</w:t>
      </w:r>
      <w:r>
        <w:tab/>
        <w:t>Section 78 amended</w:t>
      </w:r>
    </w:p>
    <w:p>
      <w:pPr>
        <w:pStyle w:val="nzSubsection"/>
      </w:pPr>
      <w:r>
        <w:tab/>
      </w:r>
      <w:r>
        <w:tab/>
        <w:t xml:space="preserve">Section 78(1) is amended by deleting “section 76 or 77” and inserting instead — </w:t>
      </w:r>
    </w:p>
    <w:p>
      <w:pPr>
        <w:pStyle w:val="nzSubsection"/>
      </w:pPr>
      <w:r>
        <w:tab/>
      </w:r>
      <w:r>
        <w:tab/>
        <w:t>“    this Division    ”.</w:t>
      </w:r>
    </w:p>
    <w:p>
      <w:pPr>
        <w:pStyle w:val="nzHeading5"/>
      </w:pPr>
      <w:r>
        <w:rPr>
          <w:rStyle w:val="CharSectno"/>
        </w:rPr>
        <w:t>47</w:t>
      </w:r>
      <w:r>
        <w:t>.</w:t>
      </w:r>
      <w:r>
        <w:tab/>
        <w:t>Section 80 amended</w:t>
      </w:r>
    </w:p>
    <w:p>
      <w:pPr>
        <w:pStyle w:val="nzSubsection"/>
      </w:pPr>
      <w:r>
        <w:tab/>
      </w:r>
      <w:r>
        <w:tab/>
        <w:t>Section 80(1) is amended as follows:</w:t>
      </w:r>
    </w:p>
    <w:p>
      <w:pPr>
        <w:pStyle w:val="nzIndenta"/>
      </w:pPr>
      <w:r>
        <w:tab/>
        <w:t>(a)</w:t>
      </w:r>
      <w:r>
        <w:tab/>
        <w:t xml:space="preserve">in paragraph (a) by deleting “section 76 or 77” and inserting instead — </w:t>
      </w:r>
    </w:p>
    <w:p>
      <w:pPr>
        <w:pStyle w:val="nzIndenta"/>
      </w:pPr>
      <w:r>
        <w:tab/>
      </w:r>
      <w:r>
        <w:tab/>
        <w:t>“    this Division    ”;</w:t>
      </w:r>
    </w:p>
    <w:p>
      <w:pPr>
        <w:pStyle w:val="nzIndenta"/>
      </w:pPr>
      <w:r>
        <w:tab/>
        <w:t>(b)</w:t>
      </w:r>
      <w:r>
        <w:tab/>
        <w:t xml:space="preserve">in paragraph (b)(i) by deleting “land tax or unpaid stamp duty” and inserting instead — </w:t>
      </w:r>
    </w:p>
    <w:p>
      <w:pPr>
        <w:pStyle w:val="nzIndenta"/>
      </w:pPr>
      <w:r>
        <w:tab/>
      </w:r>
      <w:r>
        <w:tab/>
        <w:t>“    tax    ”.</w:t>
      </w:r>
    </w:p>
    <w:p>
      <w:pPr>
        <w:pStyle w:val="nzHeading5"/>
      </w:pPr>
      <w:r>
        <w:rPr>
          <w:rStyle w:val="CharSectno"/>
        </w:rPr>
        <w:t>48</w:t>
      </w:r>
      <w:r>
        <w:t>.</w:t>
      </w:r>
      <w:r>
        <w:tab/>
        <w:t>Section 96 amended</w:t>
      </w:r>
    </w:p>
    <w:p>
      <w:pPr>
        <w:pStyle w:val="nzSubsection"/>
      </w:pPr>
      <w:r>
        <w:tab/>
        <w:t>(1)</w:t>
      </w:r>
      <w:r>
        <w:tab/>
        <w:t xml:space="preserve">Section 96(1)(c) is amended by inserting after “which” — </w:t>
      </w:r>
    </w:p>
    <w:p>
      <w:pPr>
        <w:pStyle w:val="nzSubsection"/>
      </w:pPr>
      <w:r>
        <w:tab/>
      </w:r>
      <w:r>
        <w:tab/>
        <w:t>“    , or which effects or evidences a transaction on which,    ”.</w:t>
      </w:r>
    </w:p>
    <w:p>
      <w:pPr>
        <w:pStyle w:val="nzSubsection"/>
      </w:pPr>
      <w:r>
        <w:tab/>
        <w:t>(2)</w:t>
      </w:r>
      <w:r>
        <w:tab/>
        <w:t xml:space="preserve">Section 96(2) is amended by deleting paragraph (a) and “or” after it and inserting instead — </w:t>
      </w:r>
    </w:p>
    <w:p>
      <w:pPr>
        <w:pStyle w:val="MiscOpen"/>
        <w:ind w:left="1340"/>
      </w:pPr>
      <w:r>
        <w:t xml:space="preserve">“    </w:t>
      </w:r>
    </w:p>
    <w:p>
      <w:pPr>
        <w:pStyle w:val="nzIndenta"/>
      </w:pPr>
      <w:r>
        <w:tab/>
        <w:t>(a)</w:t>
      </w:r>
      <w:r>
        <w:tab/>
        <w:t>in the case of an instrument effecting or evidencing a transaction — a party to the transaction; or</w:t>
      </w:r>
    </w:p>
    <w:p>
      <w:pPr>
        <w:pStyle w:val="MiscClose"/>
      </w:pPr>
      <w:r>
        <w:t xml:space="preserve">    ”.</w:t>
      </w:r>
    </w:p>
    <w:p>
      <w:pPr>
        <w:pStyle w:val="nzHeading5"/>
      </w:pPr>
      <w:r>
        <w:rPr>
          <w:rStyle w:val="CharSectno"/>
        </w:rPr>
        <w:t>49</w:t>
      </w:r>
      <w:r>
        <w:t>.</w:t>
      </w:r>
      <w:r>
        <w:tab/>
        <w:t>Part 10 Division 5 heading amended</w:t>
      </w:r>
    </w:p>
    <w:p>
      <w:pPr>
        <w:pStyle w:val="nzSubsection"/>
      </w:pPr>
      <w:r>
        <w:tab/>
      </w:r>
      <w:r>
        <w:tab/>
        <w:t xml:space="preserve">The heading to Part 10 Division 5 is amended by inserting after “Regulations” — </w:t>
      </w:r>
    </w:p>
    <w:p>
      <w:pPr>
        <w:pStyle w:val="nzSubsection"/>
      </w:pPr>
      <w:r>
        <w:tab/>
      </w:r>
      <w:r>
        <w:tab/>
        <w:t xml:space="preserve">“    </w:t>
      </w:r>
      <w:r>
        <w:rPr>
          <w:b/>
          <w:bCs/>
          <w:sz w:val="26"/>
        </w:rPr>
        <w:t>, practices and forms</w:t>
      </w:r>
      <w:r>
        <w:t xml:space="preserve">    ”.</w:t>
      </w:r>
    </w:p>
    <w:p>
      <w:pPr>
        <w:pStyle w:val="nzHeading5"/>
      </w:pPr>
      <w:r>
        <w:rPr>
          <w:rStyle w:val="CharSectno"/>
        </w:rPr>
        <w:t>50</w:t>
      </w:r>
      <w:r>
        <w:t>.</w:t>
      </w:r>
      <w:r>
        <w:tab/>
        <w:t>Section 128 inserted</w:t>
      </w:r>
    </w:p>
    <w:p>
      <w:pPr>
        <w:pStyle w:val="nzSubsection"/>
      </w:pPr>
      <w:r>
        <w:tab/>
      </w:r>
      <w:r>
        <w:tab/>
        <w:t xml:space="preserve">After section 127 the following section is inserted in Part 10 Division 5 — </w:t>
      </w:r>
    </w:p>
    <w:p>
      <w:pPr>
        <w:pStyle w:val="MiscOpen"/>
      </w:pPr>
      <w:r>
        <w:t xml:space="preserve">“    </w:t>
      </w:r>
    </w:p>
    <w:p>
      <w:pPr>
        <w:pStyle w:val="nzHeading5"/>
      </w:pPr>
      <w:r>
        <w:t>128.</w:t>
      </w:r>
      <w:r>
        <w:tab/>
        <w:t>Forms</w:t>
      </w:r>
    </w:p>
    <w:p>
      <w:pPr>
        <w:pStyle w:val="nzSubsection"/>
      </w:pPr>
      <w:r>
        <w:tab/>
      </w:r>
      <w:r>
        <w:tab/>
        <w:t>A form approved for use under a taxation Act may require information provided in the form to be verified by statutory declaration.</w:t>
      </w:r>
    </w:p>
    <w:p>
      <w:pPr>
        <w:pStyle w:val="MiscClose"/>
      </w:pPr>
      <w:r>
        <w:t xml:space="preserve">    ”.</w:t>
      </w:r>
    </w:p>
    <w:p>
      <w:pPr>
        <w:pStyle w:val="nzHeading5"/>
      </w:pPr>
      <w:r>
        <w:rPr>
          <w:rStyle w:val="CharSectno"/>
        </w:rPr>
        <w:t>51</w:t>
      </w:r>
      <w:r>
        <w:t>.</w:t>
      </w:r>
      <w:r>
        <w:tab/>
        <w:t>Glossary amended</w:t>
      </w:r>
    </w:p>
    <w:p>
      <w:pPr>
        <w:pStyle w:val="nzSubsection"/>
      </w:pPr>
      <w:r>
        <w:tab/>
      </w:r>
      <w:r>
        <w:tab/>
        <w:t>The Glossary is amended as follows:</w:t>
      </w:r>
    </w:p>
    <w:p>
      <w:pPr>
        <w:pStyle w:val="nzIndenta"/>
      </w:pPr>
      <w:r>
        <w:tab/>
        <w:t>(a)</w:t>
      </w:r>
      <w:r>
        <w:tab/>
        <w:t xml:space="preserve">in the definition of “instrument” — </w:t>
      </w:r>
    </w:p>
    <w:p>
      <w:pPr>
        <w:pStyle w:val="nzIndenti"/>
      </w:pPr>
      <w:r>
        <w:tab/>
        <w:t>(i)</w:t>
      </w:r>
      <w:r>
        <w:tab/>
        <w:t>by deleting paragraph (a);</w:t>
      </w:r>
    </w:p>
    <w:p>
      <w:pPr>
        <w:pStyle w:val="nzIndenti"/>
      </w:pPr>
      <w:r>
        <w:tab/>
        <w:t>(ii)</w:t>
      </w:r>
      <w:r>
        <w:tab/>
        <w:t xml:space="preserve">in paragraph (b) by deleting “a statement” and inserting instead — </w:t>
      </w:r>
    </w:p>
    <w:p>
      <w:pPr>
        <w:pStyle w:val="nzIndenti"/>
      </w:pPr>
      <w:r>
        <w:tab/>
      </w:r>
      <w:r>
        <w:tab/>
        <w:t xml:space="preserve">“    </w:t>
      </w:r>
      <w:r>
        <w:rPr>
          <w:sz w:val="22"/>
        </w:rPr>
        <w:t>an instrument,</w:t>
      </w:r>
      <w:r>
        <w:t xml:space="preserve">    ”;</w:t>
      </w:r>
    </w:p>
    <w:p>
      <w:pPr>
        <w:pStyle w:val="nzIndenti"/>
      </w:pPr>
      <w:r>
        <w:tab/>
        <w:t>(iii)</w:t>
      </w:r>
      <w:r>
        <w:tab/>
        <w:t xml:space="preserve">by deleting paragraph (c) and inserting instead — </w:t>
      </w:r>
    </w:p>
    <w:p>
      <w:pPr>
        <w:pStyle w:val="MiscOpen"/>
        <w:ind w:left="1340"/>
      </w:pPr>
      <w:r>
        <w:t xml:space="preserve">“    </w:t>
      </w:r>
    </w:p>
    <w:p>
      <w:pPr>
        <w:pStyle w:val="nzDefpara"/>
      </w:pPr>
      <w:r>
        <w:tab/>
        <w:t>(c)</w:t>
      </w:r>
      <w:r>
        <w:tab/>
        <w:t>a copy or memorandum that is treated under section 20 as if it were an instrument;</w:t>
      </w:r>
    </w:p>
    <w:p>
      <w:pPr>
        <w:pStyle w:val="MiscClose"/>
      </w:pPr>
      <w:r>
        <w:t xml:space="preserve">    ”;</w:t>
      </w:r>
    </w:p>
    <w:p>
      <w:pPr>
        <w:pStyle w:val="nzIndenti"/>
      </w:pPr>
      <w:r>
        <w:tab/>
        <w:t>(iv)</w:t>
      </w:r>
      <w:r>
        <w:tab/>
        <w:t>by deleting paragraph (f);</w:t>
      </w:r>
    </w:p>
    <w:p>
      <w:pPr>
        <w:pStyle w:val="nzIndenta"/>
      </w:pPr>
      <w:r>
        <w:tab/>
        <w:t>(b)</w:t>
      </w:r>
      <w:r>
        <w:tab/>
        <w:t xml:space="preserve">in the definition of “official document” paragraph (b) by deleting “stamped” and inserting instead — </w:t>
      </w:r>
    </w:p>
    <w:p>
      <w:pPr>
        <w:pStyle w:val="nzIndenta"/>
      </w:pPr>
      <w:r>
        <w:tab/>
      </w:r>
      <w:r>
        <w:tab/>
        <w:t xml:space="preserve">“    </w:t>
      </w:r>
      <w:r>
        <w:rPr>
          <w:sz w:val="22"/>
        </w:rPr>
        <w:t>endorsed</w:t>
      </w:r>
      <w:r>
        <w:t xml:space="preserve">    ”;</w:t>
      </w:r>
    </w:p>
    <w:p>
      <w:pPr>
        <w:pStyle w:val="nzIndenta"/>
      </w:pPr>
      <w:r>
        <w:tab/>
        <w:t>(c)</w:t>
      </w:r>
      <w:r>
        <w:tab/>
        <w:t xml:space="preserve">in the definition of “penalty tax” — </w:t>
      </w:r>
    </w:p>
    <w:p>
      <w:pPr>
        <w:pStyle w:val="nzIndenti"/>
      </w:pPr>
      <w:r>
        <w:tab/>
        <w:t>(i)</w:t>
      </w:r>
      <w:r>
        <w:tab/>
        <w:t xml:space="preserve">after paragraph (c) by inserting — </w:t>
      </w:r>
    </w:p>
    <w:p>
      <w:pPr>
        <w:pStyle w:val="MiscOpen"/>
        <w:ind w:left="1580"/>
      </w:pPr>
      <w:r>
        <w:t xml:space="preserve">“    </w:t>
      </w:r>
    </w:p>
    <w:p>
      <w:pPr>
        <w:pStyle w:val="nzDefpara"/>
      </w:pPr>
      <w:r>
        <w:tab/>
      </w:r>
      <w:r>
        <w:tab/>
        <w:t>or</w:t>
      </w:r>
    </w:p>
    <w:p>
      <w:pPr>
        <w:pStyle w:val="nzDefpara"/>
      </w:pPr>
      <w:r>
        <w:tab/>
        <w:t>(d)</w:t>
      </w:r>
      <w:r>
        <w:tab/>
        <w:t xml:space="preserve">penalty tax payable under the </w:t>
      </w:r>
      <w:r>
        <w:rPr>
          <w:i/>
          <w:iCs/>
        </w:rPr>
        <w:t>Duties Act 2008</w:t>
      </w:r>
      <w:r>
        <w:t xml:space="preserve"> section 239(3)(b), 249(4)(b) or 266(2)(b); </w:t>
      </w:r>
    </w:p>
    <w:p>
      <w:pPr>
        <w:pStyle w:val="MiscClose"/>
      </w:pPr>
      <w:r>
        <w:t xml:space="preserve">    ”;</w:t>
      </w:r>
    </w:p>
    <w:p>
      <w:pPr>
        <w:pStyle w:val="nzIndenti"/>
      </w:pPr>
      <w:r>
        <w:tab/>
        <w:t>(ii)</w:t>
      </w:r>
      <w:r>
        <w:tab/>
        <w:t xml:space="preserve">after paragraph (a) by inserting — </w:t>
      </w:r>
    </w:p>
    <w:p>
      <w:pPr>
        <w:pStyle w:val="nzIndenti"/>
      </w:pPr>
      <w:r>
        <w:tab/>
      </w:r>
      <w:r>
        <w:tab/>
        <w:t xml:space="preserve">“    </w:t>
      </w:r>
      <w:r>
        <w:rPr>
          <w:sz w:val="22"/>
        </w:rPr>
        <w:t>or</w:t>
      </w:r>
      <w:r>
        <w:t xml:space="preserve">    ”;</w:t>
      </w:r>
    </w:p>
    <w:p>
      <w:pPr>
        <w:pStyle w:val="nzIndenta"/>
        <w:keepNext/>
        <w:keepLines/>
      </w:pPr>
      <w:r>
        <w:tab/>
        <w:t>(d)</w:t>
      </w:r>
      <w:r>
        <w:tab/>
        <w:t xml:space="preserve">by inserting in the appropriate alphabetical positions — </w:t>
      </w:r>
    </w:p>
    <w:p>
      <w:pPr>
        <w:pStyle w:val="MiscOpen"/>
        <w:ind w:left="880"/>
      </w:pPr>
      <w:r>
        <w:t xml:space="preserve">“    </w:t>
      </w:r>
    </w:p>
    <w:p>
      <w:pPr>
        <w:pStyle w:val="nzDefstart"/>
      </w:pPr>
      <w:r>
        <w:tab/>
      </w:r>
      <w:r>
        <w:rPr>
          <w:b/>
        </w:rPr>
        <w:t>“</w:t>
      </w:r>
      <w:r>
        <w:rPr>
          <w:rStyle w:val="CharDefText"/>
        </w:rPr>
        <w:t>date</w:t>
      </w:r>
      <w:r>
        <w:rPr>
          <w:b/>
        </w:rPr>
        <w:t>”</w:t>
      </w:r>
      <w:r>
        <w:t xml:space="preserve"> of an assessment notice means the date on which it is issued;</w:t>
      </w:r>
    </w:p>
    <w:p>
      <w:pPr>
        <w:pStyle w:val="nzDefstart"/>
      </w:pPr>
      <w:r>
        <w:tab/>
      </w:r>
      <w:r>
        <w:rPr>
          <w:b/>
        </w:rPr>
        <w:t>“</w:t>
      </w:r>
      <w:r>
        <w:rPr>
          <w:rStyle w:val="CharDefText"/>
        </w:rPr>
        <w:t>endorse</w:t>
      </w:r>
      <w:r>
        <w:rPr>
          <w:b/>
        </w:rPr>
        <w:t>”</w:t>
      </w:r>
      <w:r>
        <w:t xml:space="preserve"> includes stamp;</w:t>
      </w:r>
    </w:p>
    <w:p>
      <w:pPr>
        <w:pStyle w:val="MiscClose"/>
      </w:pPr>
      <w:r>
        <w:t xml:space="preserve">    ”.</w:t>
      </w:r>
    </w:p>
    <w:p>
      <w:pPr>
        <w:pStyle w:val="MiscClose"/>
      </w:pPr>
      <w:r>
        <w:t>”.</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Revenue Laws Amendment Act (No. 2) 2008 </w:t>
      </w:r>
      <w:r>
        <w:rPr>
          <w:iCs/>
          <w:snapToGrid w:val="0"/>
        </w:rPr>
        <w:t>Pt. 3 Div. 3</w:t>
      </w:r>
      <w:r>
        <w:rPr>
          <w:snapToGrid w:val="0"/>
        </w:rPr>
        <w:t xml:space="preserve"> had not come into operation.  It reads as follows:</w:t>
      </w:r>
    </w:p>
    <w:p>
      <w:pPr>
        <w:pStyle w:val="MiscOpen"/>
      </w:pPr>
      <w:r>
        <w:t>“</w:t>
      </w:r>
    </w:p>
    <w:p>
      <w:pPr>
        <w:pStyle w:val="nzHeading3"/>
      </w:pPr>
      <w:r>
        <w:rPr>
          <w:rStyle w:val="CharDivNo"/>
        </w:rPr>
        <w:t>Division 3</w:t>
      </w:r>
      <w:r>
        <w:t> — </w:t>
      </w:r>
      <w:r>
        <w:rPr>
          <w:rStyle w:val="CharDivText"/>
        </w:rPr>
        <w:t>Amendments to commence on proclamation</w:t>
      </w:r>
    </w:p>
    <w:p>
      <w:pPr>
        <w:pStyle w:val="nzHeading5"/>
      </w:pPr>
      <w:r>
        <w:rPr>
          <w:rStyle w:val="CharSectno"/>
        </w:rPr>
        <w:t>29</w:t>
      </w:r>
      <w:r>
        <w:t>.</w:t>
      </w:r>
      <w:r>
        <w:tab/>
        <w:t>Section 20A inserted</w:t>
      </w:r>
    </w:p>
    <w:p>
      <w:pPr>
        <w:pStyle w:val="nzSubsection"/>
      </w:pPr>
      <w:r>
        <w:tab/>
      </w:r>
      <w:r>
        <w:tab/>
        <w:t>After section 19 the following section is inserted —</w:t>
      </w:r>
    </w:p>
    <w:p>
      <w:pPr>
        <w:pStyle w:val="MiscOpen"/>
      </w:pPr>
      <w:r>
        <w:t xml:space="preserve">“    </w:t>
      </w:r>
    </w:p>
    <w:p>
      <w:pPr>
        <w:pStyle w:val="nzHeading5"/>
      </w:pPr>
      <w:r>
        <w:t>20A.</w:t>
      </w:r>
      <w:r>
        <w:tab/>
        <w:t>Compromise assessments</w:t>
      </w:r>
    </w:p>
    <w:p>
      <w:pPr>
        <w:pStyle w:val="nzSubsection"/>
      </w:pPr>
      <w:r>
        <w:tab/>
        <w:t>(1)</w:t>
      </w:r>
      <w:r>
        <w:tab/>
        <w:t>If the Commissioner considers it appropriate to do so to avoid undue delay or expense, to settle a dispute or for any other reason, the Commissioner may —</w:t>
      </w:r>
    </w:p>
    <w:p>
      <w:pPr>
        <w:pStyle w:val="nzIndenta"/>
      </w:pPr>
      <w:r>
        <w:tab/>
        <w:t>(a)</w:t>
      </w:r>
      <w:r>
        <w:tab/>
        <w:t xml:space="preserve">make a written agreement (a </w:t>
      </w:r>
      <w:r>
        <w:rPr>
          <w:b/>
        </w:rPr>
        <w:t>“</w:t>
      </w:r>
      <w:r>
        <w:rPr>
          <w:rStyle w:val="CharDefText"/>
        </w:rPr>
        <w:t>compromise agreement</w:t>
      </w:r>
      <w:r>
        <w:rPr>
          <w:b/>
        </w:rPr>
        <w:t>”</w:t>
      </w:r>
      <w:r>
        <w:t>) with a taxpayer in relation to the assessment of the taxpayer’s tax liability; and</w:t>
      </w:r>
    </w:p>
    <w:p>
      <w:pPr>
        <w:pStyle w:val="nzIndenta"/>
      </w:pPr>
      <w:r>
        <w:tab/>
        <w:t>(b)</w:t>
      </w:r>
      <w:r>
        <w:tab/>
        <w:t>make an assessment in accordance with the compromise agreement.</w:t>
      </w:r>
    </w:p>
    <w:p>
      <w:pPr>
        <w:pStyle w:val="nzSubsection"/>
      </w:pPr>
      <w:r>
        <w:tab/>
        <w:t>(2)</w:t>
      </w:r>
      <w:r>
        <w:tab/>
        <w:t>Despite section 16 the Commissioner must not make a reassessment of a compromise assessment unless —</w:t>
      </w:r>
    </w:p>
    <w:p>
      <w:pPr>
        <w:pStyle w:val="nzIndenta"/>
      </w:pPr>
      <w:r>
        <w:tab/>
        <w:t>(a)</w:t>
      </w:r>
      <w:r>
        <w:tab/>
        <w:t>the taxpayer has agreed; or</w:t>
      </w:r>
    </w:p>
    <w:p>
      <w:pPr>
        <w:pStyle w:val="nzIndenta"/>
      </w:pPr>
      <w:r>
        <w:tab/>
        <w:t>(b)</w:t>
      </w:r>
      <w:r>
        <w:tab/>
        <w:t>the Commissioner is satisfied that the compromise assessment —</w:t>
      </w:r>
    </w:p>
    <w:p>
      <w:pPr>
        <w:pStyle w:val="nzIndenti"/>
      </w:pPr>
      <w:r>
        <w:tab/>
        <w:t>(i)</w:t>
      </w:r>
      <w:r>
        <w:tab/>
        <w:t>was procured by fraud; or</w:t>
      </w:r>
    </w:p>
    <w:p>
      <w:pPr>
        <w:pStyle w:val="nzIndenti"/>
      </w:pPr>
      <w:r>
        <w:tab/>
        <w:t>(ii)</w:t>
      </w:r>
      <w:r>
        <w:tab/>
        <w:t>was made in consequence of the taxpayer knowingly failing to disclose material information or providing information knowing that it was incorrect, incomplete or misleading.</w:t>
      </w:r>
    </w:p>
    <w:p>
      <w:pPr>
        <w:pStyle w:val="nzSubsection"/>
      </w:pPr>
      <w:r>
        <w:tab/>
        <w:t>(3)</w:t>
      </w:r>
      <w:r>
        <w:tab/>
        <w:t>Each of the following are final and not subject to objection or review under Part 4 or to any other form of appeal or review —</w:t>
      </w:r>
    </w:p>
    <w:p>
      <w:pPr>
        <w:pStyle w:val="nzIndenta"/>
      </w:pPr>
      <w:r>
        <w:tab/>
        <w:t>(a)</w:t>
      </w:r>
      <w:r>
        <w:tab/>
        <w:t>a decision of the Commissioner under this section to make, or not make, a compromise agreement;</w:t>
      </w:r>
    </w:p>
    <w:p>
      <w:pPr>
        <w:pStyle w:val="nzIndenta"/>
      </w:pPr>
      <w:r>
        <w:tab/>
        <w:t>(b)</w:t>
      </w:r>
      <w:r>
        <w:tab/>
        <w:t>a decision of the Commissioner under this section as to the terms of a compromise agreement;</w:t>
      </w:r>
    </w:p>
    <w:p>
      <w:pPr>
        <w:pStyle w:val="nzIndenta"/>
      </w:pPr>
      <w:r>
        <w:tab/>
        <w:t>(c)</w:t>
      </w:r>
      <w:r>
        <w:tab/>
        <w:t>a compromise assessment.</w:t>
      </w:r>
    </w:p>
    <w:p>
      <w:pPr>
        <w:pStyle w:val="nzSubsection"/>
      </w:pPr>
      <w:r>
        <w:tab/>
        <w:t>(4)</w:t>
      </w:r>
      <w:r>
        <w:tab/>
        <w:t>No action can be brought in any court or tribunal to compel the Commissioner to make a compromise agreement.</w:t>
      </w:r>
    </w:p>
    <w:p>
      <w:pPr>
        <w:pStyle w:val="nzSubsection"/>
      </w:pPr>
      <w:r>
        <w:tab/>
        <w:t>(5)</w:t>
      </w:r>
      <w:r>
        <w:tab/>
        <w:t>This section does not limit the Commissioner’s powers under section 19.</w:t>
      </w:r>
    </w:p>
    <w:p>
      <w:pPr>
        <w:pStyle w:val="MiscClose"/>
      </w:pPr>
      <w:r>
        <w:t xml:space="preserve">    ”.</w:t>
      </w:r>
    </w:p>
    <w:p>
      <w:pPr>
        <w:pStyle w:val="nzHeading5"/>
      </w:pPr>
      <w:r>
        <w:rPr>
          <w:rStyle w:val="CharSectno"/>
        </w:rPr>
        <w:t>30</w:t>
      </w:r>
      <w:r>
        <w:t>.</w:t>
      </w:r>
      <w:r>
        <w:tab/>
        <w:t>Section 34 amended</w:t>
      </w:r>
    </w:p>
    <w:p>
      <w:pPr>
        <w:pStyle w:val="nzSubsection"/>
      </w:pPr>
      <w:r>
        <w:tab/>
        <w:t>(1)</w:t>
      </w:r>
      <w:r>
        <w:tab/>
        <w:t>Section 34(1)(a) is amended by inserting after “assessment” —</w:t>
      </w:r>
    </w:p>
    <w:p>
      <w:pPr>
        <w:pStyle w:val="nzSubsection"/>
      </w:pPr>
      <w:r>
        <w:tab/>
      </w:r>
      <w:r>
        <w:tab/>
        <w:t>“    , other than a compromise assessment    ”.</w:t>
      </w:r>
    </w:p>
    <w:p>
      <w:pPr>
        <w:pStyle w:val="nzSubsection"/>
      </w:pPr>
      <w:r>
        <w:tab/>
        <w:t>(2)</w:t>
      </w:r>
      <w:r>
        <w:tab/>
        <w:t>Section 34(2) is amended by deleting the full stop after paragraph (d) and inserting instead —</w:t>
      </w:r>
    </w:p>
    <w:p>
      <w:pPr>
        <w:pStyle w:val="MiscOpen"/>
        <w:ind w:left="1418"/>
      </w:pPr>
      <w:r>
        <w:t xml:space="preserve">“    </w:t>
      </w:r>
    </w:p>
    <w:p>
      <w:pPr>
        <w:pStyle w:val="nzIndenta"/>
      </w:pPr>
      <w:r>
        <w:tab/>
      </w:r>
      <w:r>
        <w:tab/>
        <w:t>;</w:t>
      </w:r>
    </w:p>
    <w:p>
      <w:pPr>
        <w:pStyle w:val="nzIndenta"/>
      </w:pPr>
      <w:r>
        <w:tab/>
        <w:t>(e)</w:t>
      </w:r>
      <w:r>
        <w:tab/>
        <w:t>a decision which, under section 20A(3), is not subject to objection under this Part.</w:t>
      </w:r>
    </w:p>
    <w:p>
      <w:pPr>
        <w:pStyle w:val="MiscClose"/>
      </w:pPr>
      <w:r>
        <w:t xml:space="preserve">    ”.</w:t>
      </w:r>
    </w:p>
    <w:p>
      <w:pPr>
        <w:pStyle w:val="nzHeading5"/>
      </w:pPr>
      <w:r>
        <w:rPr>
          <w:rStyle w:val="CharSectno"/>
        </w:rPr>
        <w:t>31</w:t>
      </w:r>
      <w:r>
        <w:t>.</w:t>
      </w:r>
      <w:r>
        <w:tab/>
        <w:t>Glossary amended</w:t>
      </w:r>
    </w:p>
    <w:p>
      <w:pPr>
        <w:pStyle w:val="nzSubsection"/>
      </w:pPr>
      <w:r>
        <w:tab/>
      </w:r>
      <w:r>
        <w:tab/>
        <w:t>The Glossary is amended as follows:</w:t>
      </w:r>
    </w:p>
    <w:p>
      <w:pPr>
        <w:pStyle w:val="nzIndenta"/>
      </w:pPr>
      <w:r>
        <w:tab/>
        <w:t>(a)</w:t>
      </w:r>
      <w:r>
        <w:tab/>
        <w:t>in the definition of “assessment” by deleting “or a reassessment;” and inserting instead —</w:t>
      </w:r>
    </w:p>
    <w:p>
      <w:pPr>
        <w:pStyle w:val="nzIndenta"/>
      </w:pPr>
      <w:r>
        <w:tab/>
      </w:r>
      <w:r>
        <w:tab/>
        <w:t xml:space="preserve">“    </w:t>
      </w:r>
      <w:r>
        <w:rPr>
          <w:sz w:val="22"/>
        </w:rPr>
        <w:t>, a reassessment or a compromise assessment;</w:t>
      </w:r>
      <w:r>
        <w:t xml:space="preserve">    ”;</w:t>
      </w:r>
    </w:p>
    <w:p>
      <w:pPr>
        <w:pStyle w:val="nzIndenta"/>
      </w:pPr>
      <w:r>
        <w:tab/>
        <w:t>(b)</w:t>
      </w:r>
      <w:r>
        <w:tab/>
        <w:t>by inserting in the appropriate alphabetical position —</w:t>
      </w:r>
    </w:p>
    <w:p>
      <w:pPr>
        <w:pStyle w:val="MiscOpen"/>
        <w:ind w:left="880"/>
      </w:pPr>
      <w:r>
        <w:t xml:space="preserve">“    </w:t>
      </w:r>
    </w:p>
    <w:p>
      <w:pPr>
        <w:pStyle w:val="nzDefstart"/>
      </w:pPr>
      <w:r>
        <w:rPr>
          <w:b/>
          <w:sz w:val="22"/>
        </w:rPr>
        <w:tab/>
        <w:t>“</w:t>
      </w:r>
      <w:r>
        <w:rPr>
          <w:rStyle w:val="CharDefText"/>
          <w:sz w:val="22"/>
        </w:rPr>
        <w:t>compromise assessment</w:t>
      </w:r>
      <w:r>
        <w:rPr>
          <w:b/>
          <w:sz w:val="22"/>
        </w:rPr>
        <w:t>”</w:t>
      </w:r>
      <w:r>
        <w:rPr>
          <w:sz w:val="22"/>
        </w:rPr>
        <w:t xml:space="preserve"> means an assessment made in accordance with section 20A;</w:t>
      </w:r>
    </w:p>
    <w:p>
      <w:pPr>
        <w:pStyle w:val="MiscClose"/>
      </w:pPr>
      <w:r>
        <w:t xml:space="preserve">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2008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Jun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9094709"/>
    <w:docVar w:name="WAFER_20140609094709" w:val="RemoveTocBookmarks,RemoveUnusedBookmarks,RemoveLanguageTags,UsedStyles,ResetPageSize"/>
    <w:docVar w:name="WAFER_20140609094709_GUID" w:val="ec199d3b-bfa3-4092-bb27-fc3f45bb02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123</Pages>
  <Words>30050</Words>
  <Characters>144841</Characters>
  <Application>Microsoft Office Word</Application>
  <DocSecurity>0</DocSecurity>
  <Lines>3914</Lines>
  <Paragraphs>2363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172528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2003 - 02-d0-02</dc:title>
  <dc:subject/>
  <dc:creator/>
  <cp:keywords/>
  <dc:description/>
  <cp:lastModifiedBy>svcMRProcess</cp:lastModifiedBy>
  <cp:revision>4</cp:revision>
  <cp:lastPrinted>2007-08-23T04:21:00Z</cp:lastPrinted>
  <dcterms:created xsi:type="dcterms:W3CDTF">2018-09-09T02:14:00Z</dcterms:created>
  <dcterms:modified xsi:type="dcterms:W3CDTF">2018-09-09T02:14:00Z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20080628</vt:lpwstr>
  </property>
  <property fmtid="{D5CDD505-2E9C-101B-9397-08002B2CF9AE}" pid="4" name="DocumentType">
    <vt:lpwstr>Act</vt:lpwstr>
  </property>
  <property fmtid="{D5CDD505-2E9C-101B-9397-08002B2CF9AE}" pid="5" name="OwlsUID">
    <vt:i4>6343</vt:i4>
  </property>
  <property fmtid="{D5CDD505-2E9C-101B-9397-08002B2CF9AE}" pid="6" name="ReprintNo">
    <vt:lpwstr>2</vt:lpwstr>
  </property>
  <property fmtid="{D5CDD505-2E9C-101B-9397-08002B2CF9AE}" pid="7" name="AsAtDate">
    <vt:lpwstr>28 Jun 2008</vt:lpwstr>
  </property>
  <property fmtid="{D5CDD505-2E9C-101B-9397-08002B2CF9AE}" pid="8" name="Suffix">
    <vt:lpwstr>02-d0-02</vt:lpwstr>
  </property>
</Properties>
</file>