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Housing Act 1980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Housing Act 1980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_Toc202173095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_Toc202173096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Repeal</w:t>
      </w:r>
      <w:r>
        <w:tab/>
      </w:r>
      <w:r>
        <w:fldChar w:fldCharType="begin"/>
      </w:r>
      <w:r>
        <w:instrText xml:space="preserve"> PAGEREF _Toc202173097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Objects</w:t>
      </w:r>
      <w:r>
        <w:tab/>
      </w:r>
      <w:r>
        <w:fldChar w:fldCharType="begin"/>
      </w:r>
      <w:r>
        <w:instrText xml:space="preserve"> PAGEREF _Toc202173098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_Toc202173099 \h </w:instrText>
      </w:r>
      <w:r>
        <w:fldChar w:fldCharType="separate"/>
      </w:r>
      <w:r>
        <w:t>2</w:t>
      </w:r>
      <w:r>
        <w:fldChar w:fldCharType="end"/>
      </w:r>
    </w:p>
    <w:p>
      <w:pPr>
        <w:pStyle w:val="TOC2"/>
        <w:tabs>
          <w:tab w:val="right" w:leader="dot" w:pos="7086"/>
        </w:tabs>
        <w:rPr>
          <w:b w:val="0"/>
          <w:sz w:val="24"/>
          <w:szCs w:val="24"/>
        </w:rPr>
      </w:pPr>
      <w:r>
        <w:rPr>
          <w:szCs w:val="30"/>
        </w:rPr>
        <w:t>Part II — The State Housing Authority</w:t>
      </w:r>
    </w:p>
    <w:p>
      <w:pPr>
        <w:pStyle w:val="TOC4"/>
        <w:tabs>
          <w:tab w:val="right" w:leader="dot" w:pos="7086"/>
        </w:tabs>
        <w:rPr>
          <w:b w:val="0"/>
          <w:sz w:val="24"/>
          <w:szCs w:val="24"/>
        </w:rPr>
      </w:pPr>
      <w:r>
        <w:rPr>
          <w:szCs w:val="26"/>
        </w:rPr>
        <w:t>Division 1 — The Housing Authority</w:t>
      </w:r>
    </w:p>
    <w:p>
      <w:pPr>
        <w:pStyle w:val="TOC8"/>
        <w:rPr>
          <w:sz w:val="24"/>
          <w:szCs w:val="24"/>
        </w:rPr>
      </w:pPr>
      <w:r>
        <w:rPr>
          <w:szCs w:val="24"/>
        </w:rPr>
        <w:t>6</w:t>
      </w:r>
      <w:r>
        <w:rPr>
          <w:snapToGrid w:val="0"/>
          <w:szCs w:val="24"/>
        </w:rPr>
        <w:t>.</w:t>
      </w:r>
      <w:r>
        <w:rPr>
          <w:snapToGrid w:val="0"/>
          <w:szCs w:val="24"/>
        </w:rPr>
        <w:tab/>
        <w:t>The Housing Authority</w:t>
      </w:r>
      <w:r>
        <w:tab/>
      </w:r>
      <w:r>
        <w:fldChar w:fldCharType="begin"/>
      </w:r>
      <w:r>
        <w:instrText xml:space="preserve"> PAGEREF _Toc202173102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Authority a body corporate and Crown agency</w:t>
      </w:r>
      <w:r>
        <w:tab/>
      </w:r>
      <w:r>
        <w:fldChar w:fldCharType="begin"/>
      </w:r>
      <w:r>
        <w:instrText xml:space="preserve"> PAGEREF _Toc202173103 \h </w:instrText>
      </w:r>
      <w:r>
        <w:fldChar w:fldCharType="separate"/>
      </w:r>
      <w:r>
        <w:t>6</w:t>
      </w:r>
      <w:r>
        <w:fldChar w:fldCharType="end"/>
      </w:r>
    </w:p>
    <w:p>
      <w:pPr>
        <w:pStyle w:val="TOC8"/>
        <w:rPr>
          <w:sz w:val="24"/>
          <w:szCs w:val="24"/>
        </w:rPr>
      </w:pPr>
      <w:r>
        <w:rPr>
          <w:szCs w:val="24"/>
        </w:rPr>
        <w:t>8.</w:t>
      </w:r>
      <w:r>
        <w:rPr>
          <w:szCs w:val="24"/>
        </w:rPr>
        <w:tab/>
        <w:t>Authority to be an SES organisation</w:t>
      </w:r>
      <w:r>
        <w:tab/>
      </w:r>
      <w:r>
        <w:fldChar w:fldCharType="begin"/>
      </w:r>
      <w:r>
        <w:instrText xml:space="preserve"> PAGEREF _Toc202173104 \h </w:instrText>
      </w:r>
      <w:r>
        <w:fldChar w:fldCharType="separate"/>
      </w:r>
      <w:r>
        <w:t>7</w:t>
      </w:r>
      <w:r>
        <w:fldChar w:fldCharType="end"/>
      </w:r>
    </w:p>
    <w:p>
      <w:pPr>
        <w:pStyle w:val="TOC8"/>
        <w:rPr>
          <w:sz w:val="24"/>
          <w:szCs w:val="24"/>
        </w:rPr>
      </w:pPr>
      <w:r>
        <w:rPr>
          <w:szCs w:val="24"/>
        </w:rPr>
        <w:t>9.</w:t>
      </w:r>
      <w:r>
        <w:rPr>
          <w:szCs w:val="24"/>
        </w:rPr>
        <w:tab/>
        <w:t>Management</w:t>
      </w:r>
      <w:r>
        <w:tab/>
      </w:r>
      <w:r>
        <w:fldChar w:fldCharType="begin"/>
      </w:r>
      <w:r>
        <w:instrText xml:space="preserve"> PAGEREF _Toc202173105 \h </w:instrText>
      </w:r>
      <w:r>
        <w:fldChar w:fldCharType="separate"/>
      </w:r>
      <w:r>
        <w:t>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Powers and functions of the Authority generally</w:t>
      </w:r>
    </w:p>
    <w:p>
      <w:pPr>
        <w:pStyle w:val="TOC8"/>
        <w:rPr>
          <w:sz w:val="24"/>
          <w:szCs w:val="24"/>
        </w:rPr>
      </w:pPr>
      <w:r>
        <w:rPr>
          <w:szCs w:val="24"/>
        </w:rPr>
        <w:t>11</w:t>
      </w:r>
      <w:r>
        <w:rPr>
          <w:snapToGrid w:val="0"/>
          <w:szCs w:val="24"/>
        </w:rPr>
        <w:t>.</w:t>
      </w:r>
      <w:r>
        <w:rPr>
          <w:snapToGrid w:val="0"/>
          <w:szCs w:val="24"/>
        </w:rPr>
        <w:tab/>
        <w:t>Authority to implement housing Acts</w:t>
      </w:r>
      <w:r>
        <w:tab/>
      </w:r>
      <w:r>
        <w:fldChar w:fldCharType="begin"/>
      </w:r>
      <w:r>
        <w:instrText xml:space="preserve"> PAGEREF _Toc202173107 \h </w:instrText>
      </w:r>
      <w:r>
        <w:fldChar w:fldCharType="separate"/>
      </w:r>
      <w:r>
        <w:t>7</w:t>
      </w:r>
      <w:r>
        <w:fldChar w:fldCharType="end"/>
      </w:r>
    </w:p>
    <w:p>
      <w:pPr>
        <w:pStyle w:val="TOC8"/>
        <w:rPr>
          <w:sz w:val="24"/>
          <w:szCs w:val="24"/>
        </w:rPr>
      </w:pPr>
      <w:r>
        <w:rPr>
          <w:szCs w:val="24"/>
        </w:rPr>
        <w:t>11A.</w:t>
      </w:r>
      <w:r>
        <w:rPr>
          <w:szCs w:val="24"/>
        </w:rPr>
        <w:tab/>
        <w:t>Minister may give directions</w:t>
      </w:r>
      <w:r>
        <w:tab/>
      </w:r>
      <w:r>
        <w:fldChar w:fldCharType="begin"/>
      </w:r>
      <w:r>
        <w:instrText xml:space="preserve"> PAGEREF _Toc202173108 \h </w:instrText>
      </w:r>
      <w:r>
        <w:fldChar w:fldCharType="separate"/>
      </w:r>
      <w:r>
        <w:t>8</w:t>
      </w:r>
      <w:r>
        <w:fldChar w:fldCharType="end"/>
      </w:r>
    </w:p>
    <w:p>
      <w:pPr>
        <w:pStyle w:val="TOC8"/>
        <w:rPr>
          <w:sz w:val="24"/>
          <w:szCs w:val="24"/>
        </w:rPr>
      </w:pPr>
      <w:r>
        <w:rPr>
          <w:szCs w:val="24"/>
        </w:rPr>
        <w:t>11B.</w:t>
      </w:r>
      <w:r>
        <w:rPr>
          <w:szCs w:val="24"/>
        </w:rPr>
        <w:tab/>
        <w:t>Minister to have access to information</w:t>
      </w:r>
      <w:r>
        <w:tab/>
      </w:r>
      <w:r>
        <w:fldChar w:fldCharType="begin"/>
      </w:r>
      <w:r>
        <w:instrText xml:space="preserve"> PAGEREF _Toc202173109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 xml:space="preserve">General powers of </w:t>
      </w:r>
      <w:r>
        <w:rPr>
          <w:szCs w:val="24"/>
        </w:rPr>
        <w:t>Authority</w:t>
      </w:r>
      <w:r>
        <w:tab/>
      </w:r>
      <w:r>
        <w:fldChar w:fldCharType="begin"/>
      </w:r>
      <w:r>
        <w:instrText xml:space="preserve"> PAGEREF _Toc202173110 \h </w:instrText>
      </w:r>
      <w:r>
        <w:fldChar w:fldCharType="separate"/>
      </w:r>
      <w:r>
        <w:t>9</w:t>
      </w:r>
      <w:r>
        <w:fldChar w:fldCharType="end"/>
      </w:r>
    </w:p>
    <w:p>
      <w:pPr>
        <w:pStyle w:val="TOC8"/>
        <w:rPr>
          <w:sz w:val="24"/>
          <w:szCs w:val="24"/>
        </w:rPr>
      </w:pPr>
      <w:r>
        <w:rPr>
          <w:szCs w:val="24"/>
        </w:rPr>
        <w:t>12A</w:t>
      </w:r>
      <w:r>
        <w:rPr>
          <w:snapToGrid w:val="0"/>
          <w:szCs w:val="24"/>
        </w:rPr>
        <w:t xml:space="preserve">. </w:t>
      </w:r>
      <w:r>
        <w:rPr>
          <w:snapToGrid w:val="0"/>
          <w:szCs w:val="24"/>
        </w:rPr>
        <w:tab/>
        <w:t>Joint ventures</w:t>
      </w:r>
      <w:r>
        <w:tab/>
      </w:r>
      <w:r>
        <w:fldChar w:fldCharType="begin"/>
      </w:r>
      <w:r>
        <w:instrText xml:space="preserve"> PAGEREF _Toc202173111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Delegation</w:t>
      </w:r>
      <w:r>
        <w:tab/>
      </w:r>
      <w:r>
        <w:fldChar w:fldCharType="begin"/>
      </w:r>
      <w:r>
        <w:instrText xml:space="preserve"> PAGEREF _Toc202173112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Advice and investigations</w:t>
      </w:r>
      <w:r>
        <w:tab/>
      </w:r>
      <w:r>
        <w:fldChar w:fldCharType="begin"/>
      </w:r>
      <w:r>
        <w:instrText xml:space="preserve"> PAGEREF _Toc202173113 \h </w:instrText>
      </w:r>
      <w:r>
        <w:fldChar w:fldCharType="separate"/>
      </w:r>
      <w:r>
        <w:t>13</w:t>
      </w:r>
      <w:r>
        <w:fldChar w:fldCharType="end"/>
      </w:r>
    </w:p>
    <w:p>
      <w:pPr>
        <w:pStyle w:val="TOC8"/>
        <w:rPr>
          <w:sz w:val="24"/>
          <w:szCs w:val="24"/>
        </w:rPr>
      </w:pPr>
      <w:r>
        <w:rPr>
          <w:szCs w:val="24"/>
        </w:rPr>
        <w:t>15</w:t>
      </w:r>
      <w:r>
        <w:rPr>
          <w:snapToGrid w:val="0"/>
          <w:szCs w:val="24"/>
        </w:rPr>
        <w:t>.</w:t>
      </w:r>
      <w:r>
        <w:rPr>
          <w:snapToGrid w:val="0"/>
          <w:szCs w:val="24"/>
        </w:rPr>
        <w:tab/>
        <w:t>Applications</w:t>
      </w:r>
      <w:r>
        <w:tab/>
      </w:r>
      <w:r>
        <w:fldChar w:fldCharType="begin"/>
      </w:r>
      <w:r>
        <w:instrText xml:space="preserve"> PAGEREF _Toc202173114 \h </w:instrText>
      </w:r>
      <w:r>
        <w:fldChar w:fldCharType="separate"/>
      </w:r>
      <w:r>
        <w:t>13</w:t>
      </w:r>
      <w:r>
        <w:fldChar w:fldCharType="end"/>
      </w:r>
    </w:p>
    <w:p>
      <w:pPr>
        <w:pStyle w:val="TOC8"/>
        <w:rPr>
          <w:sz w:val="24"/>
          <w:szCs w:val="24"/>
        </w:rPr>
      </w:pPr>
      <w:r>
        <w:rPr>
          <w:szCs w:val="24"/>
        </w:rPr>
        <w:t>16</w:t>
      </w:r>
      <w:r>
        <w:rPr>
          <w:snapToGrid w:val="0"/>
          <w:szCs w:val="24"/>
        </w:rPr>
        <w:t>.</w:t>
      </w:r>
      <w:r>
        <w:rPr>
          <w:snapToGrid w:val="0"/>
          <w:szCs w:val="24"/>
        </w:rPr>
        <w:tab/>
        <w:t>Assistance to and collaboration with other bodies</w:t>
      </w:r>
      <w:r>
        <w:tab/>
      </w:r>
      <w:r>
        <w:fldChar w:fldCharType="begin"/>
      </w:r>
      <w:r>
        <w:instrText xml:space="preserve"> PAGEREF _Toc202173115 \h </w:instrText>
      </w:r>
      <w:r>
        <w:fldChar w:fldCharType="separate"/>
      </w:r>
      <w:r>
        <w:t>14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Staff of the Authority</w:t>
      </w:r>
    </w:p>
    <w:p>
      <w:pPr>
        <w:pStyle w:val="TOC8"/>
        <w:rPr>
          <w:sz w:val="24"/>
          <w:szCs w:val="24"/>
        </w:rPr>
      </w:pPr>
      <w:r>
        <w:rPr>
          <w:szCs w:val="24"/>
        </w:rPr>
        <w:t>17</w:t>
      </w:r>
      <w:r>
        <w:rPr>
          <w:snapToGrid w:val="0"/>
          <w:szCs w:val="24"/>
        </w:rPr>
        <w:t>.</w:t>
      </w:r>
      <w:r>
        <w:rPr>
          <w:snapToGrid w:val="0"/>
          <w:szCs w:val="24"/>
        </w:rPr>
        <w:tab/>
        <w:t>Chief executive officer of the Authority and other officers and employees</w:t>
      </w:r>
      <w:r>
        <w:tab/>
      </w:r>
      <w:r>
        <w:fldChar w:fldCharType="begin"/>
      </w:r>
      <w:r>
        <w:instrText xml:space="preserve"> PAGEREF _Toc202173117 \h </w:instrText>
      </w:r>
      <w:r>
        <w:fldChar w:fldCharType="separate"/>
      </w:r>
      <w:r>
        <w:t>15</w:t>
      </w:r>
      <w:r>
        <w:fldChar w:fldCharType="end"/>
      </w:r>
    </w:p>
    <w:p>
      <w:pPr>
        <w:pStyle w:val="TOC8"/>
        <w:rPr>
          <w:sz w:val="24"/>
          <w:szCs w:val="24"/>
        </w:rPr>
      </w:pPr>
      <w:r>
        <w:rPr>
          <w:szCs w:val="24"/>
        </w:rPr>
        <w:t>18</w:t>
      </w:r>
      <w:r>
        <w:rPr>
          <w:snapToGrid w:val="0"/>
          <w:szCs w:val="24"/>
        </w:rPr>
        <w:t>.</w:t>
      </w:r>
      <w:r>
        <w:rPr>
          <w:snapToGrid w:val="0"/>
          <w:szCs w:val="24"/>
        </w:rPr>
        <w:tab/>
        <w:t>Terms and conditions of employment of wages staff</w:t>
      </w:r>
      <w:r>
        <w:tab/>
      </w:r>
      <w:r>
        <w:fldChar w:fldCharType="begin"/>
      </w:r>
      <w:r>
        <w:instrText xml:space="preserve"> PAGEREF _Toc202173118 \h </w:instrText>
      </w:r>
      <w:r>
        <w:fldChar w:fldCharType="separate"/>
      </w:r>
      <w:r>
        <w:t>15</w:t>
      </w:r>
      <w:r>
        <w:fldChar w:fldCharType="end"/>
      </w:r>
    </w:p>
    <w:p>
      <w:pPr>
        <w:pStyle w:val="TOC8"/>
        <w:rPr>
          <w:sz w:val="24"/>
          <w:szCs w:val="24"/>
        </w:rPr>
      </w:pPr>
      <w:r>
        <w:rPr>
          <w:szCs w:val="24"/>
        </w:rPr>
        <w:t>18A.</w:t>
      </w:r>
      <w:r>
        <w:rPr>
          <w:szCs w:val="24"/>
        </w:rPr>
        <w:tab/>
        <w:t>Use of other staff and facilities</w:t>
      </w:r>
      <w:r>
        <w:tab/>
      </w:r>
      <w:r>
        <w:fldChar w:fldCharType="begin"/>
      </w:r>
      <w:r>
        <w:instrText xml:space="preserve"> PAGEREF _Toc202173119 \h </w:instrText>
      </w:r>
      <w:r>
        <w:fldChar w:fldCharType="separate"/>
      </w:r>
      <w:r>
        <w:t>16</w:t>
      </w:r>
      <w:r>
        <w:fldChar w:fldCharType="end"/>
      </w:r>
    </w:p>
    <w:p>
      <w:pPr>
        <w:pStyle w:val="TOC2"/>
        <w:tabs>
          <w:tab w:val="right" w:leader="dot" w:pos="7086"/>
        </w:tabs>
        <w:rPr>
          <w:b w:val="0"/>
          <w:sz w:val="24"/>
          <w:szCs w:val="24"/>
        </w:rPr>
      </w:pPr>
      <w:r>
        <w:rPr>
          <w:szCs w:val="30"/>
        </w:rPr>
        <w:t>Part III — Acquisition, development and disposal of property</w:t>
      </w:r>
    </w:p>
    <w:p>
      <w:pPr>
        <w:pStyle w:val="TOC4"/>
        <w:tabs>
          <w:tab w:val="right" w:leader="dot" w:pos="7086"/>
        </w:tabs>
        <w:rPr>
          <w:b w:val="0"/>
          <w:sz w:val="24"/>
          <w:szCs w:val="24"/>
        </w:rPr>
      </w:pPr>
      <w:r>
        <w:rPr>
          <w:szCs w:val="26"/>
        </w:rPr>
        <w:t>Division 1</w:t>
      </w:r>
      <w:r>
        <w:rPr>
          <w:snapToGrid w:val="0"/>
          <w:szCs w:val="26"/>
        </w:rPr>
        <w:t> — </w:t>
      </w:r>
      <w:r>
        <w:rPr>
          <w:szCs w:val="26"/>
        </w:rPr>
        <w:t>Acquisition and development of property</w:t>
      </w:r>
    </w:p>
    <w:p>
      <w:pPr>
        <w:pStyle w:val="TOC8"/>
        <w:rPr>
          <w:sz w:val="24"/>
          <w:szCs w:val="24"/>
        </w:rPr>
      </w:pPr>
      <w:r>
        <w:rPr>
          <w:szCs w:val="24"/>
        </w:rPr>
        <w:t>19</w:t>
      </w:r>
      <w:r>
        <w:rPr>
          <w:snapToGrid w:val="0"/>
          <w:szCs w:val="24"/>
        </w:rPr>
        <w:t>.</w:t>
      </w:r>
      <w:r>
        <w:rPr>
          <w:snapToGrid w:val="0"/>
          <w:szCs w:val="24"/>
        </w:rPr>
        <w:tab/>
        <w:t>Acquisition of land</w:t>
      </w:r>
      <w:r>
        <w:tab/>
      </w:r>
      <w:r>
        <w:fldChar w:fldCharType="begin"/>
      </w:r>
      <w:r>
        <w:instrText xml:space="preserve"> PAGEREF _Toc202173122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Gifts</w:t>
      </w:r>
      <w:r>
        <w:tab/>
      </w:r>
      <w:r>
        <w:fldChar w:fldCharType="begin"/>
      </w:r>
      <w:r>
        <w:instrText xml:space="preserve"> PAGEREF _Toc202173123 \h </w:instrText>
      </w:r>
      <w:r>
        <w:fldChar w:fldCharType="separate"/>
      </w:r>
      <w:r>
        <w:t>17</w:t>
      </w:r>
      <w:r>
        <w:fldChar w:fldCharType="end"/>
      </w:r>
    </w:p>
    <w:p>
      <w:pPr>
        <w:pStyle w:val="TOC8"/>
        <w:rPr>
          <w:sz w:val="24"/>
          <w:szCs w:val="24"/>
        </w:rPr>
      </w:pPr>
      <w:r>
        <w:rPr>
          <w:szCs w:val="24"/>
        </w:rPr>
        <w:t>21</w:t>
      </w:r>
      <w:r>
        <w:rPr>
          <w:snapToGrid w:val="0"/>
          <w:szCs w:val="24"/>
        </w:rPr>
        <w:t>.</w:t>
      </w:r>
      <w:r>
        <w:rPr>
          <w:snapToGrid w:val="0"/>
          <w:szCs w:val="24"/>
        </w:rPr>
        <w:tab/>
        <w:t>Powers of local government</w:t>
      </w:r>
      <w:r>
        <w:tab/>
      </w:r>
      <w:r>
        <w:fldChar w:fldCharType="begin"/>
      </w:r>
      <w:r>
        <w:instrText xml:space="preserve"> PAGEREF _Toc202173124 \h </w:instrText>
      </w:r>
      <w:r>
        <w:fldChar w:fldCharType="separate"/>
      </w:r>
      <w:r>
        <w:t>18</w:t>
      </w:r>
      <w:r>
        <w:fldChar w:fldCharType="end"/>
      </w:r>
    </w:p>
    <w:p>
      <w:pPr>
        <w:pStyle w:val="TOC8"/>
        <w:rPr>
          <w:sz w:val="24"/>
          <w:szCs w:val="24"/>
        </w:rPr>
      </w:pPr>
      <w:r>
        <w:rPr>
          <w:szCs w:val="24"/>
        </w:rPr>
        <w:t>22</w:t>
      </w:r>
      <w:r>
        <w:rPr>
          <w:snapToGrid w:val="0"/>
          <w:szCs w:val="24"/>
        </w:rPr>
        <w:t>.</w:t>
      </w:r>
      <w:r>
        <w:rPr>
          <w:snapToGrid w:val="0"/>
          <w:szCs w:val="24"/>
        </w:rPr>
        <w:tab/>
        <w:t>Powers in relation to development and management of land</w:t>
      </w:r>
      <w:r>
        <w:tab/>
      </w:r>
      <w:r>
        <w:fldChar w:fldCharType="begin"/>
      </w:r>
      <w:r>
        <w:instrText xml:space="preserve"> PAGEREF _Toc202173125 \h </w:instrText>
      </w:r>
      <w:r>
        <w:fldChar w:fldCharType="separate"/>
      </w:r>
      <w:r>
        <w:t>18</w:t>
      </w:r>
      <w:r>
        <w:fldChar w:fldCharType="end"/>
      </w:r>
    </w:p>
    <w:p>
      <w:pPr>
        <w:pStyle w:val="TOC8"/>
        <w:rPr>
          <w:sz w:val="24"/>
          <w:szCs w:val="24"/>
        </w:rPr>
      </w:pPr>
      <w:r>
        <w:rPr>
          <w:szCs w:val="24"/>
        </w:rPr>
        <w:t>23</w:t>
      </w:r>
      <w:r>
        <w:rPr>
          <w:snapToGrid w:val="0"/>
          <w:szCs w:val="24"/>
        </w:rPr>
        <w:t>.</w:t>
      </w:r>
      <w:r>
        <w:rPr>
          <w:snapToGrid w:val="0"/>
          <w:szCs w:val="24"/>
        </w:rPr>
        <w:tab/>
        <w:t>Power to take lease</w:t>
      </w:r>
      <w:r>
        <w:tab/>
      </w:r>
      <w:r>
        <w:fldChar w:fldCharType="begin"/>
      </w:r>
      <w:r>
        <w:instrText xml:space="preserve"> PAGEREF _Toc202173126 \h </w:instrText>
      </w:r>
      <w:r>
        <w:fldChar w:fldCharType="separate"/>
      </w:r>
      <w:r>
        <w:t>20</w:t>
      </w:r>
      <w:r>
        <w:fldChar w:fldCharType="end"/>
      </w:r>
    </w:p>
    <w:p>
      <w:pPr>
        <w:pStyle w:val="TOC8"/>
        <w:rPr>
          <w:sz w:val="24"/>
          <w:szCs w:val="24"/>
        </w:rPr>
      </w:pPr>
      <w:r>
        <w:rPr>
          <w:szCs w:val="24"/>
        </w:rPr>
        <w:t>24</w:t>
      </w:r>
      <w:r>
        <w:rPr>
          <w:snapToGrid w:val="0"/>
          <w:szCs w:val="24"/>
        </w:rPr>
        <w:t>.</w:t>
      </w:r>
      <w:r>
        <w:rPr>
          <w:snapToGrid w:val="0"/>
          <w:szCs w:val="24"/>
        </w:rPr>
        <w:tab/>
        <w:t>Payment of rates to local government</w:t>
      </w:r>
      <w:r>
        <w:tab/>
      </w:r>
      <w:r>
        <w:fldChar w:fldCharType="begin"/>
      </w:r>
      <w:r>
        <w:instrText xml:space="preserve"> PAGEREF _Toc202173127 \h </w:instrText>
      </w:r>
      <w:r>
        <w:fldChar w:fldCharType="separate"/>
      </w:r>
      <w:r>
        <w:t>21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Dealings with property generally</w:t>
      </w:r>
    </w:p>
    <w:p>
      <w:pPr>
        <w:pStyle w:val="TOC8"/>
        <w:rPr>
          <w:sz w:val="24"/>
          <w:szCs w:val="24"/>
        </w:rPr>
      </w:pPr>
      <w:r>
        <w:rPr>
          <w:szCs w:val="24"/>
        </w:rPr>
        <w:t>25</w:t>
      </w:r>
      <w:r>
        <w:rPr>
          <w:snapToGrid w:val="0"/>
          <w:szCs w:val="24"/>
        </w:rPr>
        <w:t>.</w:t>
      </w:r>
      <w:r>
        <w:rPr>
          <w:snapToGrid w:val="0"/>
          <w:szCs w:val="24"/>
        </w:rPr>
        <w:tab/>
        <w:t>Power to lease</w:t>
      </w:r>
      <w:r>
        <w:tab/>
      </w:r>
      <w:r>
        <w:fldChar w:fldCharType="begin"/>
      </w:r>
      <w:r>
        <w:instrText xml:space="preserve"> PAGEREF _Toc202173129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Power to sell</w:t>
      </w:r>
      <w:r>
        <w:tab/>
      </w:r>
      <w:r>
        <w:fldChar w:fldCharType="begin"/>
      </w:r>
      <w:r>
        <w:instrText xml:space="preserve"> PAGEREF _Toc202173130 \h </w:instrText>
      </w:r>
      <w:r>
        <w:fldChar w:fldCharType="separate"/>
      </w:r>
      <w:r>
        <w:t>22</w:t>
      </w:r>
      <w:r>
        <w:fldChar w:fldCharType="end"/>
      </w:r>
    </w:p>
    <w:p>
      <w:pPr>
        <w:pStyle w:val="TOC8"/>
        <w:rPr>
          <w:sz w:val="24"/>
          <w:szCs w:val="24"/>
        </w:rPr>
      </w:pPr>
      <w:r>
        <w:rPr>
          <w:szCs w:val="24"/>
        </w:rPr>
        <w:t>27</w:t>
      </w:r>
      <w:r>
        <w:rPr>
          <w:snapToGrid w:val="0"/>
          <w:szCs w:val="24"/>
        </w:rPr>
        <w:t>.</w:t>
      </w:r>
      <w:r>
        <w:rPr>
          <w:snapToGrid w:val="0"/>
          <w:szCs w:val="24"/>
        </w:rPr>
        <w:tab/>
        <w:t>Power to grant easement</w:t>
      </w:r>
      <w:r>
        <w:tab/>
      </w:r>
      <w:r>
        <w:fldChar w:fldCharType="begin"/>
      </w:r>
      <w:r>
        <w:instrText xml:space="preserve"> PAGEREF _Toc202173131 \h </w:instrText>
      </w:r>
      <w:r>
        <w:fldChar w:fldCharType="separate"/>
      </w:r>
      <w:r>
        <w:t>22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Letting or leasing of houses</w:t>
      </w:r>
    </w:p>
    <w:p>
      <w:pPr>
        <w:pStyle w:val="TOC8"/>
        <w:rPr>
          <w:sz w:val="24"/>
          <w:szCs w:val="24"/>
        </w:rPr>
      </w:pPr>
      <w:r>
        <w:rPr>
          <w:szCs w:val="24"/>
        </w:rPr>
        <w:t>28</w:t>
      </w:r>
      <w:r>
        <w:rPr>
          <w:snapToGrid w:val="0"/>
          <w:szCs w:val="24"/>
        </w:rPr>
        <w:t>.</w:t>
      </w:r>
      <w:r>
        <w:rPr>
          <w:snapToGrid w:val="0"/>
          <w:szCs w:val="24"/>
        </w:rPr>
        <w:tab/>
        <w:t>Power to let or lease houses</w:t>
      </w:r>
      <w:r>
        <w:tab/>
      </w:r>
      <w:r>
        <w:fldChar w:fldCharType="begin"/>
      </w:r>
      <w:r>
        <w:instrText xml:space="preserve"> PAGEREF _Toc202173133 \h </w:instrText>
      </w:r>
      <w:r>
        <w:fldChar w:fldCharType="separate"/>
      </w:r>
      <w:r>
        <w:t>22</w:t>
      </w:r>
      <w:r>
        <w:fldChar w:fldCharType="end"/>
      </w:r>
    </w:p>
    <w:p>
      <w:pPr>
        <w:pStyle w:val="TOC8"/>
        <w:rPr>
          <w:sz w:val="24"/>
          <w:szCs w:val="24"/>
        </w:rPr>
      </w:pPr>
      <w:r>
        <w:rPr>
          <w:szCs w:val="24"/>
        </w:rPr>
        <w:t>29</w:t>
      </w:r>
      <w:r>
        <w:rPr>
          <w:snapToGrid w:val="0"/>
          <w:szCs w:val="24"/>
        </w:rPr>
        <w:t>.</w:t>
      </w:r>
      <w:r>
        <w:rPr>
          <w:snapToGrid w:val="0"/>
          <w:szCs w:val="24"/>
        </w:rPr>
        <w:tab/>
        <w:t>Terms and conditions</w:t>
      </w:r>
      <w:r>
        <w:tab/>
      </w:r>
      <w:r>
        <w:fldChar w:fldCharType="begin"/>
      </w:r>
      <w:r>
        <w:instrText xml:space="preserve"> PAGEREF _Toc202173134 \h </w:instrText>
      </w:r>
      <w:r>
        <w:fldChar w:fldCharType="separate"/>
      </w:r>
      <w:r>
        <w:t>23</w:t>
      </w:r>
      <w:r>
        <w:fldChar w:fldCharType="end"/>
      </w:r>
    </w:p>
    <w:p>
      <w:pPr>
        <w:pStyle w:val="TOC8"/>
        <w:rPr>
          <w:sz w:val="24"/>
          <w:szCs w:val="24"/>
        </w:rPr>
      </w:pPr>
      <w:r>
        <w:rPr>
          <w:szCs w:val="24"/>
        </w:rPr>
        <w:t>30</w:t>
      </w:r>
      <w:r>
        <w:rPr>
          <w:snapToGrid w:val="0"/>
          <w:szCs w:val="24"/>
        </w:rPr>
        <w:t>.</w:t>
      </w:r>
      <w:r>
        <w:rPr>
          <w:snapToGrid w:val="0"/>
          <w:szCs w:val="24"/>
        </w:rPr>
        <w:tab/>
        <w:t>Determination of rent</w:t>
      </w:r>
      <w:r>
        <w:tab/>
      </w:r>
      <w:r>
        <w:fldChar w:fldCharType="begin"/>
      </w:r>
      <w:r>
        <w:instrText xml:space="preserve"> PAGEREF _Toc202173135 \h </w:instrText>
      </w:r>
      <w:r>
        <w:fldChar w:fldCharType="separate"/>
      </w:r>
      <w:r>
        <w:t>23</w:t>
      </w:r>
      <w:r>
        <w:fldChar w:fldCharType="end"/>
      </w:r>
    </w:p>
    <w:p>
      <w:pPr>
        <w:pStyle w:val="TOC8"/>
        <w:rPr>
          <w:sz w:val="24"/>
          <w:szCs w:val="24"/>
        </w:rPr>
      </w:pPr>
      <w:r>
        <w:rPr>
          <w:szCs w:val="24"/>
        </w:rPr>
        <w:t>31</w:t>
      </w:r>
      <w:r>
        <w:rPr>
          <w:snapToGrid w:val="0"/>
          <w:szCs w:val="24"/>
        </w:rPr>
        <w:t>.</w:t>
      </w:r>
      <w:r>
        <w:rPr>
          <w:snapToGrid w:val="0"/>
          <w:szCs w:val="24"/>
        </w:rPr>
        <w:tab/>
        <w:t>Credit of rents towards purchase price</w:t>
      </w:r>
      <w:r>
        <w:tab/>
      </w:r>
      <w:r>
        <w:fldChar w:fldCharType="begin"/>
      </w:r>
      <w:r>
        <w:instrText xml:space="preserve"> PAGEREF _Toc202173136 \h </w:instrText>
      </w:r>
      <w:r>
        <w:fldChar w:fldCharType="separate"/>
      </w:r>
      <w:r>
        <w:t>23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Sale of houses and housing land</w:t>
      </w:r>
    </w:p>
    <w:p>
      <w:pPr>
        <w:pStyle w:val="TOC8"/>
        <w:rPr>
          <w:sz w:val="24"/>
          <w:szCs w:val="24"/>
        </w:rPr>
      </w:pPr>
      <w:r>
        <w:rPr>
          <w:szCs w:val="24"/>
        </w:rPr>
        <w:t>32</w:t>
      </w:r>
      <w:r>
        <w:rPr>
          <w:snapToGrid w:val="0"/>
          <w:szCs w:val="24"/>
        </w:rPr>
        <w:t>.</w:t>
      </w:r>
      <w:r>
        <w:rPr>
          <w:snapToGrid w:val="0"/>
          <w:szCs w:val="24"/>
        </w:rPr>
        <w:tab/>
        <w:t>Application of this Division</w:t>
      </w:r>
      <w:r>
        <w:tab/>
      </w:r>
      <w:r>
        <w:fldChar w:fldCharType="begin"/>
      </w:r>
      <w:r>
        <w:instrText xml:space="preserve"> PAGEREF _Toc202173138 \h </w:instrText>
      </w:r>
      <w:r>
        <w:fldChar w:fldCharType="separate"/>
      </w:r>
      <w:r>
        <w:t>24</w:t>
      </w:r>
      <w:r>
        <w:fldChar w:fldCharType="end"/>
      </w:r>
    </w:p>
    <w:p>
      <w:pPr>
        <w:pStyle w:val="TOC8"/>
        <w:rPr>
          <w:sz w:val="24"/>
          <w:szCs w:val="24"/>
        </w:rPr>
      </w:pPr>
      <w:r>
        <w:rPr>
          <w:szCs w:val="24"/>
        </w:rPr>
        <w:t>33</w:t>
      </w:r>
      <w:r>
        <w:rPr>
          <w:snapToGrid w:val="0"/>
          <w:szCs w:val="24"/>
        </w:rPr>
        <w:t>.</w:t>
      </w:r>
      <w:r>
        <w:rPr>
          <w:snapToGrid w:val="0"/>
          <w:szCs w:val="24"/>
        </w:rPr>
        <w:tab/>
        <w:t>Terms and conditions of sale</w:t>
      </w:r>
      <w:r>
        <w:tab/>
      </w:r>
      <w:r>
        <w:fldChar w:fldCharType="begin"/>
      </w:r>
      <w:r>
        <w:instrText xml:space="preserve"> PAGEREF _Toc202173139 \h </w:instrText>
      </w:r>
      <w:r>
        <w:fldChar w:fldCharType="separate"/>
      </w:r>
      <w:r>
        <w:t>25</w:t>
      </w:r>
      <w:r>
        <w:fldChar w:fldCharType="end"/>
      </w:r>
    </w:p>
    <w:p>
      <w:pPr>
        <w:pStyle w:val="TOC8"/>
        <w:rPr>
          <w:sz w:val="24"/>
          <w:szCs w:val="24"/>
        </w:rPr>
      </w:pPr>
      <w:r>
        <w:rPr>
          <w:szCs w:val="24"/>
        </w:rPr>
        <w:t>34</w:t>
      </w:r>
      <w:r>
        <w:rPr>
          <w:snapToGrid w:val="0"/>
          <w:szCs w:val="24"/>
        </w:rPr>
        <w:t>.</w:t>
      </w:r>
      <w:r>
        <w:rPr>
          <w:snapToGrid w:val="0"/>
          <w:szCs w:val="24"/>
        </w:rPr>
        <w:tab/>
        <w:t>Limit on amount of unpaid purchase money</w:t>
      </w:r>
      <w:r>
        <w:tab/>
      </w:r>
      <w:r>
        <w:fldChar w:fldCharType="begin"/>
      </w:r>
      <w:r>
        <w:instrText xml:space="preserve"> PAGEREF _Toc202173140 \h </w:instrText>
      </w:r>
      <w:r>
        <w:fldChar w:fldCharType="separate"/>
      </w:r>
      <w:r>
        <w:t>26</w:t>
      </w:r>
      <w:r>
        <w:fldChar w:fldCharType="end"/>
      </w:r>
    </w:p>
    <w:p>
      <w:pPr>
        <w:pStyle w:val="TOC2"/>
        <w:tabs>
          <w:tab w:val="right" w:leader="dot" w:pos="7086"/>
        </w:tabs>
        <w:rPr>
          <w:b w:val="0"/>
          <w:sz w:val="24"/>
          <w:szCs w:val="24"/>
        </w:rPr>
      </w:pPr>
      <w:r>
        <w:rPr>
          <w:szCs w:val="30"/>
        </w:rPr>
        <w:t>Part IV — Provision by the Authority of financial assistance for housing</w:t>
      </w:r>
    </w:p>
    <w:p>
      <w:pPr>
        <w:pStyle w:val="TOC4"/>
        <w:tabs>
          <w:tab w:val="right" w:leader="dot" w:pos="7086"/>
        </w:tabs>
        <w:rPr>
          <w:b w:val="0"/>
          <w:sz w:val="24"/>
          <w:szCs w:val="24"/>
        </w:rPr>
      </w:pPr>
      <w:r>
        <w:rPr>
          <w:szCs w:val="26"/>
        </w:rPr>
        <w:t>Division 1</w:t>
      </w:r>
      <w:r>
        <w:rPr>
          <w:snapToGrid w:val="0"/>
          <w:szCs w:val="26"/>
        </w:rPr>
        <w:t> — </w:t>
      </w:r>
      <w:r>
        <w:rPr>
          <w:szCs w:val="26"/>
        </w:rPr>
        <w:t>Loans</w:t>
      </w:r>
    </w:p>
    <w:p>
      <w:pPr>
        <w:pStyle w:val="TOC8"/>
        <w:rPr>
          <w:sz w:val="24"/>
          <w:szCs w:val="24"/>
        </w:rPr>
      </w:pPr>
      <w:r>
        <w:rPr>
          <w:szCs w:val="24"/>
        </w:rPr>
        <w:t>35</w:t>
      </w:r>
      <w:r>
        <w:rPr>
          <w:snapToGrid w:val="0"/>
          <w:szCs w:val="24"/>
        </w:rPr>
        <w:t>.</w:t>
      </w:r>
      <w:r>
        <w:rPr>
          <w:snapToGrid w:val="0"/>
          <w:szCs w:val="24"/>
        </w:rPr>
        <w:tab/>
        <w:t>Reference to “house”</w:t>
      </w:r>
      <w:r>
        <w:tab/>
      </w:r>
      <w:r>
        <w:fldChar w:fldCharType="begin"/>
      </w:r>
      <w:r>
        <w:instrText xml:space="preserve"> PAGEREF _Toc202173143 \h </w:instrText>
      </w:r>
      <w:r>
        <w:fldChar w:fldCharType="separate"/>
      </w:r>
      <w:r>
        <w:t>27</w:t>
      </w:r>
      <w:r>
        <w:fldChar w:fldCharType="end"/>
      </w:r>
    </w:p>
    <w:p>
      <w:pPr>
        <w:pStyle w:val="TOC8"/>
        <w:rPr>
          <w:sz w:val="24"/>
          <w:szCs w:val="24"/>
        </w:rPr>
      </w:pPr>
      <w:r>
        <w:rPr>
          <w:szCs w:val="24"/>
        </w:rPr>
        <w:t>36</w:t>
      </w:r>
      <w:r>
        <w:rPr>
          <w:snapToGrid w:val="0"/>
          <w:szCs w:val="24"/>
        </w:rPr>
        <w:t>.</w:t>
      </w:r>
      <w:r>
        <w:rPr>
          <w:snapToGrid w:val="0"/>
          <w:szCs w:val="24"/>
        </w:rPr>
        <w:tab/>
        <w:t>Loans to assist eligible persons</w:t>
      </w:r>
      <w:r>
        <w:tab/>
      </w:r>
      <w:r>
        <w:fldChar w:fldCharType="begin"/>
      </w:r>
      <w:r>
        <w:instrText xml:space="preserve"> PAGEREF _Toc202173144 \h </w:instrText>
      </w:r>
      <w:r>
        <w:fldChar w:fldCharType="separate"/>
      </w:r>
      <w:r>
        <w:t>27</w:t>
      </w:r>
      <w:r>
        <w:fldChar w:fldCharType="end"/>
      </w:r>
    </w:p>
    <w:p>
      <w:pPr>
        <w:pStyle w:val="TOC8"/>
        <w:rPr>
          <w:sz w:val="24"/>
          <w:szCs w:val="24"/>
        </w:rPr>
      </w:pPr>
      <w:r>
        <w:rPr>
          <w:szCs w:val="24"/>
        </w:rPr>
        <w:t>37</w:t>
      </w:r>
      <w:r>
        <w:rPr>
          <w:snapToGrid w:val="0"/>
          <w:szCs w:val="24"/>
        </w:rPr>
        <w:t>.</w:t>
      </w:r>
      <w:r>
        <w:rPr>
          <w:snapToGrid w:val="0"/>
          <w:szCs w:val="24"/>
        </w:rPr>
        <w:tab/>
        <w:t xml:space="preserve">Loans to persons generally to purchase land from the </w:t>
      </w:r>
      <w:r>
        <w:rPr>
          <w:szCs w:val="24"/>
        </w:rPr>
        <w:t>Authority</w:t>
      </w:r>
      <w:r>
        <w:tab/>
      </w:r>
      <w:r>
        <w:fldChar w:fldCharType="begin"/>
      </w:r>
      <w:r>
        <w:instrText xml:space="preserve"> PAGEREF _Toc202173145 \h </w:instrText>
      </w:r>
      <w:r>
        <w:fldChar w:fldCharType="separate"/>
      </w:r>
      <w:r>
        <w:t>28</w:t>
      </w:r>
      <w:r>
        <w:fldChar w:fldCharType="end"/>
      </w:r>
    </w:p>
    <w:p>
      <w:pPr>
        <w:pStyle w:val="TOC8"/>
        <w:rPr>
          <w:sz w:val="24"/>
          <w:szCs w:val="24"/>
        </w:rPr>
      </w:pPr>
      <w:r>
        <w:rPr>
          <w:szCs w:val="24"/>
        </w:rPr>
        <w:t>38</w:t>
      </w:r>
      <w:r>
        <w:rPr>
          <w:snapToGrid w:val="0"/>
          <w:szCs w:val="24"/>
        </w:rPr>
        <w:t>.</w:t>
      </w:r>
      <w:r>
        <w:rPr>
          <w:snapToGrid w:val="0"/>
          <w:szCs w:val="24"/>
        </w:rPr>
        <w:tab/>
        <w:t>Loans to persons generally to improve houses</w:t>
      </w:r>
      <w:r>
        <w:tab/>
      </w:r>
      <w:r>
        <w:fldChar w:fldCharType="begin"/>
      </w:r>
      <w:r>
        <w:instrText xml:space="preserve"> PAGEREF _Toc202173146 \h </w:instrText>
      </w:r>
      <w:r>
        <w:fldChar w:fldCharType="separate"/>
      </w:r>
      <w:r>
        <w:t>28</w:t>
      </w:r>
      <w:r>
        <w:fldChar w:fldCharType="end"/>
      </w:r>
    </w:p>
    <w:p>
      <w:pPr>
        <w:pStyle w:val="TOC8"/>
        <w:rPr>
          <w:sz w:val="24"/>
          <w:szCs w:val="24"/>
        </w:rPr>
      </w:pPr>
      <w:r>
        <w:rPr>
          <w:szCs w:val="24"/>
        </w:rPr>
        <w:t>39</w:t>
      </w:r>
      <w:r>
        <w:rPr>
          <w:snapToGrid w:val="0"/>
          <w:szCs w:val="24"/>
        </w:rPr>
        <w:t>.</w:t>
      </w:r>
      <w:r>
        <w:rPr>
          <w:snapToGrid w:val="0"/>
          <w:szCs w:val="24"/>
        </w:rPr>
        <w:tab/>
        <w:t>Method of making loan</w:t>
      </w:r>
      <w:r>
        <w:tab/>
      </w:r>
      <w:r>
        <w:fldChar w:fldCharType="begin"/>
      </w:r>
      <w:r>
        <w:instrText xml:space="preserve"> PAGEREF _Toc202173147 \h </w:instrText>
      </w:r>
      <w:r>
        <w:fldChar w:fldCharType="separate"/>
      </w:r>
      <w:r>
        <w:t>28</w:t>
      </w:r>
      <w:r>
        <w:fldChar w:fldCharType="end"/>
      </w:r>
    </w:p>
    <w:p>
      <w:pPr>
        <w:pStyle w:val="TOC8"/>
        <w:rPr>
          <w:sz w:val="24"/>
          <w:szCs w:val="24"/>
        </w:rPr>
      </w:pPr>
      <w:r>
        <w:rPr>
          <w:szCs w:val="24"/>
        </w:rPr>
        <w:t>40</w:t>
      </w:r>
      <w:r>
        <w:rPr>
          <w:snapToGrid w:val="0"/>
          <w:szCs w:val="24"/>
        </w:rPr>
        <w:t>.</w:t>
      </w:r>
      <w:r>
        <w:rPr>
          <w:snapToGrid w:val="0"/>
          <w:szCs w:val="24"/>
        </w:rPr>
        <w:tab/>
        <w:t>Limit on amount to be lent</w:t>
      </w:r>
      <w:r>
        <w:tab/>
      </w:r>
      <w:r>
        <w:fldChar w:fldCharType="begin"/>
      </w:r>
      <w:r>
        <w:instrText xml:space="preserve"> PAGEREF _Toc202173148 \h </w:instrText>
      </w:r>
      <w:r>
        <w:fldChar w:fldCharType="separate"/>
      </w:r>
      <w:r>
        <w:t>29</w:t>
      </w:r>
      <w:r>
        <w:fldChar w:fldCharType="end"/>
      </w:r>
    </w:p>
    <w:p>
      <w:pPr>
        <w:pStyle w:val="TOC8"/>
        <w:rPr>
          <w:sz w:val="24"/>
          <w:szCs w:val="24"/>
        </w:rPr>
      </w:pPr>
      <w:r>
        <w:rPr>
          <w:szCs w:val="24"/>
        </w:rPr>
        <w:t>41</w:t>
      </w:r>
      <w:r>
        <w:rPr>
          <w:snapToGrid w:val="0"/>
          <w:szCs w:val="24"/>
        </w:rPr>
        <w:t>.</w:t>
      </w:r>
      <w:r>
        <w:rPr>
          <w:snapToGrid w:val="0"/>
          <w:szCs w:val="24"/>
        </w:rPr>
        <w:tab/>
        <w:t>Security for repayment of loan</w:t>
      </w:r>
      <w:r>
        <w:tab/>
      </w:r>
      <w:r>
        <w:fldChar w:fldCharType="begin"/>
      </w:r>
      <w:r>
        <w:instrText xml:space="preserve"> PAGEREF _Toc202173149 \h </w:instrText>
      </w:r>
      <w:r>
        <w:fldChar w:fldCharType="separate"/>
      </w:r>
      <w:r>
        <w:t>29</w:t>
      </w:r>
      <w:r>
        <w:fldChar w:fldCharType="end"/>
      </w:r>
    </w:p>
    <w:p>
      <w:pPr>
        <w:pStyle w:val="TOC8"/>
        <w:rPr>
          <w:sz w:val="24"/>
          <w:szCs w:val="24"/>
        </w:rPr>
      </w:pPr>
      <w:r>
        <w:rPr>
          <w:szCs w:val="24"/>
        </w:rPr>
        <w:t>42</w:t>
      </w:r>
      <w:r>
        <w:rPr>
          <w:snapToGrid w:val="0"/>
          <w:szCs w:val="24"/>
        </w:rPr>
        <w:t>.</w:t>
      </w:r>
      <w:r>
        <w:rPr>
          <w:snapToGrid w:val="0"/>
          <w:szCs w:val="24"/>
        </w:rPr>
        <w:tab/>
        <w:t>Interest on loans</w:t>
      </w:r>
      <w:r>
        <w:tab/>
      </w:r>
      <w:r>
        <w:fldChar w:fldCharType="begin"/>
      </w:r>
      <w:r>
        <w:instrText xml:space="preserve"> PAGEREF _Toc202173150 \h </w:instrText>
      </w:r>
      <w:r>
        <w:fldChar w:fldCharType="separate"/>
      </w:r>
      <w:r>
        <w:t>30</w:t>
      </w:r>
      <w:r>
        <w:fldChar w:fldCharType="end"/>
      </w:r>
    </w:p>
    <w:p>
      <w:pPr>
        <w:pStyle w:val="TOC8"/>
        <w:rPr>
          <w:sz w:val="24"/>
          <w:szCs w:val="24"/>
        </w:rPr>
      </w:pPr>
      <w:r>
        <w:rPr>
          <w:szCs w:val="24"/>
        </w:rPr>
        <w:t>43</w:t>
      </w:r>
      <w:r>
        <w:rPr>
          <w:snapToGrid w:val="0"/>
          <w:szCs w:val="24"/>
        </w:rPr>
        <w:t>.</w:t>
      </w:r>
      <w:r>
        <w:rPr>
          <w:snapToGrid w:val="0"/>
          <w:szCs w:val="24"/>
        </w:rPr>
        <w:tab/>
        <w:t>Normal legal relationships to apply</w:t>
      </w:r>
      <w:r>
        <w:tab/>
      </w:r>
      <w:r>
        <w:fldChar w:fldCharType="begin"/>
      </w:r>
      <w:r>
        <w:instrText xml:space="preserve"> PAGEREF _Toc202173151 \h </w:instrText>
      </w:r>
      <w:r>
        <w:fldChar w:fldCharType="separate"/>
      </w:r>
      <w:r>
        <w:t>30</w:t>
      </w:r>
      <w:r>
        <w:fldChar w:fldCharType="end"/>
      </w:r>
    </w:p>
    <w:p>
      <w:pPr>
        <w:pStyle w:val="TOC8"/>
        <w:rPr>
          <w:sz w:val="24"/>
          <w:szCs w:val="24"/>
        </w:rPr>
      </w:pPr>
      <w:r>
        <w:rPr>
          <w:szCs w:val="24"/>
        </w:rPr>
        <w:t>44</w:t>
      </w:r>
      <w:r>
        <w:rPr>
          <w:snapToGrid w:val="0"/>
          <w:szCs w:val="24"/>
        </w:rPr>
        <w:t>.</w:t>
      </w:r>
      <w:r>
        <w:rPr>
          <w:snapToGrid w:val="0"/>
          <w:szCs w:val="24"/>
        </w:rPr>
        <w:tab/>
        <w:t>Protection of Authority’s interest</w:t>
      </w:r>
      <w:r>
        <w:tab/>
      </w:r>
      <w:r>
        <w:fldChar w:fldCharType="begin"/>
      </w:r>
      <w:r>
        <w:instrText xml:space="preserve"> PAGEREF _Toc202173152 \h </w:instrText>
      </w:r>
      <w:r>
        <w:fldChar w:fldCharType="separate"/>
      </w:r>
      <w:r>
        <w:t>31</w:t>
      </w:r>
      <w:r>
        <w:fldChar w:fldCharType="end"/>
      </w:r>
    </w:p>
    <w:p>
      <w:pPr>
        <w:pStyle w:val="TOC8"/>
        <w:rPr>
          <w:sz w:val="24"/>
          <w:szCs w:val="24"/>
        </w:rPr>
      </w:pPr>
      <w:r>
        <w:rPr>
          <w:szCs w:val="24"/>
        </w:rPr>
        <w:t>45</w:t>
      </w:r>
      <w:r>
        <w:rPr>
          <w:snapToGrid w:val="0"/>
          <w:szCs w:val="24"/>
        </w:rPr>
        <w:t>.</w:t>
      </w:r>
      <w:r>
        <w:rPr>
          <w:snapToGrid w:val="0"/>
          <w:szCs w:val="24"/>
        </w:rPr>
        <w:tab/>
      </w:r>
      <w:r>
        <w:rPr>
          <w:szCs w:val="24"/>
        </w:rPr>
        <w:t>Authority</w:t>
      </w:r>
      <w:r>
        <w:rPr>
          <w:snapToGrid w:val="0"/>
          <w:szCs w:val="24"/>
        </w:rPr>
        <w:t xml:space="preserve"> to obtain reports as to expenditure of loans</w:t>
      </w:r>
      <w:r>
        <w:tab/>
      </w:r>
      <w:r>
        <w:fldChar w:fldCharType="begin"/>
      </w:r>
      <w:r>
        <w:instrText xml:space="preserve"> PAGEREF _Toc202173153 \h </w:instrText>
      </w:r>
      <w:r>
        <w:fldChar w:fldCharType="separate"/>
      </w:r>
      <w:r>
        <w:t>31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Guarantees and subsidies</w:t>
      </w:r>
    </w:p>
    <w:p>
      <w:pPr>
        <w:pStyle w:val="TOC8"/>
        <w:rPr>
          <w:sz w:val="24"/>
          <w:szCs w:val="24"/>
        </w:rPr>
      </w:pPr>
      <w:r>
        <w:rPr>
          <w:szCs w:val="24"/>
        </w:rPr>
        <w:t>46</w:t>
      </w:r>
      <w:r>
        <w:rPr>
          <w:snapToGrid w:val="0"/>
          <w:szCs w:val="24"/>
        </w:rPr>
        <w:t>.</w:t>
      </w:r>
      <w:r>
        <w:rPr>
          <w:snapToGrid w:val="0"/>
          <w:szCs w:val="24"/>
        </w:rPr>
        <w:tab/>
        <w:t xml:space="preserve">Guarantee by </w:t>
      </w:r>
      <w:r>
        <w:rPr>
          <w:szCs w:val="24"/>
        </w:rPr>
        <w:t>Authority</w:t>
      </w:r>
      <w:r>
        <w:rPr>
          <w:snapToGrid w:val="0"/>
          <w:szCs w:val="24"/>
        </w:rPr>
        <w:t xml:space="preserve"> in certain cases</w:t>
      </w:r>
      <w:r>
        <w:tab/>
      </w:r>
      <w:r>
        <w:fldChar w:fldCharType="begin"/>
      </w:r>
      <w:r>
        <w:instrText xml:space="preserve"> PAGEREF _Toc202173155 \h </w:instrText>
      </w:r>
      <w:r>
        <w:fldChar w:fldCharType="separate"/>
      </w:r>
      <w:r>
        <w:t>31</w:t>
      </w:r>
      <w:r>
        <w:fldChar w:fldCharType="end"/>
      </w:r>
    </w:p>
    <w:p>
      <w:pPr>
        <w:pStyle w:val="TOC8"/>
        <w:rPr>
          <w:sz w:val="24"/>
          <w:szCs w:val="24"/>
        </w:rPr>
      </w:pPr>
      <w:r>
        <w:rPr>
          <w:szCs w:val="24"/>
        </w:rPr>
        <w:t>47</w:t>
      </w:r>
      <w:r>
        <w:rPr>
          <w:snapToGrid w:val="0"/>
          <w:szCs w:val="24"/>
        </w:rPr>
        <w:t>.</w:t>
      </w:r>
      <w:r>
        <w:rPr>
          <w:snapToGrid w:val="0"/>
          <w:szCs w:val="24"/>
        </w:rPr>
        <w:tab/>
        <w:t>Payment of subsidies on account of loans made to eligible persons</w:t>
      </w:r>
      <w:r>
        <w:tab/>
      </w:r>
      <w:r>
        <w:fldChar w:fldCharType="begin"/>
      </w:r>
      <w:r>
        <w:instrText xml:space="preserve"> PAGEREF _Toc202173156 \h </w:instrText>
      </w:r>
      <w:r>
        <w:fldChar w:fldCharType="separate"/>
      </w:r>
      <w:r>
        <w:t>32</w:t>
      </w:r>
      <w:r>
        <w:fldChar w:fldCharType="end"/>
      </w:r>
    </w:p>
    <w:p>
      <w:pPr>
        <w:pStyle w:val="TOC2"/>
        <w:tabs>
          <w:tab w:val="right" w:leader="dot" w:pos="7086"/>
        </w:tabs>
        <w:rPr>
          <w:b w:val="0"/>
          <w:sz w:val="24"/>
          <w:szCs w:val="24"/>
        </w:rPr>
      </w:pPr>
      <w:r>
        <w:rPr>
          <w:szCs w:val="30"/>
        </w:rPr>
        <w:t>Part V — Arrangements and agreements as to housing finance</w:t>
      </w:r>
    </w:p>
    <w:p>
      <w:pPr>
        <w:pStyle w:val="TOC4"/>
        <w:tabs>
          <w:tab w:val="right" w:leader="dot" w:pos="7086"/>
        </w:tabs>
        <w:rPr>
          <w:b w:val="0"/>
          <w:sz w:val="24"/>
          <w:szCs w:val="24"/>
        </w:rPr>
      </w:pPr>
      <w:r>
        <w:rPr>
          <w:szCs w:val="26"/>
        </w:rPr>
        <w:t>Division 1</w:t>
      </w:r>
      <w:r>
        <w:rPr>
          <w:snapToGrid w:val="0"/>
          <w:szCs w:val="26"/>
        </w:rPr>
        <w:t> — </w:t>
      </w:r>
      <w:r>
        <w:rPr>
          <w:szCs w:val="26"/>
        </w:rPr>
        <w:t>Arrangements with the Commonwealth</w:t>
      </w:r>
    </w:p>
    <w:p>
      <w:pPr>
        <w:pStyle w:val="TOC8"/>
        <w:rPr>
          <w:sz w:val="24"/>
          <w:szCs w:val="24"/>
        </w:rPr>
      </w:pPr>
      <w:r>
        <w:rPr>
          <w:szCs w:val="24"/>
        </w:rPr>
        <w:t>48</w:t>
      </w:r>
      <w:r>
        <w:rPr>
          <w:snapToGrid w:val="0"/>
          <w:szCs w:val="24"/>
        </w:rPr>
        <w:t>.</w:t>
      </w:r>
      <w:r>
        <w:rPr>
          <w:snapToGrid w:val="0"/>
          <w:szCs w:val="24"/>
        </w:rPr>
        <w:tab/>
        <w:t>Definitions</w:t>
      </w:r>
      <w:r>
        <w:tab/>
      </w:r>
      <w:r>
        <w:fldChar w:fldCharType="begin"/>
      </w:r>
      <w:r>
        <w:instrText xml:space="preserve"> PAGEREF _Toc202173159 \h </w:instrText>
      </w:r>
      <w:r>
        <w:fldChar w:fldCharType="separate"/>
      </w:r>
      <w:r>
        <w:t>34</w:t>
      </w:r>
      <w:r>
        <w:fldChar w:fldCharType="end"/>
      </w:r>
    </w:p>
    <w:p>
      <w:pPr>
        <w:pStyle w:val="TOC8"/>
        <w:rPr>
          <w:sz w:val="24"/>
          <w:szCs w:val="24"/>
        </w:rPr>
      </w:pPr>
      <w:r>
        <w:rPr>
          <w:szCs w:val="24"/>
        </w:rPr>
        <w:t>49</w:t>
      </w:r>
      <w:r>
        <w:rPr>
          <w:snapToGrid w:val="0"/>
          <w:szCs w:val="24"/>
        </w:rPr>
        <w:t>.</w:t>
      </w:r>
      <w:r>
        <w:rPr>
          <w:snapToGrid w:val="0"/>
          <w:szCs w:val="24"/>
        </w:rPr>
        <w:tab/>
        <w:t xml:space="preserve">Financial assistance from the Commonwealth — powers of Minister and </w:t>
      </w:r>
      <w:r>
        <w:rPr>
          <w:szCs w:val="24"/>
        </w:rPr>
        <w:t>Authority</w:t>
      </w:r>
      <w:r>
        <w:tab/>
      </w:r>
      <w:r>
        <w:fldChar w:fldCharType="begin"/>
      </w:r>
      <w:r>
        <w:instrText xml:space="preserve"> PAGEREF _Toc202173160 \h </w:instrText>
      </w:r>
      <w:r>
        <w:fldChar w:fldCharType="separate"/>
      </w:r>
      <w:r>
        <w:t>34</w:t>
      </w:r>
      <w:r>
        <w:fldChar w:fldCharType="end"/>
      </w:r>
    </w:p>
    <w:p>
      <w:pPr>
        <w:pStyle w:val="TOC8"/>
        <w:rPr>
          <w:sz w:val="24"/>
          <w:szCs w:val="24"/>
        </w:rPr>
      </w:pPr>
      <w:r>
        <w:rPr>
          <w:szCs w:val="24"/>
        </w:rPr>
        <w:t>50</w:t>
      </w:r>
      <w:r>
        <w:rPr>
          <w:snapToGrid w:val="0"/>
          <w:szCs w:val="24"/>
        </w:rPr>
        <w:t>.</w:t>
      </w:r>
      <w:r>
        <w:rPr>
          <w:snapToGrid w:val="0"/>
          <w:szCs w:val="24"/>
        </w:rPr>
        <w:tab/>
        <w:t>Housing assistance under agreements</w:t>
      </w:r>
      <w:r>
        <w:tab/>
      </w:r>
      <w:r>
        <w:fldChar w:fldCharType="begin"/>
      </w:r>
      <w:r>
        <w:instrText xml:space="preserve"> PAGEREF _Toc202173161 \h </w:instrText>
      </w:r>
      <w:r>
        <w:fldChar w:fldCharType="separate"/>
      </w:r>
      <w:r>
        <w:t>35</w:t>
      </w:r>
      <w:r>
        <w:fldChar w:fldCharType="end"/>
      </w:r>
    </w:p>
    <w:p>
      <w:pPr>
        <w:pStyle w:val="TOC8"/>
        <w:rPr>
          <w:sz w:val="24"/>
          <w:szCs w:val="24"/>
        </w:rPr>
      </w:pPr>
      <w:r>
        <w:rPr>
          <w:szCs w:val="24"/>
        </w:rPr>
        <w:t>51</w:t>
      </w:r>
      <w:r>
        <w:rPr>
          <w:snapToGrid w:val="0"/>
          <w:szCs w:val="24"/>
        </w:rPr>
        <w:t>.</w:t>
      </w:r>
      <w:r>
        <w:rPr>
          <w:snapToGrid w:val="0"/>
          <w:szCs w:val="24"/>
        </w:rPr>
        <w:tab/>
        <w:t>Regulations as to administration of agreements</w:t>
      </w:r>
      <w:r>
        <w:tab/>
      </w:r>
      <w:r>
        <w:fldChar w:fldCharType="begin"/>
      </w:r>
      <w:r>
        <w:instrText xml:space="preserve"> PAGEREF _Toc202173162 \h </w:instrText>
      </w:r>
      <w:r>
        <w:fldChar w:fldCharType="separate"/>
      </w:r>
      <w:r>
        <w:t>36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Agreements with lending institutions</w:t>
      </w:r>
    </w:p>
    <w:p>
      <w:pPr>
        <w:pStyle w:val="TOC8"/>
        <w:rPr>
          <w:sz w:val="24"/>
          <w:szCs w:val="24"/>
        </w:rPr>
      </w:pPr>
      <w:r>
        <w:rPr>
          <w:szCs w:val="24"/>
        </w:rPr>
        <w:t>52</w:t>
      </w:r>
      <w:r>
        <w:rPr>
          <w:snapToGrid w:val="0"/>
          <w:szCs w:val="24"/>
        </w:rPr>
        <w:t>.</w:t>
      </w:r>
      <w:r>
        <w:rPr>
          <w:snapToGrid w:val="0"/>
          <w:szCs w:val="24"/>
        </w:rPr>
        <w:tab/>
        <w:t>Definitions and effect</w:t>
      </w:r>
      <w:r>
        <w:tab/>
      </w:r>
      <w:r>
        <w:fldChar w:fldCharType="begin"/>
      </w:r>
      <w:r>
        <w:instrText xml:space="preserve"> PAGEREF _Toc202173164 \h </w:instrText>
      </w:r>
      <w:r>
        <w:fldChar w:fldCharType="separate"/>
      </w:r>
      <w:r>
        <w:t>36</w:t>
      </w:r>
      <w:r>
        <w:fldChar w:fldCharType="end"/>
      </w:r>
    </w:p>
    <w:p>
      <w:pPr>
        <w:pStyle w:val="TOC8"/>
        <w:rPr>
          <w:sz w:val="24"/>
          <w:szCs w:val="24"/>
        </w:rPr>
      </w:pPr>
      <w:r>
        <w:rPr>
          <w:szCs w:val="24"/>
        </w:rPr>
        <w:t>53</w:t>
      </w:r>
      <w:r>
        <w:rPr>
          <w:snapToGrid w:val="0"/>
          <w:szCs w:val="24"/>
        </w:rPr>
        <w:t>.</w:t>
      </w:r>
      <w:r>
        <w:rPr>
          <w:snapToGrid w:val="0"/>
          <w:szCs w:val="24"/>
        </w:rPr>
        <w:tab/>
        <w:t>Power to make loan agreements</w:t>
      </w:r>
      <w:r>
        <w:tab/>
      </w:r>
      <w:r>
        <w:fldChar w:fldCharType="begin"/>
      </w:r>
      <w:r>
        <w:instrText xml:space="preserve"> PAGEREF _Toc202173165 \h </w:instrText>
      </w:r>
      <w:r>
        <w:fldChar w:fldCharType="separate"/>
      </w:r>
      <w:r>
        <w:t>37</w:t>
      </w:r>
      <w:r>
        <w:fldChar w:fldCharType="end"/>
      </w:r>
    </w:p>
    <w:p>
      <w:pPr>
        <w:pStyle w:val="TOC8"/>
        <w:rPr>
          <w:sz w:val="24"/>
          <w:szCs w:val="24"/>
        </w:rPr>
      </w:pPr>
      <w:r>
        <w:rPr>
          <w:szCs w:val="24"/>
        </w:rPr>
        <w:t>54</w:t>
      </w:r>
      <w:r>
        <w:rPr>
          <w:snapToGrid w:val="0"/>
          <w:szCs w:val="24"/>
        </w:rPr>
        <w:t>.</w:t>
      </w:r>
      <w:r>
        <w:rPr>
          <w:snapToGrid w:val="0"/>
          <w:szCs w:val="24"/>
        </w:rPr>
        <w:tab/>
        <w:t>Terms and conditions of agreement</w:t>
      </w:r>
      <w:r>
        <w:tab/>
      </w:r>
      <w:r>
        <w:fldChar w:fldCharType="begin"/>
      </w:r>
      <w:r>
        <w:instrText xml:space="preserve"> PAGEREF _Toc202173166 \h </w:instrText>
      </w:r>
      <w:r>
        <w:fldChar w:fldCharType="separate"/>
      </w:r>
      <w:r>
        <w:t>38</w:t>
      </w:r>
      <w:r>
        <w:fldChar w:fldCharType="end"/>
      </w:r>
    </w:p>
    <w:p>
      <w:pPr>
        <w:pStyle w:val="TOC8"/>
        <w:rPr>
          <w:sz w:val="24"/>
          <w:szCs w:val="24"/>
        </w:rPr>
      </w:pPr>
      <w:r>
        <w:rPr>
          <w:szCs w:val="24"/>
        </w:rPr>
        <w:t>55</w:t>
      </w:r>
      <w:r>
        <w:rPr>
          <w:snapToGrid w:val="0"/>
          <w:szCs w:val="24"/>
        </w:rPr>
        <w:t>.</w:t>
      </w:r>
      <w:r>
        <w:rPr>
          <w:snapToGrid w:val="0"/>
          <w:szCs w:val="24"/>
        </w:rPr>
        <w:tab/>
        <w:t>Floating security and charge</w:t>
      </w:r>
      <w:r>
        <w:tab/>
      </w:r>
      <w:r>
        <w:fldChar w:fldCharType="begin"/>
      </w:r>
      <w:r>
        <w:instrText xml:space="preserve"> PAGEREF _Toc202173167 \h </w:instrText>
      </w:r>
      <w:r>
        <w:fldChar w:fldCharType="separate"/>
      </w:r>
      <w:r>
        <w:t>38</w:t>
      </w:r>
      <w:r>
        <w:fldChar w:fldCharType="end"/>
      </w:r>
    </w:p>
    <w:p>
      <w:pPr>
        <w:pStyle w:val="TOC8"/>
        <w:rPr>
          <w:sz w:val="24"/>
          <w:szCs w:val="24"/>
        </w:rPr>
      </w:pPr>
      <w:r>
        <w:rPr>
          <w:szCs w:val="24"/>
        </w:rPr>
        <w:t>56</w:t>
      </w:r>
      <w:r>
        <w:rPr>
          <w:snapToGrid w:val="0"/>
          <w:szCs w:val="24"/>
        </w:rPr>
        <w:t>.</w:t>
      </w:r>
      <w:r>
        <w:rPr>
          <w:snapToGrid w:val="0"/>
          <w:szCs w:val="24"/>
        </w:rPr>
        <w:tab/>
        <w:t>Lending institution may give securities</w:t>
      </w:r>
      <w:r>
        <w:tab/>
      </w:r>
      <w:r>
        <w:fldChar w:fldCharType="begin"/>
      </w:r>
      <w:r>
        <w:instrText xml:space="preserve"> PAGEREF _Toc202173168 \h </w:instrText>
      </w:r>
      <w:r>
        <w:fldChar w:fldCharType="separate"/>
      </w:r>
      <w:r>
        <w:t>40</w:t>
      </w:r>
      <w:r>
        <w:fldChar w:fldCharType="end"/>
      </w:r>
    </w:p>
    <w:p>
      <w:pPr>
        <w:pStyle w:val="TOC8"/>
        <w:rPr>
          <w:sz w:val="24"/>
          <w:szCs w:val="24"/>
        </w:rPr>
      </w:pPr>
      <w:r>
        <w:rPr>
          <w:szCs w:val="24"/>
        </w:rPr>
        <w:t>57</w:t>
      </w:r>
      <w:r>
        <w:rPr>
          <w:snapToGrid w:val="0"/>
          <w:szCs w:val="24"/>
        </w:rPr>
        <w:t>.</w:t>
      </w:r>
      <w:r>
        <w:rPr>
          <w:snapToGrid w:val="0"/>
          <w:szCs w:val="24"/>
        </w:rPr>
        <w:tab/>
        <w:t>Property and assets of lending institution may be released</w:t>
      </w:r>
      <w:r>
        <w:tab/>
      </w:r>
      <w:r>
        <w:fldChar w:fldCharType="begin"/>
      </w:r>
      <w:r>
        <w:instrText xml:space="preserve"> PAGEREF _Toc202173169 \h </w:instrText>
      </w:r>
      <w:r>
        <w:fldChar w:fldCharType="separate"/>
      </w:r>
      <w:r>
        <w:t>40</w:t>
      </w:r>
      <w:r>
        <w:fldChar w:fldCharType="end"/>
      </w:r>
    </w:p>
    <w:p>
      <w:pPr>
        <w:pStyle w:val="TOC8"/>
        <w:rPr>
          <w:sz w:val="24"/>
          <w:szCs w:val="24"/>
        </w:rPr>
      </w:pPr>
      <w:r>
        <w:rPr>
          <w:szCs w:val="24"/>
        </w:rPr>
        <w:t>58</w:t>
      </w:r>
      <w:r>
        <w:rPr>
          <w:snapToGrid w:val="0"/>
          <w:szCs w:val="24"/>
        </w:rPr>
        <w:t>.</w:t>
      </w:r>
      <w:r>
        <w:rPr>
          <w:snapToGrid w:val="0"/>
          <w:szCs w:val="24"/>
        </w:rPr>
        <w:tab/>
        <w:t>Power of inspection of affairs of lending institution</w:t>
      </w:r>
      <w:r>
        <w:tab/>
      </w:r>
      <w:r>
        <w:fldChar w:fldCharType="begin"/>
      </w:r>
      <w:r>
        <w:instrText xml:space="preserve"> PAGEREF _Toc202173170 \h </w:instrText>
      </w:r>
      <w:r>
        <w:fldChar w:fldCharType="separate"/>
      </w:r>
      <w:r>
        <w:t>41</w:t>
      </w:r>
      <w:r>
        <w:fldChar w:fldCharType="end"/>
      </w:r>
    </w:p>
    <w:p>
      <w:pPr>
        <w:pStyle w:val="TOC8"/>
        <w:rPr>
          <w:sz w:val="24"/>
          <w:szCs w:val="24"/>
        </w:rPr>
      </w:pPr>
      <w:r>
        <w:rPr>
          <w:szCs w:val="24"/>
        </w:rPr>
        <w:t>59</w:t>
      </w:r>
      <w:r>
        <w:rPr>
          <w:snapToGrid w:val="0"/>
          <w:szCs w:val="24"/>
        </w:rPr>
        <w:t>.</w:t>
      </w:r>
      <w:r>
        <w:rPr>
          <w:snapToGrid w:val="0"/>
          <w:szCs w:val="24"/>
        </w:rPr>
        <w:tab/>
        <w:t>Special powers of lending institutions to make advances of moneys, other than by way of mortgage</w:t>
      </w:r>
      <w:r>
        <w:tab/>
      </w:r>
      <w:r>
        <w:fldChar w:fldCharType="begin"/>
      </w:r>
      <w:r>
        <w:instrText xml:space="preserve"> PAGEREF _Toc202173171 \h </w:instrText>
      </w:r>
      <w:r>
        <w:fldChar w:fldCharType="separate"/>
      </w:r>
      <w:r>
        <w:t>41</w:t>
      </w:r>
      <w:r>
        <w:fldChar w:fldCharType="end"/>
      </w:r>
    </w:p>
    <w:p>
      <w:pPr>
        <w:pStyle w:val="TOC2"/>
        <w:tabs>
          <w:tab w:val="right" w:leader="dot" w:pos="7086"/>
        </w:tabs>
        <w:rPr>
          <w:b w:val="0"/>
          <w:sz w:val="24"/>
          <w:szCs w:val="24"/>
        </w:rPr>
      </w:pPr>
      <w:r>
        <w:rPr>
          <w:szCs w:val="30"/>
        </w:rPr>
        <w:t>Part VI — Specialized housing and community facilities</w:t>
      </w:r>
    </w:p>
    <w:p>
      <w:pPr>
        <w:pStyle w:val="TOC8"/>
        <w:rPr>
          <w:sz w:val="24"/>
          <w:szCs w:val="24"/>
        </w:rPr>
      </w:pPr>
      <w:r>
        <w:rPr>
          <w:szCs w:val="24"/>
        </w:rPr>
        <w:t>60</w:t>
      </w:r>
      <w:r>
        <w:rPr>
          <w:snapToGrid w:val="0"/>
          <w:szCs w:val="24"/>
        </w:rPr>
        <w:t>.</w:t>
      </w:r>
      <w:r>
        <w:rPr>
          <w:snapToGrid w:val="0"/>
          <w:szCs w:val="24"/>
        </w:rPr>
        <w:tab/>
      </w:r>
      <w:r>
        <w:rPr>
          <w:szCs w:val="24"/>
        </w:rPr>
        <w:t>Authority</w:t>
      </w:r>
      <w:r>
        <w:rPr>
          <w:snapToGrid w:val="0"/>
          <w:szCs w:val="24"/>
        </w:rPr>
        <w:t xml:space="preserve"> may provide specialized housing</w:t>
      </w:r>
      <w:r>
        <w:tab/>
      </w:r>
      <w:r>
        <w:fldChar w:fldCharType="begin"/>
      </w:r>
      <w:r>
        <w:instrText xml:space="preserve"> PAGEREF _Toc202173173 \h </w:instrText>
      </w:r>
      <w:r>
        <w:fldChar w:fldCharType="separate"/>
      </w:r>
      <w:r>
        <w:t>43</w:t>
      </w:r>
      <w:r>
        <w:fldChar w:fldCharType="end"/>
      </w:r>
    </w:p>
    <w:p>
      <w:pPr>
        <w:pStyle w:val="TOC8"/>
        <w:rPr>
          <w:sz w:val="24"/>
          <w:szCs w:val="24"/>
        </w:rPr>
      </w:pPr>
      <w:r>
        <w:rPr>
          <w:szCs w:val="24"/>
        </w:rPr>
        <w:t>61</w:t>
      </w:r>
      <w:r>
        <w:rPr>
          <w:snapToGrid w:val="0"/>
          <w:szCs w:val="24"/>
        </w:rPr>
        <w:t>.</w:t>
      </w:r>
      <w:r>
        <w:rPr>
          <w:snapToGrid w:val="0"/>
          <w:szCs w:val="24"/>
        </w:rPr>
        <w:tab/>
        <w:t>Community facilities</w:t>
      </w:r>
      <w:r>
        <w:tab/>
      </w:r>
      <w:r>
        <w:fldChar w:fldCharType="begin"/>
      </w:r>
      <w:r>
        <w:instrText xml:space="preserve"> PAGEREF _Toc202173174 \h </w:instrText>
      </w:r>
      <w:r>
        <w:fldChar w:fldCharType="separate"/>
      </w:r>
      <w:r>
        <w:t>44</w:t>
      </w:r>
      <w:r>
        <w:fldChar w:fldCharType="end"/>
      </w:r>
    </w:p>
    <w:p>
      <w:pPr>
        <w:pStyle w:val="TOC2"/>
        <w:tabs>
          <w:tab w:val="right" w:leader="dot" w:pos="7086"/>
        </w:tabs>
        <w:rPr>
          <w:b w:val="0"/>
          <w:sz w:val="24"/>
          <w:szCs w:val="24"/>
        </w:rPr>
      </w:pPr>
      <w:r>
        <w:rPr>
          <w:szCs w:val="30"/>
        </w:rPr>
        <w:t>Part VII — Finance</w:t>
      </w:r>
    </w:p>
    <w:p>
      <w:pPr>
        <w:pStyle w:val="TOC8"/>
        <w:rPr>
          <w:sz w:val="24"/>
          <w:szCs w:val="24"/>
        </w:rPr>
      </w:pPr>
      <w:r>
        <w:rPr>
          <w:szCs w:val="24"/>
        </w:rPr>
        <w:t>62</w:t>
      </w:r>
      <w:r>
        <w:rPr>
          <w:snapToGrid w:val="0"/>
          <w:szCs w:val="24"/>
        </w:rPr>
        <w:t>.</w:t>
      </w:r>
      <w:r>
        <w:rPr>
          <w:snapToGrid w:val="0"/>
          <w:szCs w:val="24"/>
        </w:rPr>
        <w:tab/>
        <w:t>Funds</w:t>
      </w:r>
      <w:r>
        <w:tab/>
      </w:r>
      <w:r>
        <w:fldChar w:fldCharType="begin"/>
      </w:r>
      <w:r>
        <w:instrText xml:space="preserve"> PAGEREF _Toc202173176 \h </w:instrText>
      </w:r>
      <w:r>
        <w:fldChar w:fldCharType="separate"/>
      </w:r>
      <w:r>
        <w:t>46</w:t>
      </w:r>
      <w:r>
        <w:fldChar w:fldCharType="end"/>
      </w:r>
    </w:p>
    <w:p>
      <w:pPr>
        <w:pStyle w:val="TOC8"/>
        <w:rPr>
          <w:sz w:val="24"/>
          <w:szCs w:val="24"/>
        </w:rPr>
      </w:pPr>
      <w:r>
        <w:rPr>
          <w:szCs w:val="24"/>
        </w:rPr>
        <w:t>63</w:t>
      </w:r>
      <w:r>
        <w:rPr>
          <w:snapToGrid w:val="0"/>
          <w:szCs w:val="24"/>
        </w:rPr>
        <w:t>.</w:t>
      </w:r>
      <w:r>
        <w:rPr>
          <w:snapToGrid w:val="0"/>
          <w:szCs w:val="24"/>
        </w:rPr>
        <w:tab/>
        <w:t>Power to raise money</w:t>
      </w:r>
      <w:r>
        <w:tab/>
      </w:r>
      <w:r>
        <w:fldChar w:fldCharType="begin"/>
      </w:r>
      <w:r>
        <w:instrText xml:space="preserve"> PAGEREF _Toc202173177 \h </w:instrText>
      </w:r>
      <w:r>
        <w:fldChar w:fldCharType="separate"/>
      </w:r>
      <w:r>
        <w:t>47</w:t>
      </w:r>
      <w:r>
        <w:fldChar w:fldCharType="end"/>
      </w:r>
    </w:p>
    <w:p>
      <w:pPr>
        <w:pStyle w:val="TOC8"/>
        <w:rPr>
          <w:sz w:val="24"/>
          <w:szCs w:val="24"/>
        </w:rPr>
      </w:pPr>
      <w:r>
        <w:rPr>
          <w:szCs w:val="24"/>
        </w:rPr>
        <w:t>64</w:t>
      </w:r>
      <w:r>
        <w:rPr>
          <w:snapToGrid w:val="0"/>
          <w:szCs w:val="24"/>
        </w:rPr>
        <w:t>.</w:t>
      </w:r>
      <w:r>
        <w:rPr>
          <w:snapToGrid w:val="0"/>
          <w:szCs w:val="24"/>
        </w:rPr>
        <w:tab/>
        <w:t>Provisions as to debentures and inscribed stock</w:t>
      </w:r>
      <w:r>
        <w:tab/>
      </w:r>
      <w:r>
        <w:fldChar w:fldCharType="begin"/>
      </w:r>
      <w:r>
        <w:instrText xml:space="preserve"> PAGEREF _Toc202173178 \h </w:instrText>
      </w:r>
      <w:r>
        <w:fldChar w:fldCharType="separate"/>
      </w:r>
      <w:r>
        <w:t>49</w:t>
      </w:r>
      <w:r>
        <w:fldChar w:fldCharType="end"/>
      </w:r>
    </w:p>
    <w:p>
      <w:pPr>
        <w:pStyle w:val="TOC8"/>
        <w:rPr>
          <w:sz w:val="24"/>
          <w:szCs w:val="24"/>
        </w:rPr>
      </w:pPr>
      <w:r>
        <w:rPr>
          <w:szCs w:val="24"/>
        </w:rPr>
        <w:t>65</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_Toc202173179 \h </w:instrText>
      </w:r>
      <w:r>
        <w:fldChar w:fldCharType="separate"/>
      </w:r>
      <w:r>
        <w:t>50</w:t>
      </w:r>
      <w:r>
        <w:fldChar w:fldCharType="end"/>
      </w:r>
    </w:p>
    <w:p>
      <w:pPr>
        <w:pStyle w:val="TOC2"/>
        <w:tabs>
          <w:tab w:val="right" w:leader="dot" w:pos="7086"/>
        </w:tabs>
        <w:rPr>
          <w:b w:val="0"/>
          <w:sz w:val="24"/>
          <w:szCs w:val="24"/>
        </w:rPr>
      </w:pPr>
      <w:r>
        <w:rPr>
          <w:szCs w:val="30"/>
        </w:rPr>
        <w:t>Part VIII — Miscellaneous</w:t>
      </w:r>
    </w:p>
    <w:p>
      <w:pPr>
        <w:pStyle w:val="TOC8"/>
        <w:rPr>
          <w:sz w:val="24"/>
          <w:szCs w:val="24"/>
        </w:rPr>
      </w:pPr>
      <w:r>
        <w:rPr>
          <w:szCs w:val="24"/>
        </w:rPr>
        <w:t>68</w:t>
      </w:r>
      <w:r>
        <w:rPr>
          <w:snapToGrid w:val="0"/>
          <w:szCs w:val="24"/>
        </w:rPr>
        <w:t>.</w:t>
      </w:r>
      <w:r>
        <w:rPr>
          <w:snapToGrid w:val="0"/>
          <w:szCs w:val="24"/>
        </w:rPr>
        <w:tab/>
        <w:t>Power to extend time</w:t>
      </w:r>
      <w:r>
        <w:tab/>
      </w:r>
      <w:r>
        <w:fldChar w:fldCharType="begin"/>
      </w:r>
      <w:r>
        <w:instrText xml:space="preserve"> PAGEREF _Toc202173181 \h </w:instrText>
      </w:r>
      <w:r>
        <w:fldChar w:fldCharType="separate"/>
      </w:r>
      <w:r>
        <w:t>51</w:t>
      </w:r>
      <w:r>
        <w:fldChar w:fldCharType="end"/>
      </w:r>
    </w:p>
    <w:p>
      <w:pPr>
        <w:pStyle w:val="TOC8"/>
        <w:rPr>
          <w:sz w:val="24"/>
          <w:szCs w:val="24"/>
        </w:rPr>
      </w:pPr>
      <w:r>
        <w:rPr>
          <w:szCs w:val="24"/>
        </w:rPr>
        <w:t>69.</w:t>
      </w:r>
      <w:r>
        <w:rPr>
          <w:szCs w:val="24"/>
        </w:rPr>
        <w:tab/>
        <w:t>Protection from personal liability</w:t>
      </w:r>
      <w:r>
        <w:tab/>
      </w:r>
      <w:r>
        <w:fldChar w:fldCharType="begin"/>
      </w:r>
      <w:r>
        <w:instrText xml:space="preserve"> PAGEREF _Toc202173182 \h </w:instrText>
      </w:r>
      <w:r>
        <w:fldChar w:fldCharType="separate"/>
      </w:r>
      <w:r>
        <w:t>51</w:t>
      </w:r>
      <w:r>
        <w:fldChar w:fldCharType="end"/>
      </w:r>
    </w:p>
    <w:p>
      <w:pPr>
        <w:pStyle w:val="TOC8"/>
        <w:rPr>
          <w:sz w:val="24"/>
          <w:szCs w:val="24"/>
        </w:rPr>
      </w:pPr>
      <w:r>
        <w:rPr>
          <w:szCs w:val="24"/>
        </w:rPr>
        <w:t>70</w:t>
      </w:r>
      <w:r>
        <w:rPr>
          <w:snapToGrid w:val="0"/>
          <w:szCs w:val="24"/>
        </w:rPr>
        <w:t>.</w:t>
      </w:r>
      <w:r>
        <w:rPr>
          <w:snapToGrid w:val="0"/>
          <w:szCs w:val="24"/>
        </w:rPr>
        <w:tab/>
        <w:t>Regulations generally</w:t>
      </w:r>
      <w:r>
        <w:tab/>
      </w:r>
      <w:r>
        <w:fldChar w:fldCharType="begin"/>
      </w:r>
      <w:r>
        <w:instrText xml:space="preserve"> PAGEREF _Toc202173183 \h </w:instrText>
      </w:r>
      <w:r>
        <w:fldChar w:fldCharType="separate"/>
      </w:r>
      <w:r>
        <w:t>51</w:t>
      </w:r>
      <w:r>
        <w:fldChar w:fldCharType="end"/>
      </w:r>
    </w:p>
    <w:p>
      <w:pPr>
        <w:pStyle w:val="TOC8"/>
        <w:rPr>
          <w:sz w:val="24"/>
          <w:szCs w:val="24"/>
        </w:rPr>
      </w:pPr>
      <w:r>
        <w:rPr>
          <w:szCs w:val="24"/>
        </w:rPr>
        <w:t>71</w:t>
      </w:r>
      <w:r>
        <w:rPr>
          <w:snapToGrid w:val="0"/>
          <w:szCs w:val="24"/>
        </w:rPr>
        <w:t>.</w:t>
      </w:r>
      <w:r>
        <w:rPr>
          <w:snapToGrid w:val="0"/>
          <w:szCs w:val="24"/>
        </w:rPr>
        <w:tab/>
        <w:t>Regulations as to fees</w:t>
      </w:r>
      <w:r>
        <w:tab/>
      </w:r>
      <w:r>
        <w:fldChar w:fldCharType="begin"/>
      </w:r>
      <w:r>
        <w:instrText xml:space="preserve"> PAGEREF _Toc202173184 \h </w:instrText>
      </w:r>
      <w:r>
        <w:fldChar w:fldCharType="separate"/>
      </w:r>
      <w:r>
        <w:t>52</w:t>
      </w:r>
      <w:r>
        <w:fldChar w:fldCharType="end"/>
      </w:r>
    </w:p>
    <w:p>
      <w:pPr>
        <w:pStyle w:val="TOC8"/>
        <w:rPr>
          <w:sz w:val="24"/>
          <w:szCs w:val="24"/>
        </w:rPr>
      </w:pPr>
      <w:r>
        <w:rPr>
          <w:szCs w:val="24"/>
        </w:rPr>
        <w:t>72</w:t>
      </w:r>
      <w:r>
        <w:rPr>
          <w:snapToGrid w:val="0"/>
          <w:szCs w:val="24"/>
        </w:rPr>
        <w:t>.</w:t>
      </w:r>
      <w:r>
        <w:rPr>
          <w:snapToGrid w:val="0"/>
          <w:szCs w:val="24"/>
        </w:rPr>
        <w:tab/>
        <w:t>Payment of fees and duties</w:t>
      </w:r>
      <w:r>
        <w:tab/>
      </w:r>
      <w:r>
        <w:fldChar w:fldCharType="begin"/>
      </w:r>
      <w:r>
        <w:instrText xml:space="preserve"> PAGEREF _Toc202173185 \h </w:instrText>
      </w:r>
      <w:r>
        <w:fldChar w:fldCharType="separate"/>
      </w:r>
      <w:r>
        <w:t>53</w:t>
      </w:r>
      <w:r>
        <w:fldChar w:fldCharType="end"/>
      </w:r>
    </w:p>
    <w:p>
      <w:pPr>
        <w:pStyle w:val="TOC8"/>
        <w:rPr>
          <w:sz w:val="24"/>
          <w:szCs w:val="24"/>
        </w:rPr>
      </w:pPr>
      <w:r>
        <w:rPr>
          <w:szCs w:val="24"/>
        </w:rPr>
        <w:t>73</w:t>
      </w:r>
      <w:r>
        <w:rPr>
          <w:snapToGrid w:val="0"/>
          <w:szCs w:val="24"/>
        </w:rPr>
        <w:t>.</w:t>
      </w:r>
      <w:r>
        <w:rPr>
          <w:snapToGrid w:val="0"/>
          <w:szCs w:val="24"/>
        </w:rPr>
        <w:tab/>
        <w:t>Addition of certain amounts to balance of contract price or loan</w:t>
      </w:r>
      <w:r>
        <w:tab/>
      </w:r>
      <w:r>
        <w:fldChar w:fldCharType="begin"/>
      </w:r>
      <w:r>
        <w:instrText xml:space="preserve"> PAGEREF _Toc202173186 \h </w:instrText>
      </w:r>
      <w:r>
        <w:fldChar w:fldCharType="separate"/>
      </w:r>
      <w:r>
        <w:t>53</w:t>
      </w:r>
      <w:r>
        <w:fldChar w:fldCharType="end"/>
      </w:r>
    </w:p>
    <w:p>
      <w:pPr>
        <w:pStyle w:val="TOC2"/>
        <w:tabs>
          <w:tab w:val="right" w:leader="dot" w:pos="7086"/>
        </w:tabs>
        <w:rPr>
          <w:b w:val="0"/>
          <w:sz w:val="24"/>
          <w:szCs w:val="24"/>
        </w:rPr>
      </w:pPr>
      <w:r>
        <w:rPr>
          <w:szCs w:val="30"/>
        </w:rPr>
        <w:t>Part IX — Saving and transitional provisions</w:t>
      </w:r>
    </w:p>
    <w:p>
      <w:pPr>
        <w:pStyle w:val="TOC8"/>
        <w:rPr>
          <w:sz w:val="24"/>
          <w:szCs w:val="24"/>
        </w:rPr>
      </w:pPr>
      <w:r>
        <w:rPr>
          <w:szCs w:val="24"/>
        </w:rPr>
        <w:t>74</w:t>
      </w:r>
      <w:r>
        <w:rPr>
          <w:snapToGrid w:val="0"/>
          <w:szCs w:val="24"/>
        </w:rPr>
        <w:t>.</w:t>
      </w:r>
      <w:r>
        <w:rPr>
          <w:snapToGrid w:val="0"/>
          <w:szCs w:val="24"/>
        </w:rPr>
        <w:tab/>
        <w:t>Continuity of status and operation</w:t>
      </w:r>
      <w:r>
        <w:tab/>
      </w:r>
      <w:r>
        <w:fldChar w:fldCharType="begin"/>
      </w:r>
      <w:r>
        <w:instrText xml:space="preserve"> PAGEREF _Toc202173188 \h </w:instrText>
      </w:r>
      <w:r>
        <w:fldChar w:fldCharType="separate"/>
      </w:r>
      <w:r>
        <w:t>54</w:t>
      </w:r>
      <w:r>
        <w:fldChar w:fldCharType="end"/>
      </w:r>
    </w:p>
    <w:p>
      <w:pPr>
        <w:pStyle w:val="TOC8"/>
        <w:rPr>
          <w:sz w:val="24"/>
          <w:szCs w:val="24"/>
        </w:rPr>
      </w:pPr>
      <w:r>
        <w:rPr>
          <w:szCs w:val="24"/>
        </w:rPr>
        <w:t>75</w:t>
      </w:r>
      <w:r>
        <w:rPr>
          <w:snapToGrid w:val="0"/>
          <w:szCs w:val="24"/>
        </w:rPr>
        <w:t>.</w:t>
      </w:r>
      <w:r>
        <w:rPr>
          <w:snapToGrid w:val="0"/>
          <w:szCs w:val="24"/>
        </w:rPr>
        <w:tab/>
        <w:t>Membership of Commission</w:t>
      </w:r>
      <w:r>
        <w:tab/>
      </w:r>
      <w:r>
        <w:fldChar w:fldCharType="begin"/>
      </w:r>
      <w:r>
        <w:instrText xml:space="preserve"> PAGEREF _Toc202173189 \h </w:instrText>
      </w:r>
      <w:r>
        <w:fldChar w:fldCharType="separate"/>
      </w:r>
      <w:r>
        <w:t>54</w:t>
      </w:r>
      <w:r>
        <w:fldChar w:fldCharType="end"/>
      </w:r>
    </w:p>
    <w:p>
      <w:pPr>
        <w:pStyle w:val="TOC8"/>
        <w:rPr>
          <w:sz w:val="24"/>
          <w:szCs w:val="24"/>
        </w:rPr>
      </w:pPr>
      <w:r>
        <w:rPr>
          <w:szCs w:val="24"/>
        </w:rPr>
        <w:t>76</w:t>
      </w:r>
      <w:r>
        <w:rPr>
          <w:snapToGrid w:val="0"/>
          <w:szCs w:val="24"/>
        </w:rPr>
        <w:t>.</w:t>
      </w:r>
      <w:r>
        <w:rPr>
          <w:snapToGrid w:val="0"/>
          <w:szCs w:val="24"/>
        </w:rPr>
        <w:tab/>
        <w:t>Continuation of provisions relating to earlier Acts and bodies</w:t>
      </w:r>
      <w:r>
        <w:tab/>
      </w:r>
      <w:r>
        <w:fldChar w:fldCharType="begin"/>
      </w:r>
      <w:r>
        <w:instrText xml:space="preserve"> PAGEREF _Toc202173190 \h </w:instrText>
      </w:r>
      <w:r>
        <w:fldChar w:fldCharType="separate"/>
      </w:r>
      <w:r>
        <w:t>55</w:t>
      </w:r>
      <w:r>
        <w:fldChar w:fldCharType="end"/>
      </w:r>
    </w:p>
    <w:p>
      <w:pPr>
        <w:pStyle w:val="TOC8"/>
        <w:rPr>
          <w:sz w:val="24"/>
          <w:szCs w:val="24"/>
        </w:rPr>
      </w:pPr>
      <w:r>
        <w:rPr>
          <w:szCs w:val="24"/>
        </w:rPr>
        <w:t>77</w:t>
      </w:r>
      <w:r>
        <w:rPr>
          <w:snapToGrid w:val="0"/>
          <w:szCs w:val="24"/>
        </w:rPr>
        <w:t>.</w:t>
      </w:r>
      <w:r>
        <w:rPr>
          <w:snapToGrid w:val="0"/>
          <w:szCs w:val="24"/>
        </w:rPr>
        <w:tab/>
        <w:t>Contracts of sale, mortgages and tenancies</w:t>
      </w:r>
      <w:r>
        <w:tab/>
      </w:r>
      <w:r>
        <w:fldChar w:fldCharType="begin"/>
      </w:r>
      <w:r>
        <w:instrText xml:space="preserve"> PAGEREF _Toc202173191 \h </w:instrText>
      </w:r>
      <w:r>
        <w:fldChar w:fldCharType="separate"/>
      </w:r>
      <w:r>
        <w:t>55</w:t>
      </w:r>
      <w:r>
        <w:fldChar w:fldCharType="end"/>
      </w:r>
    </w:p>
    <w:p>
      <w:pPr>
        <w:pStyle w:val="TOC8"/>
        <w:rPr>
          <w:sz w:val="24"/>
          <w:szCs w:val="24"/>
        </w:rPr>
      </w:pPr>
      <w:r>
        <w:rPr>
          <w:szCs w:val="24"/>
        </w:rPr>
        <w:t>78</w:t>
      </w:r>
      <w:r>
        <w:rPr>
          <w:snapToGrid w:val="0"/>
          <w:szCs w:val="24"/>
        </w:rPr>
        <w:t>.</w:t>
      </w:r>
      <w:r>
        <w:rPr>
          <w:snapToGrid w:val="0"/>
          <w:szCs w:val="24"/>
        </w:rPr>
        <w:tab/>
        <w:t>Perpetual leases</w:t>
      </w:r>
      <w:r>
        <w:tab/>
      </w:r>
      <w:r>
        <w:fldChar w:fldCharType="begin"/>
      </w:r>
      <w:r>
        <w:instrText xml:space="preserve"> PAGEREF _Toc202173192 \h </w:instrText>
      </w:r>
      <w:r>
        <w:fldChar w:fldCharType="separate"/>
      </w:r>
      <w:r>
        <w:t>56</w:t>
      </w:r>
      <w:r>
        <w:fldChar w:fldCharType="end"/>
      </w:r>
    </w:p>
    <w:p>
      <w:pPr>
        <w:pStyle w:val="TOC8"/>
        <w:rPr>
          <w:sz w:val="24"/>
          <w:szCs w:val="24"/>
        </w:rPr>
      </w:pPr>
      <w:r>
        <w:rPr>
          <w:szCs w:val="24"/>
        </w:rPr>
        <w:t>79</w:t>
      </w:r>
      <w:r>
        <w:rPr>
          <w:snapToGrid w:val="0"/>
          <w:szCs w:val="24"/>
        </w:rPr>
        <w:t>.</w:t>
      </w:r>
      <w:r>
        <w:rPr>
          <w:snapToGrid w:val="0"/>
          <w:szCs w:val="24"/>
        </w:rPr>
        <w:tab/>
        <w:t>References</w:t>
      </w:r>
      <w:r>
        <w:tab/>
      </w:r>
      <w:r>
        <w:fldChar w:fldCharType="begin"/>
      </w:r>
      <w:r>
        <w:instrText xml:space="preserve"> PAGEREF _Toc202173193 \h </w:instrText>
      </w:r>
      <w:r>
        <w:fldChar w:fldCharType="separate"/>
      </w:r>
      <w:r>
        <w:t>56</w:t>
      </w:r>
      <w:r>
        <w:fldChar w:fldCharType="end"/>
      </w:r>
    </w:p>
    <w:p>
      <w:pPr>
        <w:pStyle w:val="TOC8"/>
        <w:rPr>
          <w:sz w:val="24"/>
          <w:szCs w:val="24"/>
        </w:rPr>
      </w:pPr>
      <w:r>
        <w:rPr>
          <w:szCs w:val="24"/>
        </w:rPr>
        <w:t>80</w:t>
      </w:r>
      <w:r>
        <w:rPr>
          <w:snapToGrid w:val="0"/>
          <w:szCs w:val="24"/>
        </w:rPr>
        <w:t>.</w:t>
      </w:r>
      <w:r>
        <w:rPr>
          <w:snapToGrid w:val="0"/>
          <w:szCs w:val="24"/>
        </w:rPr>
        <w:tab/>
        <w:t>Construction</w:t>
      </w:r>
      <w:r>
        <w:tab/>
      </w:r>
      <w:r>
        <w:fldChar w:fldCharType="begin"/>
      </w:r>
      <w:r>
        <w:instrText xml:space="preserve"> PAGEREF _Toc202173194 \h </w:instrText>
      </w:r>
      <w:r>
        <w:fldChar w:fldCharType="separate"/>
      </w:r>
      <w:r>
        <w:t>56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_Toc202173196 \h </w:instrText>
      </w:r>
      <w:r>
        <w:fldChar w:fldCharType="separate"/>
      </w:r>
      <w:r>
        <w:t>57</w:t>
      </w:r>
      <w:r>
        <w:fldChar w:fldCharType="end"/>
      </w:r>
    </w:p>
    <w:p>
      <w:pPr>
        <w:pStyle w:val="TOC8"/>
        <w:rPr>
          <w:sz w:val="24"/>
        </w:rPr>
      </w:pPr>
      <w:r>
        <w:rPr>
          <w:snapToGrid w:val="0"/>
        </w:rPr>
        <w:tab/>
        <w:t>Provisions that have not come into operation</w:t>
      </w:r>
      <w:r>
        <w:tab/>
      </w:r>
      <w:r>
        <w:fldChar w:fldCharType="begin"/>
      </w:r>
      <w:r>
        <w:instrText xml:space="preserve"> PAGEREF _Toc202173197 \h </w:instrText>
      </w:r>
      <w:r>
        <w:fldChar w:fldCharType="separate"/>
      </w:r>
      <w:r>
        <w:t>59</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1200"/>
      </w:pPr>
      <w:r>
        <w:t xml:space="preserve">Housing Act 1980 </w:t>
      </w:r>
    </w:p>
    <w:p>
      <w:pPr>
        <w:pStyle w:val="LongTitle"/>
        <w:rPr>
          <w:snapToGrid w:val="0"/>
        </w:rPr>
      </w:pPr>
      <w:r>
        <w:rPr>
          <w:snapToGrid w:val="0"/>
        </w:rPr>
        <w:t xml:space="preserve">An Act relating to housing, to make better provision for housing and improving housing standards and conditions in the State, to encourage the use, development and redevelopment of land for housing and related purposes, to enable the carrying out of agreements and arrangements with respect to housing, to </w:t>
      </w:r>
      <w:r>
        <w:t>provide for the Housing Authority by merging the Government Employees’ Housing Authority into The State Housing Commission</w:t>
      </w:r>
      <w:r>
        <w:rPr>
          <w:snapToGrid w:val="0"/>
        </w:rPr>
        <w:t xml:space="preserve"> and for other purposes. </w:t>
      </w:r>
    </w:p>
    <w:p>
      <w:pPr>
        <w:pStyle w:val="Footnotelongtitle"/>
      </w:pPr>
      <w:r>
        <w:tab/>
        <w:t>[Long title amended by No. 28 of 2006 s. 310.]</w:t>
      </w:r>
    </w:p>
    <w:p>
      <w:pPr>
        <w:pStyle w:val="Heading2"/>
      </w:pPr>
      <w:bookmarkStart w:id="2" w:name="_Toc116712826"/>
      <w:bookmarkStart w:id="3" w:name="_Toc116811243"/>
      <w:bookmarkStart w:id="4" w:name="_Toc131396696"/>
      <w:bookmarkStart w:id="5" w:name="_Toc139275251"/>
      <w:bookmarkStart w:id="6" w:name="_Toc139691284"/>
      <w:bookmarkStart w:id="7" w:name="_Toc141767886"/>
      <w:bookmarkStart w:id="8" w:name="_Toc141770636"/>
      <w:bookmarkStart w:id="9" w:name="_Toc143395736"/>
      <w:bookmarkStart w:id="10" w:name="_Toc143568930"/>
      <w:bookmarkStart w:id="11" w:name="_Toc143569035"/>
      <w:bookmarkStart w:id="12" w:name="_Toc143592590"/>
      <w:bookmarkStart w:id="13" w:name="_Toc144543042"/>
      <w:bookmarkStart w:id="14" w:name="_Toc155597266"/>
      <w:bookmarkStart w:id="15" w:name="_Toc157914587"/>
      <w:bookmarkStart w:id="16" w:name="_Toc196124008"/>
      <w:bookmarkStart w:id="17" w:name="_Toc202173094"/>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417967443"/>
      <w:bookmarkStart w:id="19" w:name="_Toc519921893"/>
      <w:bookmarkStart w:id="20" w:name="_Toc131396697"/>
      <w:bookmarkStart w:id="21" w:name="_Toc202173095"/>
      <w:r>
        <w:rPr>
          <w:rStyle w:val="CharSectno"/>
        </w:rPr>
        <w:t>1</w:t>
      </w:r>
      <w:r>
        <w:rPr>
          <w:snapToGrid w:val="0"/>
        </w:rPr>
        <w:t>.</w:t>
      </w:r>
      <w:r>
        <w:rPr>
          <w:snapToGrid w:val="0"/>
        </w:rPr>
        <w:tab/>
        <w:t>Short title</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Housing Act 1980</w:t>
      </w:r>
      <w:r>
        <w:rPr>
          <w:snapToGrid w:val="0"/>
        </w:rPr>
        <w:t xml:space="preserve"> </w:t>
      </w:r>
      <w:r>
        <w:rPr>
          <w:snapToGrid w:val="0"/>
          <w:vertAlign w:val="superscript"/>
        </w:rPr>
        <w:t>1</w:t>
      </w:r>
      <w:r>
        <w:rPr>
          <w:snapToGrid w:val="0"/>
        </w:rPr>
        <w:t>.</w:t>
      </w:r>
    </w:p>
    <w:p>
      <w:pPr>
        <w:pStyle w:val="Heading5"/>
        <w:rPr>
          <w:snapToGrid w:val="0"/>
        </w:rPr>
      </w:pPr>
      <w:bookmarkStart w:id="22" w:name="_Toc417967444"/>
      <w:bookmarkStart w:id="23" w:name="_Toc519921894"/>
      <w:bookmarkStart w:id="24" w:name="_Toc131396698"/>
      <w:bookmarkStart w:id="25" w:name="_Toc202173096"/>
      <w:r>
        <w:rPr>
          <w:rStyle w:val="CharSectno"/>
        </w:rPr>
        <w:t>2</w:t>
      </w:r>
      <w:r>
        <w:rPr>
          <w:snapToGrid w:val="0"/>
        </w:rPr>
        <w:t>.</w:t>
      </w:r>
      <w:r>
        <w:rPr>
          <w:snapToGrid w:val="0"/>
        </w:rPr>
        <w:tab/>
        <w:t>Commencement</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26" w:name="_Toc417967445"/>
      <w:bookmarkStart w:id="27" w:name="_Toc519921895"/>
      <w:bookmarkStart w:id="28" w:name="_Toc131396699"/>
      <w:bookmarkStart w:id="29" w:name="_Toc202173097"/>
      <w:r>
        <w:rPr>
          <w:rStyle w:val="CharSectno"/>
        </w:rPr>
        <w:t>3</w:t>
      </w:r>
      <w:r>
        <w:rPr>
          <w:snapToGrid w:val="0"/>
        </w:rPr>
        <w:t>.</w:t>
      </w:r>
      <w:r>
        <w:rPr>
          <w:snapToGrid w:val="0"/>
        </w:rPr>
        <w:tab/>
        <w:t>Repeal</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The </w:t>
      </w:r>
      <w:r>
        <w:rPr>
          <w:i/>
          <w:snapToGrid w:val="0"/>
        </w:rPr>
        <w:t>State Housing Act 1946</w:t>
      </w:r>
      <w:r>
        <w:rPr>
          <w:snapToGrid w:val="0"/>
        </w:rPr>
        <w:t xml:space="preserve"> is hereby repealed.</w:t>
      </w:r>
    </w:p>
    <w:p>
      <w:pPr>
        <w:pStyle w:val="Heading5"/>
        <w:rPr>
          <w:snapToGrid w:val="0"/>
        </w:rPr>
      </w:pPr>
      <w:bookmarkStart w:id="30" w:name="_Toc417967446"/>
      <w:bookmarkStart w:id="31" w:name="_Toc519921896"/>
      <w:bookmarkStart w:id="32" w:name="_Toc131396700"/>
      <w:bookmarkStart w:id="33" w:name="_Toc202173098"/>
      <w:r>
        <w:rPr>
          <w:rStyle w:val="CharSectno"/>
        </w:rPr>
        <w:t>4</w:t>
      </w:r>
      <w:r>
        <w:rPr>
          <w:snapToGrid w:val="0"/>
        </w:rPr>
        <w:t>.</w:t>
      </w:r>
      <w:r>
        <w:rPr>
          <w:snapToGrid w:val="0"/>
        </w:rPr>
        <w:tab/>
        <w:t>Objects</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the improvement of existing housing conditions;</w:t>
      </w:r>
    </w:p>
    <w:p>
      <w:pPr>
        <w:pStyle w:val="Indenta"/>
        <w:rPr>
          <w:snapToGrid w:val="0"/>
        </w:rPr>
      </w:pPr>
      <w:r>
        <w:rPr>
          <w:snapToGrid w:val="0"/>
        </w:rPr>
        <w:tab/>
        <w:t>(b)</w:t>
      </w:r>
      <w:r>
        <w:rPr>
          <w:snapToGrid w:val="0"/>
        </w:rPr>
        <w:tab/>
        <w:t>the provision of housing and land for housing;</w:t>
      </w:r>
    </w:p>
    <w:p>
      <w:pPr>
        <w:pStyle w:val="Indenta"/>
        <w:rPr>
          <w:snapToGrid w:val="0"/>
        </w:rPr>
      </w:pPr>
      <w:r>
        <w:rPr>
          <w:snapToGrid w:val="0"/>
        </w:rPr>
        <w:tab/>
        <w:t>(c)</w:t>
      </w:r>
      <w:r>
        <w:rPr>
          <w:snapToGrid w:val="0"/>
        </w:rPr>
        <w:tab/>
        <w:t>the provision of assistance to enable persons to obtain accommodation or improve the standard of their accommodation;</w:t>
      </w:r>
    </w:p>
    <w:p>
      <w:pPr>
        <w:pStyle w:val="Indenta"/>
        <w:rPr>
          <w:snapToGrid w:val="0"/>
        </w:rPr>
      </w:pPr>
      <w:r>
        <w:rPr>
          <w:snapToGrid w:val="0"/>
        </w:rPr>
        <w:tab/>
        <w:t>(d)</w:t>
      </w:r>
      <w:r>
        <w:rPr>
          <w:snapToGrid w:val="0"/>
        </w:rPr>
        <w:tab/>
        <w:t>the encouragement of the development and redevelopment of land for housing and related purposes;</w:t>
      </w:r>
    </w:p>
    <w:p>
      <w:pPr>
        <w:pStyle w:val="Indenta"/>
        <w:rPr>
          <w:snapToGrid w:val="0"/>
        </w:rPr>
      </w:pPr>
      <w:r>
        <w:rPr>
          <w:snapToGrid w:val="0"/>
        </w:rPr>
        <w:tab/>
        <w:t>(e)</w:t>
      </w:r>
      <w:r>
        <w:rPr>
          <w:snapToGrid w:val="0"/>
        </w:rPr>
        <w:tab/>
        <w:t>the carrying into effect of agreements and arrangements entered into with the Commonwealth with respect to housing.</w:t>
      </w:r>
    </w:p>
    <w:p>
      <w:pPr>
        <w:pStyle w:val="Heading5"/>
        <w:rPr>
          <w:snapToGrid w:val="0"/>
        </w:rPr>
      </w:pPr>
      <w:bookmarkStart w:id="34" w:name="_Toc417967447"/>
      <w:bookmarkStart w:id="35" w:name="_Toc519921897"/>
      <w:bookmarkStart w:id="36" w:name="_Toc131396701"/>
      <w:bookmarkStart w:id="37" w:name="_Toc202173099"/>
      <w:r>
        <w:rPr>
          <w:rStyle w:val="CharSectno"/>
        </w:rPr>
        <w:t>5</w:t>
      </w:r>
      <w:r>
        <w:rPr>
          <w:snapToGrid w:val="0"/>
        </w:rPr>
        <w:t>.</w:t>
      </w:r>
      <w:r>
        <w:rPr>
          <w:snapToGrid w:val="0"/>
        </w:rPr>
        <w:tab/>
        <w:t>Interpretation</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Indenta"/>
        <w:tabs>
          <w:tab w:val="clear" w:pos="1616"/>
          <w:tab w:val="left" w:pos="1680"/>
        </w:tabs>
        <w:ind w:left="1708" w:hanging="1708"/>
      </w:pPr>
      <w:r>
        <w:tab/>
        <w:t>(a)</w:t>
      </w:r>
      <w:r>
        <w:rPr>
          <w:b/>
        </w:rPr>
        <w:tab/>
      </w:r>
      <w:r>
        <w:rPr>
          <w:rStyle w:val="CharDefText"/>
        </w:rPr>
        <w:t>approved form</w:t>
      </w:r>
      <w:r>
        <w:t xml:space="preserve"> means a form approved by the Minister;</w:t>
      </w:r>
    </w:p>
    <w:p>
      <w:pPr>
        <w:pStyle w:val="MiscellaneousBody"/>
        <w:tabs>
          <w:tab w:val="left" w:pos="1680"/>
        </w:tabs>
        <w:spacing w:before="80"/>
        <w:ind w:left="1708" w:hanging="1708"/>
      </w:pPr>
      <w:r>
        <w:rPr>
          <w:b/>
        </w:rPr>
        <w:tab/>
      </w:r>
      <w:r>
        <w:rPr>
          <w:rStyle w:val="CharDefText"/>
        </w:rPr>
        <w:t>Authority</w:t>
      </w:r>
      <w:r>
        <w:t xml:space="preserve"> means the Housing Authority referred to in section 6(4);</w:t>
      </w:r>
    </w:p>
    <w:p>
      <w:pPr>
        <w:pStyle w:val="MiscellaneousBody"/>
        <w:tabs>
          <w:tab w:val="left" w:pos="1680"/>
        </w:tabs>
        <w:spacing w:before="80"/>
        <w:ind w:left="1708" w:hanging="1708"/>
      </w:pPr>
      <w:r>
        <w:rPr>
          <w:b/>
        </w:rPr>
        <w:tab/>
      </w:r>
      <w:r>
        <w:rPr>
          <w:rStyle w:val="CharDefText"/>
        </w:rPr>
        <w:t>house</w:t>
      </w:r>
      <w:r>
        <w:t xml:space="preserve"> means any building (including any single, attached or multi</w:t>
      </w:r>
      <w:r>
        <w:noBreakHyphen/>
        <w:t>storey dwelling unit, tent, edifice,</w:t>
      </w:r>
      <w:r>
        <w:rPr>
          <w:spacing w:val="-4"/>
        </w:rPr>
        <w:t xml:space="preserve"> </w:t>
      </w:r>
      <w:r>
        <w:t>structure or erection (whether temporary or permanent)) or any part thereof which or any part of which has been used or is used or is intended to be used as a dwelling, and includes outbuildings, fences, walls and permanent provision for lighting, heating, water supply, drainage and sewerage and other appurtenances of a house, and any shop, or business premises being a portion of or attached to a house;</w:t>
      </w:r>
    </w:p>
    <w:p>
      <w:pPr>
        <w:pStyle w:val="MiscellaneousBody"/>
        <w:tabs>
          <w:tab w:val="left" w:pos="1680"/>
        </w:tabs>
        <w:spacing w:before="80"/>
        <w:ind w:left="1708" w:hanging="1708"/>
      </w:pPr>
      <w:r>
        <w:rPr>
          <w:b/>
        </w:rPr>
        <w:tab/>
      </w:r>
      <w:r>
        <w:rPr>
          <w:rStyle w:val="CharDefText"/>
        </w:rPr>
        <w:t>land</w:t>
      </w:r>
      <w:r>
        <w:t xml:space="preserve"> includes any estate or interest in land and any easement, right or privilege in, over or affecting land and any building or other structure or improvements on land;</w:t>
      </w:r>
    </w:p>
    <w:p>
      <w:pPr>
        <w:pStyle w:val="MiscellaneousBody"/>
        <w:tabs>
          <w:tab w:val="left" w:pos="1680"/>
        </w:tabs>
        <w:spacing w:before="80"/>
        <w:ind w:left="1708" w:hanging="1708"/>
      </w:pPr>
      <w:r>
        <w:rPr>
          <w:b/>
        </w:rPr>
        <w:tab/>
      </w:r>
      <w:r>
        <w:rPr>
          <w:rStyle w:val="CharDefText"/>
        </w:rPr>
        <w:t>loan</w:t>
      </w:r>
      <w:r>
        <w:t xml:space="preserve"> includes a part of a loan;</w:t>
      </w:r>
    </w:p>
    <w:p>
      <w:pPr>
        <w:pStyle w:val="MiscellaneousBody"/>
        <w:tabs>
          <w:tab w:val="left" w:pos="1680"/>
        </w:tabs>
        <w:spacing w:before="80"/>
        <w:ind w:left="1708" w:hanging="1708"/>
      </w:pPr>
      <w:r>
        <w:rPr>
          <w:b/>
        </w:rPr>
        <w:tab/>
      </w:r>
      <w:r>
        <w:rPr>
          <w:rStyle w:val="CharDefText"/>
        </w:rPr>
        <w:t>local government</w:t>
      </w:r>
      <w:r>
        <w:t xml:space="preserve"> means a local government or a person exercising the powers of a local government under the </w:t>
      </w:r>
      <w:r>
        <w:rPr>
          <w:i/>
        </w:rPr>
        <w:t>Health Act 1911</w:t>
      </w:r>
      <w:r>
        <w:t>;</w:t>
      </w:r>
    </w:p>
    <w:p>
      <w:pPr>
        <w:pStyle w:val="MiscellaneousBody"/>
        <w:tabs>
          <w:tab w:val="left" w:pos="1680"/>
        </w:tabs>
        <w:spacing w:before="80"/>
        <w:ind w:left="1708" w:hanging="1708"/>
      </w:pPr>
      <w:r>
        <w:rPr>
          <w:b/>
        </w:rPr>
        <w:tab/>
      </w:r>
      <w:r>
        <w:rPr>
          <w:rStyle w:val="CharDefText"/>
        </w:rPr>
        <w:t>mortgage</w:t>
      </w:r>
      <w:r>
        <w:t xml:space="preserve"> means any deed, memorandum of mortgage, instrument or agreement whereby security for repayment of advances or payment of moneys together with interest (if any) thereon, is made in favour of the Authority over real or personal property or any estate or interest therein;</w:t>
      </w:r>
    </w:p>
    <w:p>
      <w:pPr>
        <w:pStyle w:val="MiscellaneousBody"/>
        <w:tabs>
          <w:tab w:val="left" w:pos="1680"/>
        </w:tabs>
        <w:spacing w:before="80"/>
        <w:ind w:left="1708" w:hanging="1708"/>
      </w:pPr>
      <w:r>
        <w:rPr>
          <w:b/>
        </w:rPr>
        <w:tab/>
      </w:r>
      <w:r>
        <w:rPr>
          <w:rStyle w:val="CharDefText"/>
        </w:rPr>
        <w:t>officer of the Authority</w:t>
      </w:r>
      <w:r>
        <w:t xml:space="preserve"> means — </w:t>
      </w:r>
    </w:p>
    <w:p>
      <w:pPr>
        <w:pStyle w:val="MiscellaneousBody"/>
        <w:tabs>
          <w:tab w:val="left" w:pos="1708"/>
          <w:tab w:val="left" w:pos="2280"/>
        </w:tabs>
        <w:spacing w:before="80"/>
        <w:ind w:left="2296" w:hanging="2296"/>
      </w:pPr>
      <w:r>
        <w:tab/>
        <w:t>(a)</w:t>
      </w:r>
      <w:r>
        <w:tab/>
        <w:t>the chief executive officer of the Authority;</w:t>
      </w:r>
    </w:p>
    <w:p>
      <w:pPr>
        <w:pStyle w:val="MiscellaneousBody"/>
        <w:tabs>
          <w:tab w:val="left" w:pos="1708"/>
          <w:tab w:val="left" w:pos="2280"/>
        </w:tabs>
        <w:spacing w:before="80"/>
        <w:ind w:left="2296" w:hanging="2296"/>
      </w:pPr>
      <w:r>
        <w:tab/>
        <w:t>(b)</w:t>
      </w:r>
      <w:r>
        <w:tab/>
        <w:t>an officer referred to in section 17(b); and</w:t>
      </w:r>
    </w:p>
    <w:p>
      <w:pPr>
        <w:pStyle w:val="MiscellaneousBody"/>
        <w:tabs>
          <w:tab w:val="left" w:pos="1708"/>
          <w:tab w:val="left" w:pos="2280"/>
        </w:tabs>
        <w:spacing w:before="80"/>
        <w:ind w:left="2296" w:hanging="2296"/>
      </w:pPr>
      <w:r>
        <w:tab/>
        <w:t>(c)</w:t>
      </w:r>
      <w:r>
        <w:tab/>
        <w:t>an officer or employee referred to in section 18A(1) whose services the Authority is making use of;</w:t>
      </w:r>
    </w:p>
    <w:p>
      <w:pPr>
        <w:pStyle w:val="MiscellaneousBody"/>
        <w:tabs>
          <w:tab w:val="left" w:pos="1680"/>
        </w:tabs>
        <w:spacing w:before="80"/>
        <w:ind w:left="1708" w:hanging="1708"/>
      </w:pPr>
      <w:r>
        <w:rPr>
          <w:b/>
        </w:rPr>
        <w:tab/>
      </w:r>
      <w:r>
        <w:rPr>
          <w:rStyle w:val="CharDefText"/>
        </w:rPr>
        <w:t>owner</w:t>
      </w:r>
      <w:r>
        <w:t xml:space="preserve"> in relation to land means the person for the time being entitled to receive the rent of the land or premises in connection with which the word is used (whether on his own account or as the agent of or trustee for any other person) or who would be entitled to receive the rent if the land or premises were let at a rent and includes the person who is purchasing land on terms or deferred payments;</w:t>
      </w:r>
    </w:p>
    <w:p>
      <w:pPr>
        <w:pStyle w:val="MiscellaneousBody"/>
        <w:tabs>
          <w:tab w:val="left" w:pos="1680"/>
        </w:tabs>
        <w:spacing w:before="80"/>
        <w:ind w:left="1708" w:hanging="1708"/>
      </w:pPr>
      <w:r>
        <w:rPr>
          <w:b/>
        </w:rPr>
        <w:tab/>
      </w:r>
      <w:r>
        <w:rPr>
          <w:rStyle w:val="CharDefText"/>
        </w:rPr>
        <w:t>public authority</w:t>
      </w:r>
      <w:r>
        <w:t xml:space="preserve"> means a department, instrumentality or agency of the Crown in right of the State or the Commonwealth, a local government and any other person or body, whether corporate or not, who or which under the authority of any Act is charged with the carrying out of any duty whilst acting in the discharge of that duty;</w:t>
      </w:r>
    </w:p>
    <w:p>
      <w:pPr>
        <w:pStyle w:val="MiscellaneousBody"/>
        <w:tabs>
          <w:tab w:val="left" w:pos="1680"/>
        </w:tabs>
        <w:spacing w:before="80"/>
        <w:ind w:left="1708" w:hanging="1708"/>
      </w:pPr>
      <w:r>
        <w:rPr>
          <w:b/>
        </w:rPr>
        <w:tab/>
      </w:r>
      <w:r>
        <w:rPr>
          <w:rStyle w:val="CharDefText"/>
        </w:rPr>
        <w:t>purchase</w:t>
      </w:r>
      <w:r>
        <w:t xml:space="preserve"> includes to acquire by way of exchange;</w:t>
      </w:r>
    </w:p>
    <w:p>
      <w:pPr>
        <w:pStyle w:val="MiscellaneousBody"/>
        <w:tabs>
          <w:tab w:val="left" w:pos="1680"/>
        </w:tabs>
        <w:spacing w:before="80"/>
        <w:ind w:left="1708" w:hanging="1708"/>
      </w:pPr>
      <w:r>
        <w:rPr>
          <w:b/>
        </w:rPr>
        <w:tab/>
      </w:r>
      <w:r>
        <w:rPr>
          <w:rStyle w:val="CharDefText"/>
        </w:rPr>
        <w:t>section</w:t>
      </w:r>
      <w:r>
        <w:t xml:space="preserve"> means section of this Act;</w:t>
      </w:r>
    </w:p>
    <w:p>
      <w:pPr>
        <w:pStyle w:val="MiscellaneousBody"/>
        <w:tabs>
          <w:tab w:val="left" w:pos="1680"/>
        </w:tabs>
        <w:spacing w:before="80"/>
        <w:ind w:left="1708" w:hanging="1708"/>
      </w:pPr>
      <w:r>
        <w:rPr>
          <w:b/>
        </w:rPr>
        <w:tab/>
      </w:r>
      <w:r>
        <w:rPr>
          <w:rStyle w:val="CharDefText"/>
        </w:rPr>
        <w:t>sell</w:t>
      </w:r>
      <w:r>
        <w:t xml:space="preserve"> includes to dispose of by way of exchange;</w:t>
      </w:r>
    </w:p>
    <w:p>
      <w:pPr>
        <w:pStyle w:val="MiscellaneousBody"/>
        <w:tabs>
          <w:tab w:val="left" w:pos="1680"/>
        </w:tabs>
        <w:spacing w:before="80"/>
        <w:ind w:left="1708" w:hanging="1708"/>
      </w:pPr>
      <w:r>
        <w:rPr>
          <w:b/>
        </w:rPr>
        <w:tab/>
      </w:r>
      <w:r>
        <w:rPr>
          <w:rStyle w:val="CharDefText"/>
        </w:rPr>
        <w:t>street</w:t>
      </w:r>
      <w:r>
        <w:t xml:space="preserve"> includes any street, road, footway, square, court, alley or right of way whether a thoroughfare or not;</w:t>
      </w:r>
    </w:p>
    <w:p>
      <w:pPr>
        <w:pStyle w:val="MiscellaneousBody"/>
        <w:tabs>
          <w:tab w:val="left" w:pos="1680"/>
        </w:tabs>
        <w:spacing w:before="80"/>
        <w:ind w:left="1708" w:hanging="1708"/>
      </w:pPr>
      <w:r>
        <w:rPr>
          <w:b/>
        </w:rPr>
        <w:tab/>
      </w:r>
      <w:r>
        <w:rPr>
          <w:rStyle w:val="CharDefText"/>
        </w:rPr>
        <w:t>subsection</w:t>
      </w:r>
      <w:r>
        <w:t xml:space="preserve"> means subsection of the section in which the term is used;</w:t>
      </w:r>
    </w:p>
    <w:p>
      <w:pPr>
        <w:pStyle w:val="MiscellaneousBody"/>
        <w:tabs>
          <w:tab w:val="left" w:pos="1680"/>
        </w:tabs>
        <w:spacing w:before="80"/>
        <w:ind w:left="1708" w:hanging="1708"/>
      </w:pPr>
      <w:r>
        <w:rPr>
          <w:b/>
        </w:rPr>
        <w:tab/>
      </w:r>
      <w:r>
        <w:rPr>
          <w:rStyle w:val="CharDefText"/>
        </w:rPr>
        <w:t>tenancy agreement</w:t>
      </w:r>
      <w:r>
        <w:t xml:space="preserve"> includes a lease or agreement to lease, and includes any instrument under which any person derives title under the original tenant;</w:t>
      </w:r>
    </w:p>
    <w:p>
      <w:pPr>
        <w:pStyle w:val="MiscellaneousBody"/>
        <w:tabs>
          <w:tab w:val="left" w:pos="1680"/>
        </w:tabs>
        <w:spacing w:before="80"/>
        <w:ind w:left="1708" w:hanging="1708"/>
      </w:pPr>
      <w:r>
        <w:rPr>
          <w:b/>
        </w:rPr>
        <w:tab/>
      </w:r>
      <w:r>
        <w:rPr>
          <w:rStyle w:val="CharDefText"/>
        </w:rPr>
        <w:t>tenant</w:t>
      </w:r>
      <w:r>
        <w:t xml:space="preserve"> includes lessee, and includes any person deriving title under the original tenant;</w:t>
      </w:r>
    </w:p>
    <w:p>
      <w:pPr>
        <w:pStyle w:val="MiscellaneousBody"/>
        <w:tabs>
          <w:tab w:val="left" w:pos="1680"/>
        </w:tabs>
        <w:spacing w:before="80"/>
        <w:ind w:left="1708" w:hanging="1708"/>
      </w:pPr>
      <w:r>
        <w:rPr>
          <w:b/>
        </w:rPr>
        <w:tab/>
      </w:r>
      <w:r>
        <w:rPr>
          <w:rStyle w:val="CharDefText"/>
        </w:rPr>
        <w:t>the Account</w:t>
      </w:r>
      <w:r>
        <w:t xml:space="preserve"> means The State Housing Commission Account referred to in section 62;</w:t>
      </w:r>
    </w:p>
    <w:p>
      <w:pPr>
        <w:pStyle w:val="MiscellaneousBody"/>
        <w:tabs>
          <w:tab w:val="left" w:pos="1680"/>
        </w:tabs>
        <w:spacing w:before="80"/>
        <w:ind w:left="1708" w:hanging="1708"/>
      </w:pPr>
      <w:r>
        <w:rPr>
          <w:b/>
        </w:rPr>
        <w:tab/>
      </w:r>
      <w:r>
        <w:rPr>
          <w:rStyle w:val="CharDefText"/>
        </w:rPr>
        <w:t>the repealed Act</w:t>
      </w:r>
      <w:r>
        <w:t xml:space="preserve"> means the Act repealed by section 3;</w:t>
      </w:r>
    </w:p>
    <w:p>
      <w:pPr>
        <w:pStyle w:val="MiscellaneousBody"/>
        <w:tabs>
          <w:tab w:val="left" w:pos="1680"/>
        </w:tabs>
        <w:spacing w:before="80"/>
        <w:ind w:left="1708" w:hanging="1708"/>
      </w:pPr>
      <w:r>
        <w:rPr>
          <w:b/>
        </w:rPr>
        <w:tab/>
      </w:r>
      <w:r>
        <w:rPr>
          <w:rStyle w:val="CharDefText"/>
        </w:rPr>
        <w:t>Treasurer</w:t>
      </w:r>
      <w:r>
        <w:t xml:space="preserve"> means Treasurer of the State;</w:t>
      </w:r>
    </w:p>
    <w:p>
      <w:pPr>
        <w:pStyle w:val="Indenta"/>
      </w:pPr>
      <w:r>
        <w:tab/>
        <w:t>(b)</w:t>
      </w:r>
      <w:r>
        <w:tab/>
        <w:t>a reference to the erection of a house or other building includes a reference to the conversion or modification of an existing building;</w:t>
      </w:r>
    </w:p>
    <w:p>
      <w:pPr>
        <w:pStyle w:val="Indenta"/>
      </w:pPr>
      <w:r>
        <w:tab/>
        <w:t>(c)</w:t>
      </w:r>
      <w:r>
        <w:tab/>
        <w:t>a reference to the family of a person is a reference to the spouse, de facto partner and children of, and the parents or other relatives dependent upon, that person;</w:t>
      </w:r>
    </w:p>
    <w:p>
      <w:pPr>
        <w:pStyle w:val="Indenta"/>
      </w:pPr>
      <w:r>
        <w:tab/>
        <w:t>(d)</w:t>
      </w:r>
      <w:r>
        <w:tab/>
        <w:t>a reference to land held by the Authority is a reference to any land — </w:t>
      </w:r>
    </w:p>
    <w:p>
      <w:pPr>
        <w:pStyle w:val="Indenti"/>
      </w:pPr>
      <w:r>
        <w:tab/>
        <w:t>(i)</w:t>
      </w:r>
      <w:r>
        <w:tab/>
        <w:t>vested in or granted to the Authority;</w:t>
      </w:r>
    </w:p>
    <w:p>
      <w:pPr>
        <w:pStyle w:val="Indenti"/>
      </w:pPr>
      <w:r>
        <w:tab/>
        <w:t>(ii)</w:t>
      </w:r>
      <w:r>
        <w:tab/>
        <w:t>reserved for the use and requirements of the Authority or for the purposes of this Act;</w:t>
      </w:r>
    </w:p>
    <w:p>
      <w:pPr>
        <w:pStyle w:val="Indenti"/>
      </w:pPr>
      <w:r>
        <w:tab/>
        <w:t>(iii)</w:t>
      </w:r>
      <w:r>
        <w:tab/>
        <w:t>purchased or otherwise acquired by the Authority; or</w:t>
      </w:r>
    </w:p>
    <w:p>
      <w:pPr>
        <w:pStyle w:val="Indenti"/>
      </w:pPr>
      <w:r>
        <w:tab/>
        <w:t>(iv)</w:t>
      </w:r>
      <w:r>
        <w:tab/>
        <w:t>donated, given, devised or bequeathed to the Authority;</w:t>
      </w:r>
    </w:p>
    <w:p>
      <w:pPr>
        <w:pStyle w:val="Indenta"/>
      </w:pPr>
      <w:r>
        <w:tab/>
        <w:t>(e)</w:t>
      </w:r>
      <w:r>
        <w:tab/>
        <w:t>a reference to a house or other building held by the Authority is a reference to a house or other building situated on land held by the Authority.</w:t>
      </w:r>
    </w:p>
    <w:p>
      <w:pPr>
        <w:pStyle w:val="Subsection"/>
        <w:rPr>
          <w:snapToGrid w:val="0"/>
        </w:rPr>
      </w:pPr>
      <w:r>
        <w:rPr>
          <w:snapToGrid w:val="0"/>
        </w:rPr>
        <w:tab/>
        <w:t>(2)</w:t>
      </w:r>
      <w:r>
        <w:rPr>
          <w:snapToGrid w:val="0"/>
        </w:rPr>
        <w:tab/>
        <w:t xml:space="preserve">A reference in a provision of this Act to an </w:t>
      </w:r>
      <w:r>
        <w:rPr>
          <w:rStyle w:val="CharDefText"/>
        </w:rPr>
        <w:t>eligible person</w:t>
      </w:r>
      <w:r>
        <w:rPr>
          <w:snapToGrid w:val="0"/>
        </w:rPr>
        <w:t xml:space="preserve"> is a reference to a person who satisfies the conditions of eligibility from time to time determined by the </w:t>
      </w:r>
      <w:r>
        <w:t xml:space="preserve">Authority </w:t>
      </w:r>
      <w:r>
        <w:rPr>
          <w:snapToGrid w:val="0"/>
        </w:rPr>
        <w:t>and approved by the Minister for the purposes of that provision.</w:t>
      </w:r>
    </w:p>
    <w:p>
      <w:pPr>
        <w:pStyle w:val="Subsection"/>
        <w:rPr>
          <w:snapToGrid w:val="0"/>
        </w:rPr>
      </w:pPr>
      <w:r>
        <w:rPr>
          <w:snapToGrid w:val="0"/>
        </w:rPr>
        <w:tab/>
        <w:t>(3)</w:t>
      </w:r>
      <w:r>
        <w:rPr>
          <w:snapToGrid w:val="0"/>
        </w:rPr>
        <w:tab/>
        <w:t>The conditions of eligibility mentioned in subsection (2) shall be determined and approved by reference to income criteria and, without limiting the generality of the foregoing, may provide for the incomes of more than one member of a household to be taken into consideration.</w:t>
      </w:r>
    </w:p>
    <w:p>
      <w:pPr>
        <w:pStyle w:val="Footnotesection"/>
      </w:pPr>
      <w:r>
        <w:tab/>
        <w:t xml:space="preserve">[Section 5 amended by No. 14 of 1996 s. 4; No. 28 of 2003 s. 84; No. 28 of 2006 s. 311 and 332; No. 77 of 2006 s. 17.] </w:t>
      </w:r>
    </w:p>
    <w:p>
      <w:pPr>
        <w:pStyle w:val="Heading2"/>
      </w:pPr>
      <w:bookmarkStart w:id="38" w:name="_Toc116712832"/>
      <w:bookmarkStart w:id="39" w:name="_Toc116811249"/>
      <w:bookmarkStart w:id="40" w:name="_Toc131396702"/>
      <w:bookmarkStart w:id="41" w:name="_Toc139275257"/>
      <w:bookmarkStart w:id="42" w:name="_Toc139691290"/>
      <w:bookmarkStart w:id="43" w:name="_Toc141767892"/>
      <w:bookmarkStart w:id="44" w:name="_Toc141770642"/>
      <w:bookmarkStart w:id="45" w:name="_Toc143395742"/>
      <w:bookmarkStart w:id="46" w:name="_Toc143568936"/>
      <w:bookmarkStart w:id="47" w:name="_Toc143569041"/>
      <w:bookmarkStart w:id="48" w:name="_Toc143592596"/>
      <w:bookmarkStart w:id="49" w:name="_Toc144543048"/>
      <w:bookmarkStart w:id="50" w:name="_Toc155597272"/>
      <w:bookmarkStart w:id="51" w:name="_Toc157914593"/>
      <w:bookmarkStart w:id="52" w:name="_Toc196124014"/>
      <w:bookmarkStart w:id="53" w:name="_Toc202173100"/>
      <w:r>
        <w:rPr>
          <w:rStyle w:val="CharPartNo"/>
        </w:rPr>
        <w:t>Part II</w:t>
      </w:r>
      <w:r>
        <w:t> — </w:t>
      </w:r>
      <w:r>
        <w:rPr>
          <w:rStyle w:val="CharPartText"/>
        </w:rPr>
        <w:t xml:space="preserve">The State Housing </w:t>
      </w:r>
      <w:bookmarkEnd w:id="38"/>
      <w:bookmarkEnd w:id="39"/>
      <w:bookmarkEnd w:id="40"/>
      <w:r>
        <w:rPr>
          <w:rStyle w:val="CharPartText"/>
        </w:rPr>
        <w:t>Authority</w:t>
      </w:r>
      <w:bookmarkEnd w:id="41"/>
      <w:bookmarkEnd w:id="42"/>
      <w:bookmarkEnd w:id="43"/>
      <w:bookmarkEnd w:id="44"/>
      <w:bookmarkEnd w:id="45"/>
      <w:bookmarkEnd w:id="46"/>
      <w:bookmarkEnd w:id="47"/>
      <w:bookmarkEnd w:id="48"/>
      <w:bookmarkEnd w:id="49"/>
      <w:bookmarkEnd w:id="50"/>
      <w:bookmarkEnd w:id="51"/>
      <w:bookmarkEnd w:id="52"/>
      <w:bookmarkEnd w:id="53"/>
    </w:p>
    <w:p>
      <w:pPr>
        <w:pStyle w:val="Footnoteheading"/>
      </w:pPr>
      <w:r>
        <w:tab/>
        <w:t>[Heading amended by No. 28 of 2006 s. 312.]</w:t>
      </w:r>
    </w:p>
    <w:p>
      <w:pPr>
        <w:pStyle w:val="Heading3"/>
      </w:pPr>
      <w:bookmarkStart w:id="54" w:name="_Toc138750432"/>
      <w:bookmarkStart w:id="55" w:name="_Toc138751117"/>
      <w:bookmarkStart w:id="56" w:name="_Toc139166858"/>
      <w:bookmarkStart w:id="57" w:name="_Toc139275259"/>
      <w:bookmarkStart w:id="58" w:name="_Toc139691291"/>
      <w:bookmarkStart w:id="59" w:name="_Toc141767893"/>
      <w:bookmarkStart w:id="60" w:name="_Toc141770643"/>
      <w:bookmarkStart w:id="61" w:name="_Toc143395743"/>
      <w:bookmarkStart w:id="62" w:name="_Toc143568937"/>
      <w:bookmarkStart w:id="63" w:name="_Toc143569042"/>
      <w:bookmarkStart w:id="64" w:name="_Toc143592597"/>
      <w:bookmarkStart w:id="65" w:name="_Toc144543049"/>
      <w:bookmarkStart w:id="66" w:name="_Toc155597273"/>
      <w:bookmarkStart w:id="67" w:name="_Toc157914594"/>
      <w:bookmarkStart w:id="68" w:name="_Toc196124015"/>
      <w:bookmarkStart w:id="69" w:name="_Toc202173101"/>
      <w:bookmarkStart w:id="70" w:name="_Toc417967448"/>
      <w:bookmarkStart w:id="71" w:name="_Toc519921898"/>
      <w:bookmarkStart w:id="72" w:name="_Toc131396704"/>
      <w:r>
        <w:rPr>
          <w:rStyle w:val="CharDivNo"/>
        </w:rPr>
        <w:t>Division 1</w:t>
      </w:r>
      <w:r>
        <w:t> — </w:t>
      </w:r>
      <w:r>
        <w:rPr>
          <w:rStyle w:val="CharDivText"/>
        </w:rPr>
        <w:t>The Housing Authority</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Footnoteheading"/>
      </w:pPr>
      <w:r>
        <w:tab/>
        <w:t>[Heading inserted by No. 28 of 2006 s. 313.]</w:t>
      </w:r>
    </w:p>
    <w:p>
      <w:pPr>
        <w:pStyle w:val="Heading5"/>
        <w:ind w:left="0" w:firstLine="0"/>
        <w:rPr>
          <w:snapToGrid w:val="0"/>
        </w:rPr>
      </w:pPr>
      <w:bookmarkStart w:id="73" w:name="_Toc202173102"/>
      <w:r>
        <w:rPr>
          <w:rStyle w:val="CharSectno"/>
        </w:rPr>
        <w:t>6</w:t>
      </w:r>
      <w:r>
        <w:rPr>
          <w:snapToGrid w:val="0"/>
        </w:rPr>
        <w:t>.</w:t>
      </w:r>
      <w:r>
        <w:rPr>
          <w:snapToGrid w:val="0"/>
        </w:rPr>
        <w:tab/>
      </w:r>
      <w:bookmarkEnd w:id="70"/>
      <w:bookmarkEnd w:id="71"/>
      <w:bookmarkEnd w:id="72"/>
      <w:r>
        <w:rPr>
          <w:snapToGrid w:val="0"/>
        </w:rPr>
        <w:t>The Housing Authority</w:t>
      </w:r>
      <w:bookmarkEnd w:id="73"/>
    </w:p>
    <w:p>
      <w:pPr>
        <w:pStyle w:val="Subsection"/>
        <w:rPr>
          <w:snapToGrid w:val="0"/>
        </w:rPr>
      </w:pPr>
      <w:r>
        <w:rPr>
          <w:snapToGrid w:val="0"/>
        </w:rPr>
        <w:tab/>
        <w:t>(1)</w:t>
      </w:r>
      <w:r>
        <w:rPr>
          <w:snapToGrid w:val="0"/>
        </w:rPr>
        <w:tab/>
        <w:t>The body corporate constituted under the repealed Act by the name “The State Housing</w:t>
      </w:r>
      <w:r>
        <w:t xml:space="preserve"> Authority</w:t>
      </w:r>
      <w:r>
        <w:rPr>
          <w:snapToGrid w:val="0"/>
        </w:rPr>
        <w:t>” is preserved and continues in existence for the purposes of this Act as a body corporate retaining the same corporate name and corporate identity.</w:t>
      </w:r>
    </w:p>
    <w:p>
      <w:pPr>
        <w:pStyle w:val="Subsection"/>
      </w:pPr>
      <w:bookmarkStart w:id="74" w:name="_Toc417967449"/>
      <w:bookmarkStart w:id="75" w:name="_Toc519921899"/>
      <w:bookmarkStart w:id="76" w:name="_Toc131396705"/>
      <w:r>
        <w:tab/>
        <w:t>(2)</w:t>
      </w:r>
      <w:r>
        <w:tab/>
        <w:t>At the merger time the former body merges into The State Housing Commission.</w:t>
      </w:r>
    </w:p>
    <w:p>
      <w:pPr>
        <w:pStyle w:val="Subsection"/>
      </w:pPr>
      <w:r>
        <w:tab/>
        <w:t>(3)</w:t>
      </w:r>
      <w:r>
        <w:tab/>
        <w:t>The State Housing Commission, as renamed by subsection (4), is a continuation of the former body.</w:t>
      </w:r>
    </w:p>
    <w:p>
      <w:pPr>
        <w:pStyle w:val="Subsection"/>
      </w:pPr>
      <w:r>
        <w:tab/>
        <w:t>(4)</w:t>
      </w:r>
      <w:r>
        <w:tab/>
        <w:t>Immediately after the merger time The State Housing Commission is renamed as the Housing Authority.</w:t>
      </w:r>
    </w:p>
    <w:p>
      <w:pPr>
        <w:pStyle w:val="Subsection"/>
      </w:pPr>
      <w:r>
        <w:tab/>
        <w:t>(5)</w:t>
      </w:r>
      <w:r>
        <w:tab/>
        <w:t xml:space="preserve">In this section — </w:t>
      </w:r>
    </w:p>
    <w:p>
      <w:pPr>
        <w:pStyle w:val="Defstart"/>
      </w:pPr>
      <w:r>
        <w:rPr>
          <w:b/>
        </w:rPr>
        <w:tab/>
      </w:r>
      <w:r>
        <w:rPr>
          <w:rStyle w:val="CharDefText"/>
        </w:rPr>
        <w:t>former body</w:t>
      </w:r>
      <w:r>
        <w:t xml:space="preserve"> means the Government Employees’ Housing Authority established by section 8 of the </w:t>
      </w:r>
      <w:r>
        <w:rPr>
          <w:i/>
        </w:rPr>
        <w:t>Government Employees’ Housing Act 1964</w:t>
      </w:r>
      <w:r>
        <w:t xml:space="preserve"> as in force before the merger time; </w:t>
      </w:r>
    </w:p>
    <w:p>
      <w:pPr>
        <w:pStyle w:val="Defstart"/>
      </w:pPr>
      <w:r>
        <w:rPr>
          <w:b/>
        </w:rPr>
        <w:tab/>
      </w:r>
      <w:r>
        <w:rPr>
          <w:rStyle w:val="CharDefText"/>
        </w:rPr>
        <w:t>merger time</w:t>
      </w:r>
      <w:r>
        <w:t xml:space="preserve"> means the time at which section </w:t>
      </w:r>
      <w:bookmarkStart w:id="77" w:name="_Hlt39896061"/>
      <w:r>
        <w:t>314</w:t>
      </w:r>
      <w:bookmarkEnd w:id="77"/>
      <w:r>
        <w:t xml:space="preserve"> of the </w:t>
      </w:r>
      <w:r>
        <w:rPr>
          <w:i/>
        </w:rPr>
        <w:t>Machinery of Government (Miscellaneous Amendments) Act 2005</w:t>
      </w:r>
      <w:r>
        <w:t xml:space="preserve"> comes into operation.</w:t>
      </w:r>
    </w:p>
    <w:p>
      <w:pPr>
        <w:pStyle w:val="Footnotesection"/>
      </w:pPr>
      <w:r>
        <w:tab/>
        <w:t xml:space="preserve">[Section 6 amended by No. 28 of 2006 s. 314 and 332.] </w:t>
      </w:r>
    </w:p>
    <w:p>
      <w:pPr>
        <w:pStyle w:val="Heading5"/>
        <w:rPr>
          <w:snapToGrid w:val="0"/>
        </w:rPr>
      </w:pPr>
      <w:bookmarkStart w:id="78" w:name="_Toc202173103"/>
      <w:r>
        <w:rPr>
          <w:rStyle w:val="CharSectno"/>
        </w:rPr>
        <w:t>7</w:t>
      </w:r>
      <w:r>
        <w:rPr>
          <w:snapToGrid w:val="0"/>
        </w:rPr>
        <w:t>.</w:t>
      </w:r>
      <w:r>
        <w:rPr>
          <w:snapToGrid w:val="0"/>
        </w:rPr>
        <w:tab/>
        <w:t>Authority a body corporate and Crown agency</w:t>
      </w:r>
      <w:bookmarkEnd w:id="74"/>
      <w:bookmarkEnd w:id="75"/>
      <w:bookmarkEnd w:id="76"/>
      <w:bookmarkEnd w:id="78"/>
      <w:r>
        <w:rPr>
          <w:snapToGrid w:val="0"/>
        </w:rPr>
        <w:t xml:space="preserve"> </w:t>
      </w:r>
    </w:p>
    <w:p>
      <w:pPr>
        <w:pStyle w:val="Subsection"/>
        <w:rPr>
          <w:snapToGrid w:val="0"/>
        </w:rPr>
      </w:pPr>
      <w:r>
        <w:rPr>
          <w:snapToGrid w:val="0"/>
        </w:rPr>
        <w:tab/>
        <w:t>(1)</w:t>
      </w:r>
      <w:r>
        <w:rPr>
          <w:snapToGrid w:val="0"/>
        </w:rPr>
        <w:tab/>
        <w:t>The</w:t>
      </w:r>
      <w:r>
        <w:t xml:space="preserve"> Authority</w:t>
      </w:r>
      <w:r>
        <w:rPr>
          <w:snapToGrid w:val="0"/>
        </w:rPr>
        <w:t> —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w:t>
      </w:r>
    </w:p>
    <w:p>
      <w:pPr>
        <w:pStyle w:val="Subsection"/>
        <w:rPr>
          <w:snapToGrid w:val="0"/>
        </w:rPr>
      </w:pPr>
      <w:r>
        <w:rPr>
          <w:snapToGrid w:val="0"/>
        </w:rPr>
        <w:tab/>
        <w:t>(2)</w:t>
      </w:r>
      <w:r>
        <w:rPr>
          <w:snapToGrid w:val="0"/>
        </w:rPr>
        <w:tab/>
        <w:t xml:space="preserve">All courts, judges and persons acting judicially shall take judicial notice of the seal of the </w:t>
      </w:r>
      <w:r>
        <w:t xml:space="preserve">Authority or the former body (within the meaning of section 6) </w:t>
      </w:r>
      <w:r>
        <w:rPr>
          <w:snapToGrid w:val="0"/>
        </w:rPr>
        <w:t>affixed to any document and shall presume that it was duly affixed.</w:t>
      </w:r>
    </w:p>
    <w:p>
      <w:pPr>
        <w:pStyle w:val="Subsection"/>
        <w:rPr>
          <w:snapToGrid w:val="0"/>
        </w:rPr>
      </w:pPr>
      <w:r>
        <w:rPr>
          <w:snapToGrid w:val="0"/>
        </w:rPr>
        <w:tab/>
        <w:t>(3)</w:t>
      </w:r>
      <w:r>
        <w:rPr>
          <w:snapToGrid w:val="0"/>
        </w:rPr>
        <w:tab/>
        <w:t>The Authority is an agent of the Crown in right of the State.</w:t>
      </w:r>
    </w:p>
    <w:p>
      <w:pPr>
        <w:pStyle w:val="Footnotesection"/>
      </w:pPr>
      <w:bookmarkStart w:id="79" w:name="_Toc417967450"/>
      <w:bookmarkStart w:id="80" w:name="_Toc519921900"/>
      <w:bookmarkStart w:id="81" w:name="_Toc131396706"/>
      <w:r>
        <w:tab/>
        <w:t xml:space="preserve">[Section 7 amended by No. 28 of 2006 s. 315 and 332.] </w:t>
      </w:r>
    </w:p>
    <w:p>
      <w:pPr>
        <w:pStyle w:val="Heading5"/>
        <w:spacing w:before="180"/>
      </w:pPr>
      <w:bookmarkStart w:id="82" w:name="_Toc138751121"/>
      <w:bookmarkStart w:id="83" w:name="_Toc139166862"/>
      <w:bookmarkStart w:id="84" w:name="_Toc202173104"/>
      <w:bookmarkStart w:id="85" w:name="_Toc116712839"/>
      <w:bookmarkStart w:id="86" w:name="_Toc116811256"/>
      <w:bookmarkStart w:id="87" w:name="_Toc131396709"/>
      <w:bookmarkEnd w:id="79"/>
      <w:bookmarkEnd w:id="80"/>
      <w:bookmarkEnd w:id="81"/>
      <w:r>
        <w:rPr>
          <w:rStyle w:val="CharSectno"/>
        </w:rPr>
        <w:t>8</w:t>
      </w:r>
      <w:r>
        <w:t>.</w:t>
      </w:r>
      <w:r>
        <w:tab/>
        <w:t>Authority to be an SES organisation</w:t>
      </w:r>
      <w:bookmarkEnd w:id="82"/>
      <w:bookmarkEnd w:id="83"/>
      <w:bookmarkEnd w:id="84"/>
    </w:p>
    <w:p>
      <w:pPr>
        <w:pStyle w:val="Subsection"/>
      </w:pPr>
      <w:r>
        <w:tab/>
      </w:r>
      <w:r>
        <w:tab/>
        <w:t xml:space="preserve">The Authority is to be an SES organisation under the </w:t>
      </w:r>
      <w:r>
        <w:rPr>
          <w:i/>
        </w:rPr>
        <w:t>Public Sector Management Act 1994</w:t>
      </w:r>
      <w:r>
        <w:t>.</w:t>
      </w:r>
    </w:p>
    <w:p>
      <w:pPr>
        <w:pStyle w:val="Footnotesection"/>
      </w:pPr>
      <w:bookmarkStart w:id="88" w:name="_Toc138751122"/>
      <w:bookmarkStart w:id="89" w:name="_Toc139166863"/>
      <w:r>
        <w:tab/>
        <w:t xml:space="preserve">[Section 8 inserted by No. 28 of 2006 s. 316.] </w:t>
      </w:r>
    </w:p>
    <w:p>
      <w:pPr>
        <w:pStyle w:val="Heading5"/>
        <w:spacing w:before="180"/>
      </w:pPr>
      <w:bookmarkStart w:id="90" w:name="_Toc202173105"/>
      <w:r>
        <w:rPr>
          <w:rStyle w:val="CharSectno"/>
        </w:rPr>
        <w:t>9</w:t>
      </w:r>
      <w:r>
        <w:t>.</w:t>
      </w:r>
      <w:r>
        <w:tab/>
        <w:t>Management</w:t>
      </w:r>
      <w:bookmarkEnd w:id="88"/>
      <w:bookmarkEnd w:id="89"/>
      <w:bookmarkEnd w:id="90"/>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Footnotesection"/>
      </w:pPr>
      <w:r>
        <w:tab/>
        <w:t xml:space="preserve">[Section 9 inserted by No. 28 of 2006 s. 316.] </w:t>
      </w:r>
    </w:p>
    <w:p>
      <w:pPr>
        <w:pStyle w:val="Ednotesection"/>
      </w:pPr>
      <w:r>
        <w:t>[</w:t>
      </w:r>
      <w:r>
        <w:rPr>
          <w:b/>
          <w:bCs/>
        </w:rPr>
        <w:t>10.</w:t>
      </w:r>
      <w:r>
        <w:tab/>
        <w:t xml:space="preserve">Deleted by No. 28 of 2006 s. 316.] </w:t>
      </w:r>
    </w:p>
    <w:p>
      <w:pPr>
        <w:pStyle w:val="Heading3"/>
        <w:rPr>
          <w:snapToGrid w:val="0"/>
        </w:rPr>
      </w:pPr>
      <w:bookmarkStart w:id="91" w:name="_Toc139275267"/>
      <w:bookmarkStart w:id="92" w:name="_Toc139691296"/>
      <w:bookmarkStart w:id="93" w:name="_Toc141767898"/>
      <w:bookmarkStart w:id="94" w:name="_Toc141770648"/>
      <w:bookmarkStart w:id="95" w:name="_Toc143395748"/>
      <w:bookmarkStart w:id="96" w:name="_Toc143568942"/>
      <w:bookmarkStart w:id="97" w:name="_Toc143569047"/>
      <w:bookmarkStart w:id="98" w:name="_Toc143592602"/>
      <w:bookmarkStart w:id="99" w:name="_Toc144543054"/>
      <w:bookmarkStart w:id="100" w:name="_Toc155597278"/>
      <w:bookmarkStart w:id="101" w:name="_Toc157914599"/>
      <w:bookmarkStart w:id="102" w:name="_Toc196124020"/>
      <w:bookmarkStart w:id="103" w:name="_Toc202173106"/>
      <w:r>
        <w:rPr>
          <w:rStyle w:val="CharDivNo"/>
        </w:rPr>
        <w:t>Division 2</w:t>
      </w:r>
      <w:r>
        <w:rPr>
          <w:snapToGrid w:val="0"/>
        </w:rPr>
        <w:t> — </w:t>
      </w:r>
      <w:r>
        <w:rPr>
          <w:rStyle w:val="CharDivText"/>
        </w:rPr>
        <w:t>Powers and functions of the Authority generally</w:t>
      </w:r>
      <w:bookmarkEnd w:id="85"/>
      <w:bookmarkEnd w:id="86"/>
      <w:bookmarkEnd w:id="87"/>
      <w:bookmarkEnd w:id="91"/>
      <w:bookmarkEnd w:id="92"/>
      <w:bookmarkEnd w:id="93"/>
      <w:bookmarkEnd w:id="94"/>
      <w:bookmarkEnd w:id="95"/>
      <w:bookmarkEnd w:id="96"/>
      <w:bookmarkEnd w:id="97"/>
      <w:bookmarkEnd w:id="98"/>
      <w:bookmarkEnd w:id="99"/>
      <w:bookmarkEnd w:id="100"/>
      <w:bookmarkEnd w:id="101"/>
      <w:bookmarkEnd w:id="102"/>
      <w:bookmarkEnd w:id="103"/>
    </w:p>
    <w:p>
      <w:pPr>
        <w:pStyle w:val="Footnoteheading"/>
      </w:pPr>
      <w:bookmarkStart w:id="104" w:name="_Toc417967453"/>
      <w:bookmarkStart w:id="105" w:name="_Toc519921903"/>
      <w:bookmarkStart w:id="106" w:name="_Toc131396710"/>
      <w:r>
        <w:tab/>
        <w:t xml:space="preserve">[Heading amended by No. 28 of 2006 s. 317.] </w:t>
      </w:r>
    </w:p>
    <w:p>
      <w:pPr>
        <w:pStyle w:val="Heading5"/>
        <w:spacing w:before="180"/>
        <w:rPr>
          <w:snapToGrid w:val="0"/>
        </w:rPr>
      </w:pPr>
      <w:bookmarkStart w:id="107" w:name="_Toc202173107"/>
      <w:r>
        <w:rPr>
          <w:rStyle w:val="CharSectno"/>
        </w:rPr>
        <w:t>11</w:t>
      </w:r>
      <w:r>
        <w:rPr>
          <w:snapToGrid w:val="0"/>
        </w:rPr>
        <w:t>.</w:t>
      </w:r>
      <w:r>
        <w:rPr>
          <w:snapToGrid w:val="0"/>
        </w:rPr>
        <w:tab/>
      </w:r>
      <w:bookmarkEnd w:id="104"/>
      <w:bookmarkEnd w:id="105"/>
      <w:bookmarkEnd w:id="106"/>
      <w:r>
        <w:rPr>
          <w:snapToGrid w:val="0"/>
        </w:rPr>
        <w:t>Authority to implement housing Acts</w:t>
      </w:r>
      <w:bookmarkEnd w:id="107"/>
    </w:p>
    <w:p>
      <w:pPr>
        <w:pStyle w:val="Subsection"/>
        <w:rPr>
          <w:snapToGrid w:val="0"/>
        </w:rPr>
      </w:pPr>
      <w:r>
        <w:rPr>
          <w:snapToGrid w:val="0"/>
        </w:rPr>
        <w:tab/>
        <w:t>(1)</w:t>
      </w:r>
      <w:r>
        <w:rPr>
          <w:snapToGrid w:val="0"/>
        </w:rPr>
        <w:tab/>
        <w:t xml:space="preserve">Subject to the control and direction of the Minister the </w:t>
      </w:r>
      <w:r>
        <w:t xml:space="preserve">Authority </w:t>
      </w:r>
      <w:r>
        <w:rPr>
          <w:snapToGrid w:val="0"/>
        </w:rPr>
        <w:t>shall be responsible for the implementation of the provisions of this Act</w:t>
      </w:r>
      <w:r>
        <w:t xml:space="preserve"> and the </w:t>
      </w:r>
      <w:r>
        <w:rPr>
          <w:i/>
        </w:rPr>
        <w:t>Government Employees’ Housing Act 1964</w:t>
      </w:r>
      <w:r>
        <w:rPr>
          <w:snapToGrid w:val="0"/>
        </w:rPr>
        <w:t>.</w:t>
      </w:r>
    </w:p>
    <w:p>
      <w:pPr>
        <w:pStyle w:val="Ednotesubsection"/>
        <w:spacing w:before="120"/>
      </w:pPr>
      <w:r>
        <w:tab/>
        <w:t>[(2), (3)</w:t>
      </w:r>
      <w:r>
        <w:tab/>
        <w:t>deleted]</w:t>
      </w:r>
    </w:p>
    <w:p>
      <w:pPr>
        <w:pStyle w:val="Footnotesection"/>
        <w:spacing w:before="80"/>
        <w:ind w:left="890" w:hanging="890"/>
      </w:pPr>
      <w:r>
        <w:tab/>
        <w:t xml:space="preserve">[Section 11 amended by No. 41 of 1996 s. 3; No. 28 of 2006 s. 318 and 332.] </w:t>
      </w:r>
    </w:p>
    <w:p>
      <w:pPr>
        <w:pStyle w:val="Heading5"/>
      </w:pPr>
      <w:bookmarkStart w:id="108" w:name="_Toc138751126"/>
      <w:bookmarkStart w:id="109" w:name="_Toc139166867"/>
      <w:bookmarkStart w:id="110" w:name="_Toc202173108"/>
      <w:bookmarkStart w:id="111" w:name="_Toc417967454"/>
      <w:bookmarkStart w:id="112" w:name="_Toc519921904"/>
      <w:bookmarkStart w:id="113" w:name="_Toc131396711"/>
      <w:r>
        <w:rPr>
          <w:rStyle w:val="CharSectno"/>
        </w:rPr>
        <w:t>11A</w:t>
      </w:r>
      <w:r>
        <w:t>.</w:t>
      </w:r>
      <w:r>
        <w:tab/>
        <w:t>Minister may give directions</w:t>
      </w:r>
      <w:bookmarkEnd w:id="108"/>
      <w:bookmarkEnd w:id="109"/>
      <w:bookmarkEnd w:id="110"/>
    </w:p>
    <w:p>
      <w:pPr>
        <w:pStyle w:val="Subsection"/>
      </w:pPr>
      <w:r>
        <w:tab/>
      </w:r>
      <w:bookmarkStart w:id="114" w:name="_Hlt12869807"/>
      <w:bookmarkEnd w:id="114"/>
      <w:r>
        <w:t>(1)</w:t>
      </w:r>
      <w:r>
        <w:tab/>
        <w:t xml:space="preserve">The Minister may give written directions to the Authority with respect to the performance of its functions under this or any other Act, either generally or in relation to a particular matter, and the Authority is to give </w:t>
      </w:r>
      <w:bookmarkStart w:id="115" w:name="_Hlt27560955"/>
      <w:r>
        <w:t>effect to any such direction</w:t>
      </w:r>
      <w:bookmarkEnd w:id="115"/>
      <w:r>
        <w:t>.</w:t>
      </w:r>
    </w:p>
    <w:p>
      <w:pPr>
        <w:pStyle w:val="Subsection"/>
      </w:pPr>
      <w:r>
        <w:tab/>
        <w:t>(2)</w:t>
      </w:r>
      <w:r>
        <w:tab/>
        <w:t>The Minister must cause a copy of a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spacing w:before="180"/>
      </w:pPr>
      <w:r>
        <w:tab/>
      </w:r>
      <w:r>
        <w:tab/>
        <w:t>the Minister is to transmit a copy of the direction to the Clerk of that House.</w:t>
      </w:r>
    </w:p>
    <w:p>
      <w:pPr>
        <w:pStyle w:val="Subsection"/>
        <w:spacing w:before="180"/>
      </w:pPr>
      <w:r>
        <w:tab/>
        <w:t>(4)</w:t>
      </w:r>
      <w:r>
        <w:tab/>
        <w:t>A copy of a direction transmitted to the Clerk of a House is to be taken to have been laid before that House.</w:t>
      </w:r>
    </w:p>
    <w:p>
      <w:pPr>
        <w:pStyle w:val="Subsection"/>
        <w:spacing w:before="180"/>
        <w:rPr>
          <w:i/>
        </w:rPr>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spacing w:before="180"/>
      </w:pPr>
      <w:r>
        <w:tab/>
        <w:t>(6)</w:t>
      </w:r>
      <w:r>
        <w:tab/>
        <w:t xml:space="preserve">The text of a direction under subsection (1) is to be included in the annual report submitted by the accountable authority of the Authority under Part 5 of the </w:t>
      </w:r>
      <w:r>
        <w:rPr>
          <w:i/>
          <w:iCs/>
        </w:rPr>
        <w:t>Financial Management Act 2006</w:t>
      </w:r>
      <w:r>
        <w:t>.</w:t>
      </w:r>
    </w:p>
    <w:p>
      <w:pPr>
        <w:pStyle w:val="Footnotesection"/>
      </w:pPr>
      <w:bookmarkStart w:id="116" w:name="_Hlt20885803"/>
      <w:bookmarkStart w:id="117" w:name="_Toc479406274"/>
      <w:bookmarkStart w:id="118" w:name="_Toc37616221"/>
      <w:bookmarkStart w:id="119" w:name="_Toc138751127"/>
      <w:bookmarkStart w:id="120" w:name="_Toc139166868"/>
      <w:bookmarkStart w:id="121" w:name="_Toc473617694"/>
      <w:bookmarkEnd w:id="116"/>
      <w:r>
        <w:tab/>
        <w:t xml:space="preserve">[Section 11A inserted by No. 28 of 2006 s. 319; amended by No. 77 of 2006 s. 17.] </w:t>
      </w:r>
    </w:p>
    <w:p>
      <w:pPr>
        <w:pStyle w:val="Heading5"/>
      </w:pPr>
      <w:bookmarkStart w:id="122" w:name="_Toc202173109"/>
      <w:r>
        <w:rPr>
          <w:rStyle w:val="CharSectno"/>
        </w:rPr>
        <w:t>11B</w:t>
      </w:r>
      <w:r>
        <w:t>.</w:t>
      </w:r>
      <w:r>
        <w:tab/>
        <w:t>Minister to have access to information</w:t>
      </w:r>
      <w:bookmarkEnd w:id="117"/>
      <w:bookmarkEnd w:id="118"/>
      <w:bookmarkEnd w:id="119"/>
      <w:bookmarkEnd w:id="120"/>
      <w:bookmarkEnd w:id="122"/>
    </w:p>
    <w:p>
      <w:pPr>
        <w:pStyle w:val="Subsection"/>
        <w:keepNext/>
        <w:keepLines/>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r>
      <w:bookmarkStart w:id="123" w:name="_Hlt474038076"/>
      <w:bookmarkEnd w:id="123"/>
      <w:r>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bookmarkEnd w:id="121"/>
    <w:p>
      <w:pPr>
        <w:pStyle w:val="Footnotesection"/>
      </w:pPr>
      <w:r>
        <w:tab/>
        <w:t xml:space="preserve">[Section 11B inserted by No. 28 of 2006 s. 319.] </w:t>
      </w:r>
    </w:p>
    <w:p>
      <w:pPr>
        <w:pStyle w:val="Heading5"/>
        <w:rPr>
          <w:snapToGrid w:val="0"/>
        </w:rPr>
      </w:pPr>
      <w:bookmarkStart w:id="124" w:name="_Toc202173110"/>
      <w:r>
        <w:rPr>
          <w:rStyle w:val="CharSectno"/>
        </w:rPr>
        <w:t>12</w:t>
      </w:r>
      <w:r>
        <w:rPr>
          <w:snapToGrid w:val="0"/>
        </w:rPr>
        <w:t>.</w:t>
      </w:r>
      <w:r>
        <w:rPr>
          <w:snapToGrid w:val="0"/>
        </w:rPr>
        <w:tab/>
        <w:t xml:space="preserve">General powers of </w:t>
      </w:r>
      <w:bookmarkEnd w:id="111"/>
      <w:bookmarkEnd w:id="112"/>
      <w:bookmarkEnd w:id="113"/>
      <w:r>
        <w:t>Authority</w:t>
      </w:r>
      <w:bookmarkEnd w:id="124"/>
    </w:p>
    <w:p>
      <w:pPr>
        <w:pStyle w:val="Subsection"/>
        <w:spacing w:before="120"/>
        <w:rPr>
          <w:snapToGrid w:val="0"/>
        </w:rPr>
      </w:pPr>
      <w:r>
        <w:rPr>
          <w:snapToGrid w:val="0"/>
        </w:rPr>
        <w:tab/>
      </w:r>
      <w:r>
        <w:rPr>
          <w:snapToGrid w:val="0"/>
        </w:rPr>
        <w:tab/>
        <w:t>Subject to and for the purposes of this Act</w:t>
      </w:r>
      <w:r>
        <w:t xml:space="preserve"> and the </w:t>
      </w:r>
      <w:r>
        <w:rPr>
          <w:i/>
        </w:rPr>
        <w:t>Government Employees’ Housing Act 1964</w:t>
      </w:r>
      <w:r>
        <w:rPr>
          <w:iCs/>
        </w:rPr>
        <w:t xml:space="preserve"> </w:t>
      </w:r>
      <w:r>
        <w:rPr>
          <w:iCs/>
          <w:snapToGrid w:val="0"/>
        </w:rPr>
        <w:t>the</w:t>
      </w:r>
      <w:r>
        <w:t xml:space="preserve"> Authority</w:t>
      </w:r>
      <w:r>
        <w:rPr>
          <w:snapToGrid w:val="0"/>
        </w:rPr>
        <w:t> — </w:t>
      </w:r>
    </w:p>
    <w:p>
      <w:pPr>
        <w:pStyle w:val="Indenta"/>
        <w:rPr>
          <w:snapToGrid w:val="0"/>
        </w:rPr>
      </w:pPr>
      <w:r>
        <w:rPr>
          <w:snapToGrid w:val="0"/>
        </w:rPr>
        <w:tab/>
        <w:t>(a)</w:t>
      </w:r>
      <w:r>
        <w:rPr>
          <w:snapToGrid w:val="0"/>
        </w:rPr>
        <w:tab/>
        <w:t>has and may exercise all the powers, privileges, rights and remedies of the Crown;</w:t>
      </w:r>
    </w:p>
    <w:p>
      <w:pPr>
        <w:pStyle w:val="Indenta"/>
        <w:rPr>
          <w:snapToGrid w:val="0"/>
        </w:rPr>
      </w:pPr>
      <w:r>
        <w:rPr>
          <w:snapToGrid w:val="0"/>
        </w:rPr>
        <w:tab/>
        <w:t>(b)</w:t>
      </w:r>
      <w:r>
        <w:rPr>
          <w:snapToGrid w:val="0"/>
        </w:rPr>
        <w:tab/>
        <w:t xml:space="preserve">has and may exercise all such powers, authorities and discretions, and may do all such acts and things, as a private person in the State has or may exercise or do, and the </w:t>
      </w:r>
      <w:r>
        <w:t xml:space="preserve">Authority </w:t>
      </w:r>
      <w:r>
        <w:rPr>
          <w:snapToGrid w:val="0"/>
        </w:rPr>
        <w:t>generally may do whatever it deems necessary in connection with or incidental to the functions conferred upon it;</w:t>
      </w:r>
    </w:p>
    <w:p>
      <w:pPr>
        <w:pStyle w:val="Subsection"/>
        <w:rPr>
          <w:snapToGrid w:val="0"/>
        </w:rPr>
      </w:pPr>
      <w:r>
        <w:rPr>
          <w:snapToGrid w:val="0"/>
        </w:rPr>
        <w:tab/>
      </w:r>
      <w:r>
        <w:rPr>
          <w:snapToGrid w:val="0"/>
        </w:rPr>
        <w:tab/>
        <w:t>and in particular, without limiting the generality of the foregoing — </w:t>
      </w:r>
    </w:p>
    <w:p>
      <w:pPr>
        <w:pStyle w:val="Indenta"/>
        <w:rPr>
          <w:snapToGrid w:val="0"/>
        </w:rPr>
      </w:pPr>
      <w:r>
        <w:rPr>
          <w:snapToGrid w:val="0"/>
        </w:rPr>
        <w:tab/>
        <w:t>(c)</w:t>
      </w:r>
      <w:r>
        <w:rPr>
          <w:snapToGrid w:val="0"/>
        </w:rPr>
        <w:tab/>
        <w:t>has power to acquire, hold, maintain, improve, exchange, lease and dispose of real and personal property;</w:t>
      </w:r>
    </w:p>
    <w:p>
      <w:pPr>
        <w:pStyle w:val="Indenta"/>
        <w:rPr>
          <w:snapToGrid w:val="0"/>
        </w:rPr>
      </w:pPr>
      <w:r>
        <w:rPr>
          <w:snapToGrid w:val="0"/>
        </w:rPr>
        <w:tab/>
        <w:t>(d)</w:t>
      </w:r>
      <w:r>
        <w:rPr>
          <w:snapToGrid w:val="0"/>
        </w:rPr>
        <w:tab/>
        <w:t>has power to borrow and lend money; and</w:t>
      </w:r>
    </w:p>
    <w:p>
      <w:pPr>
        <w:pStyle w:val="Indenta"/>
        <w:rPr>
          <w:snapToGrid w:val="0"/>
        </w:rPr>
      </w:pPr>
      <w:r>
        <w:rPr>
          <w:snapToGrid w:val="0"/>
        </w:rPr>
        <w:tab/>
        <w:t>(e)</w:t>
      </w:r>
      <w:r>
        <w:rPr>
          <w:snapToGrid w:val="0"/>
        </w:rPr>
        <w:tab/>
        <w:t>has power to give guarantees, indemnities and undertakings whether in respect of the payment or repayment of moneys, the performance of obligations, or otherwise.</w:t>
      </w:r>
    </w:p>
    <w:p>
      <w:pPr>
        <w:pStyle w:val="Footnotesection"/>
      </w:pPr>
      <w:r>
        <w:tab/>
        <w:t>[Section 12 amended by No. 28 of 2006 s. 320 and 332.]</w:t>
      </w:r>
    </w:p>
    <w:p>
      <w:pPr>
        <w:pStyle w:val="Heading5"/>
        <w:rPr>
          <w:snapToGrid w:val="0"/>
        </w:rPr>
      </w:pPr>
      <w:bookmarkStart w:id="125" w:name="_Toc417967455"/>
      <w:bookmarkStart w:id="126" w:name="_Toc519921905"/>
      <w:bookmarkStart w:id="127" w:name="_Toc131396712"/>
      <w:bookmarkStart w:id="128" w:name="_Toc202173111"/>
      <w:r>
        <w:rPr>
          <w:rStyle w:val="CharSectno"/>
        </w:rPr>
        <w:t>12A</w:t>
      </w:r>
      <w:r>
        <w:rPr>
          <w:snapToGrid w:val="0"/>
        </w:rPr>
        <w:t xml:space="preserve">. </w:t>
      </w:r>
      <w:r>
        <w:rPr>
          <w:snapToGrid w:val="0"/>
        </w:rPr>
        <w:tab/>
        <w:t>Joint ventures</w:t>
      </w:r>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shall not enter into or participate in joint venture arrangements (notwithstanding that those arrangements would be in the general furtherance of the objects of this Act</w:t>
      </w:r>
      <w:r>
        <w:t xml:space="preserve"> or the </w:t>
      </w:r>
      <w:r>
        <w:rPr>
          <w:i/>
        </w:rPr>
        <w:t>Government Employees’ Housing Act 1964</w:t>
      </w:r>
      <w:r>
        <w:rPr>
          <w:snapToGrid w:val="0"/>
        </w:rPr>
        <w:t>) unless — </w:t>
      </w:r>
    </w:p>
    <w:p>
      <w:pPr>
        <w:pStyle w:val="Indenta"/>
        <w:rPr>
          <w:snapToGrid w:val="0"/>
        </w:rPr>
      </w:pPr>
      <w:r>
        <w:rPr>
          <w:snapToGrid w:val="0"/>
        </w:rPr>
        <w:tab/>
        <w:t>(a)</w:t>
      </w:r>
      <w:r>
        <w:rPr>
          <w:snapToGrid w:val="0"/>
        </w:rPr>
        <w:tab/>
        <w:t>those arrangements are for the carrying out, control, or management, either jointly or by one party on behalf of any other, or otherwise as may be agreed in the common interest, of a project involving — </w:t>
      </w:r>
    </w:p>
    <w:p>
      <w:pPr>
        <w:pStyle w:val="Indenti"/>
        <w:rPr>
          <w:snapToGrid w:val="0"/>
        </w:rPr>
      </w:pPr>
      <w:r>
        <w:rPr>
          <w:snapToGrid w:val="0"/>
        </w:rPr>
        <w:tab/>
        <w:t>(i)</w:t>
      </w:r>
      <w:r>
        <w:rPr>
          <w:snapToGrid w:val="0"/>
        </w:rPr>
        <w:tab/>
        <w:t>the erection of houses;</w:t>
      </w:r>
    </w:p>
    <w:p>
      <w:pPr>
        <w:pStyle w:val="Indenti"/>
        <w:rPr>
          <w:snapToGrid w:val="0"/>
        </w:rPr>
      </w:pPr>
      <w:r>
        <w:rPr>
          <w:snapToGrid w:val="0"/>
        </w:rPr>
        <w:tab/>
        <w:t>(ii)</w:t>
      </w:r>
      <w:r>
        <w:rPr>
          <w:snapToGrid w:val="0"/>
        </w:rPr>
        <w:tab/>
        <w:t>the subdivision, or acquisition and subdivision, and development of land for housing and related purposes;</w:t>
      </w:r>
    </w:p>
    <w:p>
      <w:pPr>
        <w:pStyle w:val="Indenti"/>
        <w:rPr>
          <w:snapToGrid w:val="0"/>
        </w:rPr>
      </w:pPr>
      <w:r>
        <w:rPr>
          <w:snapToGrid w:val="0"/>
        </w:rPr>
        <w:tab/>
        <w:t>(iii)</w:t>
      </w:r>
      <w:r>
        <w:rPr>
          <w:snapToGrid w:val="0"/>
        </w:rPr>
        <w:tab/>
        <w:t>the provision of services in relation to houses or subdivided land;</w:t>
      </w:r>
    </w:p>
    <w:p>
      <w:pPr>
        <w:pStyle w:val="Indenti"/>
        <w:rPr>
          <w:snapToGrid w:val="0"/>
        </w:rPr>
      </w:pPr>
      <w:r>
        <w:rPr>
          <w:snapToGrid w:val="0"/>
        </w:rPr>
        <w:tab/>
        <w:t>(iv)</w:t>
      </w:r>
      <w:r>
        <w:rPr>
          <w:snapToGrid w:val="0"/>
        </w:rPr>
        <w:tab/>
        <w:t>the marketing of houses or subdivided land; or</w:t>
      </w:r>
    </w:p>
    <w:p>
      <w:pPr>
        <w:pStyle w:val="Indenti"/>
        <w:rPr>
          <w:snapToGrid w:val="0"/>
        </w:rPr>
      </w:pPr>
      <w:r>
        <w:rPr>
          <w:snapToGrid w:val="0"/>
        </w:rPr>
        <w:tab/>
        <w:t>(v)</w:t>
      </w:r>
      <w:r>
        <w:rPr>
          <w:snapToGrid w:val="0"/>
        </w:rPr>
        <w:tab/>
        <w:t xml:space="preserve">the provision of community facilities and amenities;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Governor has, on the recommendation of the Minister, approved of the </w:t>
      </w:r>
      <w:r>
        <w:t xml:space="preserve">Authority </w:t>
      </w:r>
      <w:r>
        <w:rPr>
          <w:snapToGrid w:val="0"/>
        </w:rPr>
        <w:t>entering into and participating in the arrangements.</w:t>
      </w:r>
    </w:p>
    <w:p>
      <w:pPr>
        <w:pStyle w:val="Subsection"/>
        <w:rPr>
          <w:snapToGrid w:val="0"/>
        </w:rPr>
      </w:pPr>
      <w:r>
        <w:rPr>
          <w:snapToGrid w:val="0"/>
        </w:rPr>
        <w:tab/>
        <w:t>(2)</w:t>
      </w:r>
      <w:r>
        <w:rPr>
          <w:snapToGrid w:val="0"/>
        </w:rPr>
        <w:tab/>
        <w:t xml:space="preserve">In subsection (1) </w:t>
      </w:r>
      <w:r>
        <w:rPr>
          <w:rStyle w:val="CharDefText"/>
        </w:rPr>
        <w:t>community facilities and amenities</w:t>
      </w:r>
      <w:r>
        <w:rPr>
          <w:snapToGrid w:val="0"/>
        </w:rPr>
        <w:t xml:space="preserve"> has the same meaning as it has in section 61(1).</w:t>
      </w:r>
    </w:p>
    <w:p>
      <w:pPr>
        <w:pStyle w:val="Subsection"/>
        <w:rPr>
          <w:snapToGrid w:val="0"/>
        </w:rPr>
      </w:pPr>
      <w:r>
        <w:rPr>
          <w:snapToGrid w:val="0"/>
        </w:rPr>
        <w:tab/>
        <w:t>(3)</w:t>
      </w:r>
      <w:r>
        <w:rPr>
          <w:snapToGrid w:val="0"/>
        </w:rPr>
        <w:tab/>
        <w:t xml:space="preserve">The Minister shall not recommend that the Governor approve of the </w:t>
      </w:r>
      <w:r>
        <w:t xml:space="preserve">Authority </w:t>
      </w:r>
      <w:r>
        <w:rPr>
          <w:snapToGrid w:val="0"/>
        </w:rPr>
        <w:t xml:space="preserve">entering into and participating in joint venture arrangements relating to a project unless the </w:t>
      </w:r>
      <w:r>
        <w:t xml:space="preserve">Authority </w:t>
      </w:r>
      <w:r>
        <w:rPr>
          <w:snapToGrid w:val="0"/>
        </w:rPr>
        <w:t>has submitted to him details that the Minister considers to be adequate of the proposed project and arrangements relating thereto and the Minister approves of the proposals.</w:t>
      </w:r>
    </w:p>
    <w:p>
      <w:pPr>
        <w:pStyle w:val="Subsection"/>
        <w:rPr>
          <w:snapToGrid w:val="0"/>
        </w:rPr>
      </w:pPr>
      <w:r>
        <w:rPr>
          <w:snapToGrid w:val="0"/>
        </w:rPr>
        <w:tab/>
        <w:t>(4)</w:t>
      </w:r>
      <w:r>
        <w:rPr>
          <w:snapToGrid w:val="0"/>
        </w:rPr>
        <w:tab/>
        <w:t xml:space="preserve">Without limiting the generality of the powers that the </w:t>
      </w:r>
      <w:r>
        <w:t xml:space="preserve">Authority </w:t>
      </w:r>
      <w:r>
        <w:rPr>
          <w:snapToGrid w:val="0"/>
        </w:rPr>
        <w:t>may exercise under this Act</w:t>
      </w:r>
      <w:r>
        <w:t xml:space="preserve"> or the </w:t>
      </w:r>
      <w:r>
        <w:rPr>
          <w:i/>
        </w:rPr>
        <w:t>Government Employees’ Housing Act 1964</w:t>
      </w:r>
      <w:r>
        <w:rPr>
          <w:snapToGrid w:val="0"/>
        </w:rPr>
        <w:t xml:space="preserve"> for the purposes of participating in and giving effect to joint venture arrangements relating to a project, the </w:t>
      </w:r>
      <w:r>
        <w:t xml:space="preserve">Authority </w:t>
      </w:r>
      <w:r>
        <w:rPr>
          <w:snapToGrid w:val="0"/>
        </w:rPr>
        <w:t>may — </w:t>
      </w:r>
    </w:p>
    <w:p>
      <w:pPr>
        <w:pStyle w:val="Indenta"/>
        <w:rPr>
          <w:snapToGrid w:val="0"/>
        </w:rPr>
      </w:pPr>
      <w:r>
        <w:rPr>
          <w:snapToGrid w:val="0"/>
        </w:rPr>
        <w:tab/>
        <w:t>(a)</w:t>
      </w:r>
      <w:r>
        <w:rPr>
          <w:snapToGrid w:val="0"/>
        </w:rPr>
        <w:tab/>
        <w:t>seek and maintain appropriate representation on any board or other body having responsibility in the carrying out, management, or control of the project;</w:t>
      </w:r>
    </w:p>
    <w:p>
      <w:pPr>
        <w:pStyle w:val="Indenta"/>
        <w:rPr>
          <w:snapToGrid w:val="0"/>
        </w:rPr>
      </w:pPr>
      <w:r>
        <w:rPr>
          <w:snapToGrid w:val="0"/>
        </w:rPr>
        <w:tab/>
        <w:t>(b)</w:t>
      </w:r>
      <w:r>
        <w:rPr>
          <w:snapToGrid w:val="0"/>
        </w:rPr>
        <w:tab/>
        <w:t>subject to any contract relating to the project, receive contributions or other moneys relating to the project and disburse or distribute or arrange for the disbursement or distribution of those contributions or other moneys.</w:t>
      </w:r>
    </w:p>
    <w:p>
      <w:pPr>
        <w:pStyle w:val="Subsection"/>
        <w:rPr>
          <w:snapToGrid w:val="0"/>
        </w:rPr>
      </w:pPr>
      <w:r>
        <w:rPr>
          <w:snapToGrid w:val="0"/>
        </w:rPr>
        <w:tab/>
        <w:t>(5)</w:t>
      </w:r>
      <w:r>
        <w:rPr>
          <w:snapToGrid w:val="0"/>
        </w:rPr>
        <w:tab/>
        <w:t xml:space="preserve">Where the </w:t>
      </w:r>
      <w:r>
        <w:t xml:space="preserve">Authority </w:t>
      </w:r>
      <w:r>
        <w:rPr>
          <w:snapToGrid w:val="0"/>
        </w:rPr>
        <w:t>participates in joint venture arrangements relating to a project it shall ensure that adequate accounting records are maintained showing — </w:t>
      </w:r>
    </w:p>
    <w:p>
      <w:pPr>
        <w:pStyle w:val="Indenta"/>
        <w:rPr>
          <w:snapToGrid w:val="0"/>
        </w:rPr>
      </w:pPr>
      <w:r>
        <w:rPr>
          <w:snapToGrid w:val="0"/>
        </w:rPr>
        <w:tab/>
        <w:t>(a)</w:t>
      </w:r>
      <w:r>
        <w:rPr>
          <w:snapToGrid w:val="0"/>
        </w:rPr>
        <w:tab/>
        <w:t>the several sources from which, and purposes for which, contributions relating to the project are received, and the manner in which those contributions are disbursed; and</w:t>
      </w:r>
    </w:p>
    <w:p>
      <w:pPr>
        <w:pStyle w:val="Indenta"/>
        <w:rPr>
          <w:snapToGrid w:val="0"/>
        </w:rPr>
      </w:pPr>
      <w:r>
        <w:rPr>
          <w:snapToGrid w:val="0"/>
        </w:rPr>
        <w:tab/>
        <w:t>(b)</w:t>
      </w:r>
      <w:r>
        <w:rPr>
          <w:snapToGrid w:val="0"/>
        </w:rPr>
        <w:tab/>
        <w:t>the several sources from which other moneys relating to the project are received, and the manner in which those moneys are distributed,</w:t>
      </w:r>
    </w:p>
    <w:p>
      <w:pPr>
        <w:pStyle w:val="Subsection"/>
        <w:spacing w:before="180"/>
        <w:rPr>
          <w:snapToGrid w:val="0"/>
        </w:rPr>
      </w:pPr>
      <w:r>
        <w:rPr>
          <w:snapToGrid w:val="0"/>
        </w:rPr>
        <w:tab/>
      </w:r>
      <w:r>
        <w:rPr>
          <w:snapToGrid w:val="0"/>
        </w:rPr>
        <w:tab/>
        <w:t>and shall ensure that those records are open to inspection by responsible officers of the</w:t>
      </w:r>
      <w:r>
        <w:t xml:space="preserve"> Authority</w:t>
      </w:r>
      <w:r>
        <w:rPr>
          <w:snapToGrid w:val="0"/>
        </w:rPr>
        <w:t>, the Treasury of the State, and the Auditor General.</w:t>
      </w:r>
    </w:p>
    <w:p>
      <w:pPr>
        <w:pStyle w:val="Footnotesection"/>
      </w:pPr>
      <w:r>
        <w:tab/>
        <w:t xml:space="preserve">[Section 12A inserted by No. 62 of 1983 s. 3; amended by No. 28 of 2006 s. 321 and 332.] </w:t>
      </w:r>
    </w:p>
    <w:p>
      <w:pPr>
        <w:pStyle w:val="Heading5"/>
        <w:spacing w:before="240"/>
        <w:rPr>
          <w:snapToGrid w:val="0"/>
        </w:rPr>
      </w:pPr>
      <w:bookmarkStart w:id="129" w:name="_Toc417967456"/>
      <w:bookmarkStart w:id="130" w:name="_Toc519921906"/>
      <w:bookmarkStart w:id="131" w:name="_Toc131396713"/>
      <w:bookmarkStart w:id="132" w:name="_Toc202173112"/>
      <w:r>
        <w:rPr>
          <w:rStyle w:val="CharSectno"/>
        </w:rPr>
        <w:t>13</w:t>
      </w:r>
      <w:r>
        <w:rPr>
          <w:snapToGrid w:val="0"/>
        </w:rPr>
        <w:t>.</w:t>
      </w:r>
      <w:r>
        <w:rPr>
          <w:snapToGrid w:val="0"/>
        </w:rPr>
        <w:tab/>
        <w:t>Delegation</w:t>
      </w:r>
      <w:bookmarkEnd w:id="129"/>
      <w:bookmarkEnd w:id="130"/>
      <w:bookmarkEnd w:id="131"/>
      <w:bookmarkEnd w:id="132"/>
      <w:r>
        <w:rPr>
          <w:snapToGrid w:val="0"/>
        </w:rPr>
        <w:t xml:space="preserve"> </w:t>
      </w:r>
    </w:p>
    <w:p>
      <w:pPr>
        <w:pStyle w:val="Subsection"/>
        <w:spacing w:before="180"/>
        <w:rPr>
          <w:snapToGrid w:val="0"/>
        </w:rPr>
      </w:pPr>
      <w:r>
        <w:rPr>
          <w:snapToGrid w:val="0"/>
        </w:rPr>
        <w:tab/>
        <w:t>(1)</w:t>
      </w:r>
      <w:r>
        <w:rPr>
          <w:snapToGrid w:val="0"/>
        </w:rPr>
        <w:tab/>
        <w:t xml:space="preserve">With the consent of the Minister the </w:t>
      </w:r>
      <w:r>
        <w:t xml:space="preserve">Authority </w:t>
      </w:r>
      <w:r>
        <w:rPr>
          <w:snapToGrid w:val="0"/>
        </w:rPr>
        <w:t xml:space="preserve">may by an instrument in writing in relation to such matter or class of matters and to such activity of the </w:t>
      </w:r>
      <w:r>
        <w:t xml:space="preserve">Authority </w:t>
      </w:r>
      <w:r>
        <w:rPr>
          <w:snapToGrid w:val="0"/>
        </w:rPr>
        <w:t xml:space="preserve">as is specified in that instrument and to the extent therein set out, delegate any of its powers or functions under this Act </w:t>
      </w:r>
      <w:r>
        <w:t xml:space="preserve">or the </w:t>
      </w:r>
      <w:r>
        <w:rPr>
          <w:i/>
        </w:rPr>
        <w:t>Government Employees’ Housing Act 1964</w:t>
      </w:r>
      <w:r>
        <w:t xml:space="preserve"> </w:t>
      </w:r>
      <w:r>
        <w:rPr>
          <w:snapToGrid w:val="0"/>
        </w:rPr>
        <w:t>(except this power of delegation) to an officer of the</w:t>
      </w:r>
      <w:r>
        <w:t xml:space="preserve"> Authority</w:t>
      </w:r>
      <w:r>
        <w:rPr>
          <w:snapToGrid w:val="0"/>
        </w:rPr>
        <w:t>.</w:t>
      </w:r>
    </w:p>
    <w:p>
      <w:pPr>
        <w:pStyle w:val="Subsection"/>
        <w:spacing w:before="180"/>
        <w:rPr>
          <w:snapToGrid w:val="0"/>
        </w:rPr>
      </w:pPr>
      <w:r>
        <w:rPr>
          <w:snapToGrid w:val="0"/>
        </w:rPr>
        <w:tab/>
        <w:t>(2)</w:t>
      </w:r>
      <w:r>
        <w:rPr>
          <w:snapToGrid w:val="0"/>
        </w:rPr>
        <w:tab/>
        <w:t xml:space="preserve">A delegation under subsection (1) may be varied or revoked by notice in writing served on the delegate and no delegation prevents the exercise or performance by the </w:t>
      </w:r>
      <w:r>
        <w:t xml:space="preserve">Authority </w:t>
      </w:r>
      <w:r>
        <w:rPr>
          <w:snapToGrid w:val="0"/>
        </w:rPr>
        <w:t>of any of its powers or functions.</w:t>
      </w:r>
    </w:p>
    <w:p>
      <w:pPr>
        <w:pStyle w:val="Subsection"/>
        <w:spacing w:before="180"/>
        <w:rPr>
          <w:snapToGrid w:val="0"/>
        </w:rPr>
      </w:pPr>
      <w:r>
        <w:rPr>
          <w:snapToGrid w:val="0"/>
        </w:rPr>
        <w:tab/>
        <w:t>(3)</w:t>
      </w:r>
      <w:r>
        <w:rPr>
          <w:snapToGrid w:val="0"/>
        </w:rPr>
        <w:tab/>
        <w:t xml:space="preserve">A power or function delegated by the </w:t>
      </w:r>
      <w:r>
        <w:t xml:space="preserve">Authority </w:t>
      </w:r>
      <w:r>
        <w:rPr>
          <w:snapToGrid w:val="0"/>
        </w:rPr>
        <w:t>may be exercised or performed by the delegate — </w:t>
      </w:r>
    </w:p>
    <w:p>
      <w:pPr>
        <w:pStyle w:val="Indenta"/>
        <w:rPr>
          <w:snapToGrid w:val="0"/>
        </w:rPr>
      </w:pPr>
      <w:r>
        <w:rPr>
          <w:snapToGrid w:val="0"/>
        </w:rPr>
        <w:tab/>
        <w:t>(a)</w:t>
      </w:r>
      <w:r>
        <w:rPr>
          <w:snapToGrid w:val="0"/>
        </w:rPr>
        <w:tab/>
        <w:t>subject to and in accordance with the terms of the instrument of delegation; and</w:t>
      </w:r>
    </w:p>
    <w:p>
      <w:pPr>
        <w:pStyle w:val="Indenta"/>
        <w:rPr>
          <w:snapToGrid w:val="0"/>
        </w:rPr>
      </w:pPr>
      <w:r>
        <w:rPr>
          <w:snapToGrid w:val="0"/>
        </w:rPr>
        <w:tab/>
        <w:t>(b)</w:t>
      </w:r>
      <w:r>
        <w:rPr>
          <w:snapToGrid w:val="0"/>
        </w:rPr>
        <w:tab/>
        <w:t>if the exercise of the power or the performance of the function is dependent upon the opinion, belief, or state of mind of the</w:t>
      </w:r>
      <w:r>
        <w:t xml:space="preserve"> Authority</w:t>
      </w:r>
      <w:r>
        <w:rPr>
          <w:snapToGrid w:val="0"/>
        </w:rPr>
        <w:t> — upon the opinion, belief, or state of mind of the delegate.</w:t>
      </w:r>
    </w:p>
    <w:p>
      <w:pPr>
        <w:pStyle w:val="Footnotesection"/>
      </w:pPr>
      <w:bookmarkStart w:id="133" w:name="_Toc417967457"/>
      <w:bookmarkStart w:id="134" w:name="_Toc519921907"/>
      <w:bookmarkStart w:id="135" w:name="_Toc131396714"/>
      <w:r>
        <w:tab/>
        <w:t xml:space="preserve">[Section 13 amended by No. 28 of 2006 s. 322 and 332.] </w:t>
      </w:r>
    </w:p>
    <w:p>
      <w:pPr>
        <w:pStyle w:val="Heading5"/>
        <w:rPr>
          <w:snapToGrid w:val="0"/>
        </w:rPr>
      </w:pPr>
      <w:bookmarkStart w:id="136" w:name="_Toc202173113"/>
      <w:r>
        <w:rPr>
          <w:rStyle w:val="CharSectno"/>
        </w:rPr>
        <w:t>14</w:t>
      </w:r>
      <w:r>
        <w:rPr>
          <w:snapToGrid w:val="0"/>
        </w:rPr>
        <w:t>.</w:t>
      </w:r>
      <w:r>
        <w:rPr>
          <w:snapToGrid w:val="0"/>
        </w:rPr>
        <w:tab/>
        <w:t>Advice and investigations</w:t>
      </w:r>
      <w:bookmarkEnd w:id="133"/>
      <w:bookmarkEnd w:id="134"/>
      <w:bookmarkEnd w:id="135"/>
      <w:bookmarkEnd w:id="136"/>
      <w:r>
        <w:rPr>
          <w:snapToGrid w:val="0"/>
        </w:rPr>
        <w:t xml:space="preserve"> </w:t>
      </w:r>
    </w:p>
    <w:p>
      <w:pPr>
        <w:pStyle w:val="Subsection"/>
        <w:keepNext/>
        <w:keepLines/>
        <w:rPr>
          <w:snapToGrid w:val="0"/>
        </w:rPr>
      </w:pPr>
      <w:r>
        <w:rPr>
          <w:snapToGrid w:val="0"/>
        </w:rPr>
        <w:tab/>
        <w:t>(1)</w:t>
      </w:r>
      <w:r>
        <w:rPr>
          <w:snapToGrid w:val="0"/>
        </w:rPr>
        <w:tab/>
        <w:t xml:space="preserve">The </w:t>
      </w:r>
      <w:r>
        <w:t xml:space="preserve">Authority </w:t>
      </w:r>
      <w:r>
        <w:rPr>
          <w:snapToGrid w:val="0"/>
        </w:rPr>
        <w:t>shall — </w:t>
      </w:r>
    </w:p>
    <w:p>
      <w:pPr>
        <w:pStyle w:val="Indenta"/>
        <w:rPr>
          <w:snapToGrid w:val="0"/>
        </w:rPr>
      </w:pPr>
      <w:r>
        <w:rPr>
          <w:snapToGrid w:val="0"/>
        </w:rPr>
        <w:tab/>
        <w:t>(a)</w:t>
      </w:r>
      <w:r>
        <w:rPr>
          <w:snapToGrid w:val="0"/>
        </w:rPr>
        <w:tab/>
        <w:t>advise the Minister on matters connected with this Act generally;</w:t>
      </w:r>
    </w:p>
    <w:p>
      <w:pPr>
        <w:pStyle w:val="Indenta"/>
        <w:rPr>
          <w:snapToGrid w:val="0"/>
        </w:rPr>
      </w:pPr>
      <w:r>
        <w:rPr>
          <w:snapToGrid w:val="0"/>
        </w:rPr>
        <w:tab/>
        <w:t>(b)</w:t>
      </w:r>
      <w:r>
        <w:rPr>
          <w:snapToGrid w:val="0"/>
        </w:rPr>
        <w:tab/>
        <w:t>make or cause to be made any inquiry, investigation or report required by this Act, or any inquiry, investigation or report which the Minister may think necessary or expedient.</w:t>
      </w:r>
    </w:p>
    <w:p>
      <w:pPr>
        <w:pStyle w:val="Subsection"/>
        <w:rPr>
          <w:snapToGrid w:val="0"/>
        </w:rPr>
      </w:pPr>
      <w:r>
        <w:rPr>
          <w:snapToGrid w:val="0"/>
        </w:rPr>
        <w:tab/>
        <w:t>(2)</w:t>
      </w:r>
      <w:r>
        <w:rPr>
          <w:snapToGrid w:val="0"/>
        </w:rPr>
        <w:tab/>
        <w:t xml:space="preserve">The </w:t>
      </w:r>
      <w:r>
        <w:t xml:space="preserve">Authority </w:t>
      </w:r>
      <w:r>
        <w:rPr>
          <w:snapToGrid w:val="0"/>
        </w:rPr>
        <w:t>may carry out or cause to be carried out all such surveys, investigations and valuations as may be necessary or expedient for the purposes of this Act or incidental to its functions under this Act.</w:t>
      </w:r>
    </w:p>
    <w:p>
      <w:pPr>
        <w:pStyle w:val="Subsection"/>
        <w:rPr>
          <w:snapToGrid w:val="0"/>
        </w:rPr>
      </w:pPr>
      <w:r>
        <w:rPr>
          <w:snapToGrid w:val="0"/>
        </w:rPr>
        <w:tab/>
        <w:t>(3)</w:t>
      </w:r>
      <w:r>
        <w:rPr>
          <w:snapToGrid w:val="0"/>
        </w:rPr>
        <w:tab/>
        <w:t>The Authority shall also have such advisory powers as may from time to time be prescribed, and such other powers as may be imposed by the Minister on the Authority.</w:t>
      </w:r>
    </w:p>
    <w:p>
      <w:pPr>
        <w:pStyle w:val="Footnotesection"/>
      </w:pPr>
      <w:bookmarkStart w:id="137" w:name="_Toc417967458"/>
      <w:bookmarkStart w:id="138" w:name="_Toc519921908"/>
      <w:bookmarkStart w:id="139" w:name="_Toc131396715"/>
      <w:r>
        <w:tab/>
        <w:t xml:space="preserve">[Section 14 amended by No. 28 of 2006 s. 332.] </w:t>
      </w:r>
    </w:p>
    <w:p>
      <w:pPr>
        <w:pStyle w:val="Heading5"/>
        <w:rPr>
          <w:snapToGrid w:val="0"/>
        </w:rPr>
      </w:pPr>
      <w:bookmarkStart w:id="140" w:name="_Toc202173114"/>
      <w:r>
        <w:rPr>
          <w:rStyle w:val="CharSectno"/>
        </w:rPr>
        <w:t>15</w:t>
      </w:r>
      <w:r>
        <w:rPr>
          <w:snapToGrid w:val="0"/>
        </w:rPr>
        <w:t>.</w:t>
      </w:r>
      <w:r>
        <w:rPr>
          <w:snapToGrid w:val="0"/>
        </w:rPr>
        <w:tab/>
        <w:t>Applications</w:t>
      </w:r>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shall deal with applications for housing or financial assistance for housing made under this Act or under any other Act or law in relation to housing that is administered by the</w:t>
      </w:r>
      <w:r>
        <w:t xml:space="preserve"> Authority</w:t>
      </w:r>
      <w:r>
        <w:rPr>
          <w:snapToGrid w:val="0"/>
        </w:rPr>
        <w:t>.</w:t>
      </w:r>
    </w:p>
    <w:p>
      <w:pPr>
        <w:pStyle w:val="Subsection"/>
        <w:rPr>
          <w:snapToGrid w:val="0"/>
        </w:rPr>
      </w:pPr>
      <w:r>
        <w:rPr>
          <w:snapToGrid w:val="0"/>
        </w:rPr>
        <w:tab/>
        <w:t>(2)</w:t>
      </w:r>
      <w:r>
        <w:rPr>
          <w:snapToGrid w:val="0"/>
        </w:rPr>
        <w:tab/>
        <w:t xml:space="preserve">For the purpose of performing the duties mentioned in subsection (1) the </w:t>
      </w:r>
      <w:r>
        <w:t xml:space="preserve">Authority </w:t>
      </w:r>
      <w:r>
        <w:rPr>
          <w:snapToGrid w:val="0"/>
        </w:rPr>
        <w:t>shall, subject to the Act or law concerned, have power and authority — </w:t>
      </w:r>
    </w:p>
    <w:p>
      <w:pPr>
        <w:pStyle w:val="Indenta"/>
        <w:rPr>
          <w:snapToGrid w:val="0"/>
        </w:rPr>
      </w:pPr>
      <w:r>
        <w:rPr>
          <w:snapToGrid w:val="0"/>
        </w:rPr>
        <w:tab/>
        <w:t>(a)</w:t>
      </w:r>
      <w:r>
        <w:rPr>
          <w:snapToGrid w:val="0"/>
        </w:rPr>
        <w:tab/>
        <w:t>to inquire into and consider applications;</w:t>
      </w:r>
    </w:p>
    <w:p>
      <w:pPr>
        <w:pStyle w:val="Indenta"/>
        <w:rPr>
          <w:snapToGrid w:val="0"/>
        </w:rPr>
      </w:pPr>
      <w:r>
        <w:rPr>
          <w:snapToGrid w:val="0"/>
        </w:rPr>
        <w:tab/>
        <w:t>(b)</w:t>
      </w:r>
      <w:r>
        <w:rPr>
          <w:snapToGrid w:val="0"/>
        </w:rPr>
        <w:tab/>
        <w:t>to require any further or other information in respect of any application;</w:t>
      </w:r>
    </w:p>
    <w:p>
      <w:pPr>
        <w:pStyle w:val="Indenta"/>
        <w:rPr>
          <w:snapToGrid w:val="0"/>
        </w:rPr>
      </w:pPr>
      <w:r>
        <w:rPr>
          <w:snapToGrid w:val="0"/>
        </w:rPr>
        <w:tab/>
        <w:t>(c)</w:t>
      </w:r>
      <w:r>
        <w:rPr>
          <w:snapToGrid w:val="0"/>
        </w:rPr>
        <w:tab/>
        <w:t>to require any information provided in, or in respect of, an application to be verified by statutory declaration;</w:t>
      </w:r>
    </w:p>
    <w:p>
      <w:pPr>
        <w:pStyle w:val="Indenta"/>
        <w:rPr>
          <w:snapToGrid w:val="0"/>
        </w:rPr>
      </w:pPr>
      <w:r>
        <w:rPr>
          <w:snapToGrid w:val="0"/>
        </w:rPr>
        <w:tab/>
        <w:t>(d)</w:t>
      </w:r>
      <w:r>
        <w:rPr>
          <w:snapToGrid w:val="0"/>
        </w:rPr>
        <w:tab/>
        <w:t>to approve of any application (either wholly or in part);</w:t>
      </w:r>
    </w:p>
    <w:p>
      <w:pPr>
        <w:pStyle w:val="Indenta"/>
        <w:keepNext/>
        <w:rPr>
          <w:snapToGrid w:val="0"/>
        </w:rPr>
      </w:pPr>
      <w:r>
        <w:rPr>
          <w:snapToGrid w:val="0"/>
        </w:rPr>
        <w:tab/>
        <w:t>(e)</w:t>
      </w:r>
      <w:r>
        <w:rPr>
          <w:snapToGrid w:val="0"/>
        </w:rPr>
        <w:tab/>
        <w:t>to refuse any application.</w:t>
      </w:r>
    </w:p>
    <w:p>
      <w:pPr>
        <w:pStyle w:val="Footnotesection"/>
      </w:pPr>
      <w:bookmarkStart w:id="141" w:name="_Toc417967459"/>
      <w:bookmarkStart w:id="142" w:name="_Toc519921909"/>
      <w:bookmarkStart w:id="143" w:name="_Toc131396716"/>
      <w:r>
        <w:tab/>
        <w:t xml:space="preserve">[Section 15 amended by No. 28 of 2006 s. 332.] </w:t>
      </w:r>
    </w:p>
    <w:p>
      <w:pPr>
        <w:pStyle w:val="Heading5"/>
        <w:rPr>
          <w:snapToGrid w:val="0"/>
        </w:rPr>
      </w:pPr>
      <w:bookmarkStart w:id="144" w:name="_Toc202173115"/>
      <w:r>
        <w:rPr>
          <w:rStyle w:val="CharSectno"/>
        </w:rPr>
        <w:t>16</w:t>
      </w:r>
      <w:r>
        <w:rPr>
          <w:snapToGrid w:val="0"/>
        </w:rPr>
        <w:t>.</w:t>
      </w:r>
      <w:r>
        <w:rPr>
          <w:snapToGrid w:val="0"/>
        </w:rPr>
        <w:tab/>
        <w:t>Assistance to and collaboration with other bodies</w:t>
      </w:r>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 xml:space="preserve">Subject to subsection (2) the </w:t>
      </w:r>
      <w:r>
        <w:t xml:space="preserve">Authority </w:t>
      </w:r>
      <w:r>
        <w:rPr>
          <w:snapToGrid w:val="0"/>
        </w:rPr>
        <w:t>may give such assistance as it thinks fit to enable or assist — </w:t>
      </w:r>
    </w:p>
    <w:p>
      <w:pPr>
        <w:pStyle w:val="Indenta"/>
        <w:rPr>
          <w:snapToGrid w:val="0"/>
        </w:rPr>
      </w:pPr>
      <w:r>
        <w:rPr>
          <w:snapToGrid w:val="0"/>
        </w:rPr>
        <w:tab/>
        <w:t>(a)</w:t>
      </w:r>
      <w:r>
        <w:rPr>
          <w:snapToGrid w:val="0"/>
        </w:rPr>
        <w:tab/>
        <w:t>any public authority; or</w:t>
      </w:r>
    </w:p>
    <w:p>
      <w:pPr>
        <w:pStyle w:val="Indenta"/>
        <w:rPr>
          <w:snapToGrid w:val="0"/>
        </w:rPr>
      </w:pPr>
      <w:r>
        <w:rPr>
          <w:snapToGrid w:val="0"/>
        </w:rPr>
        <w:tab/>
        <w:t>(b)</w:t>
      </w:r>
      <w:r>
        <w:rPr>
          <w:snapToGrid w:val="0"/>
        </w:rPr>
        <w:tab/>
        <w:t>any person approved by the Minister,</w:t>
      </w:r>
    </w:p>
    <w:p>
      <w:pPr>
        <w:pStyle w:val="Subsection"/>
        <w:rPr>
          <w:snapToGrid w:val="0"/>
        </w:rPr>
      </w:pPr>
      <w:r>
        <w:rPr>
          <w:snapToGrid w:val="0"/>
        </w:rPr>
        <w:tab/>
      </w:r>
      <w:r>
        <w:rPr>
          <w:snapToGrid w:val="0"/>
        </w:rPr>
        <w:tab/>
        <w:t>to engage in any activity related to the objects of this Act </w:t>
      </w:r>
      <w:r>
        <w:t xml:space="preserve">or the </w:t>
      </w:r>
      <w:r>
        <w:rPr>
          <w:i/>
        </w:rPr>
        <w:t>Government Employees’ Housing Act 1964</w:t>
      </w:r>
      <w:r>
        <w:t xml:space="preserve"> </w:t>
      </w:r>
      <w:r>
        <w:rPr>
          <w:snapToGrid w:val="0"/>
        </w:rPr>
        <w:t>and may seek and maintain appropriate representation on the board or other governing authority of any body corporate to which such assistance is given.</w:t>
      </w:r>
    </w:p>
    <w:p>
      <w:pPr>
        <w:pStyle w:val="Subsection"/>
        <w:rPr>
          <w:snapToGrid w:val="0"/>
        </w:rPr>
      </w:pPr>
      <w:r>
        <w:rPr>
          <w:snapToGrid w:val="0"/>
        </w:rPr>
        <w:tab/>
        <w:t>(2)</w:t>
      </w:r>
      <w:r>
        <w:rPr>
          <w:snapToGrid w:val="0"/>
        </w:rPr>
        <w:tab/>
        <w:t xml:space="preserve">The </w:t>
      </w:r>
      <w:r>
        <w:t xml:space="preserve">Authority </w:t>
      </w:r>
      <w:r>
        <w:rPr>
          <w:snapToGrid w:val="0"/>
        </w:rPr>
        <w:t>shall not give assistance under subsection (1) by way of — </w:t>
      </w:r>
    </w:p>
    <w:p>
      <w:pPr>
        <w:pStyle w:val="Indenta"/>
        <w:rPr>
          <w:snapToGrid w:val="0"/>
        </w:rPr>
      </w:pPr>
      <w:r>
        <w:rPr>
          <w:snapToGrid w:val="0"/>
        </w:rPr>
        <w:tab/>
        <w:t>(a)</w:t>
      </w:r>
      <w:r>
        <w:rPr>
          <w:snapToGrid w:val="0"/>
        </w:rPr>
        <w:tab/>
        <w:t>granting financial aid or enabling financial aid to be obtained;</w:t>
      </w:r>
    </w:p>
    <w:p>
      <w:pPr>
        <w:pStyle w:val="Indenta"/>
        <w:rPr>
          <w:snapToGrid w:val="0"/>
        </w:rPr>
      </w:pPr>
      <w:r>
        <w:rPr>
          <w:snapToGrid w:val="0"/>
        </w:rPr>
        <w:tab/>
        <w:t>(b)</w:t>
      </w:r>
      <w:r>
        <w:rPr>
          <w:snapToGrid w:val="0"/>
        </w:rPr>
        <w:tab/>
        <w:t>making available the services of any officer or employee of the</w:t>
      </w:r>
      <w:r>
        <w:t xml:space="preserve"> Authority</w:t>
      </w:r>
      <w:r>
        <w:rPr>
          <w:snapToGrid w:val="0"/>
        </w:rPr>
        <w:t>; or</w:t>
      </w:r>
    </w:p>
    <w:p>
      <w:pPr>
        <w:pStyle w:val="Indenta"/>
        <w:rPr>
          <w:snapToGrid w:val="0"/>
        </w:rPr>
      </w:pPr>
      <w:r>
        <w:rPr>
          <w:snapToGrid w:val="0"/>
        </w:rPr>
        <w:tab/>
        <w:t>(c)</w:t>
      </w:r>
      <w:r>
        <w:rPr>
          <w:snapToGrid w:val="0"/>
        </w:rPr>
        <w:tab/>
        <w:t>making available any facilities of the</w:t>
      </w:r>
      <w:r>
        <w:t xml:space="preserve"> Authority</w:t>
      </w:r>
      <w:r>
        <w:rPr>
          <w:snapToGrid w:val="0"/>
        </w:rPr>
        <w:t>,</w:t>
      </w:r>
    </w:p>
    <w:p>
      <w:pPr>
        <w:pStyle w:val="Subsection"/>
        <w:rPr>
          <w:snapToGrid w:val="0"/>
        </w:rPr>
      </w:pPr>
      <w:r>
        <w:rPr>
          <w:snapToGrid w:val="0"/>
        </w:rPr>
        <w:tab/>
      </w:r>
      <w:r>
        <w:rPr>
          <w:snapToGrid w:val="0"/>
        </w:rPr>
        <w:tab/>
        <w:t>except with the consent of the Minister.</w:t>
      </w:r>
    </w:p>
    <w:p>
      <w:pPr>
        <w:pStyle w:val="Subsection"/>
        <w:rPr>
          <w:snapToGrid w:val="0"/>
        </w:rPr>
      </w:pPr>
      <w:r>
        <w:rPr>
          <w:snapToGrid w:val="0"/>
        </w:rPr>
        <w:tab/>
        <w:t>(3)</w:t>
      </w:r>
      <w:r>
        <w:rPr>
          <w:snapToGrid w:val="0"/>
        </w:rPr>
        <w:tab/>
        <w:t xml:space="preserve">The </w:t>
      </w:r>
      <w:r>
        <w:t xml:space="preserve">Authority </w:t>
      </w:r>
      <w:r>
        <w:rPr>
          <w:snapToGrid w:val="0"/>
        </w:rPr>
        <w:t>may, with the consent of the Minister, in respect of the performance of any of its functions — </w:t>
      </w:r>
    </w:p>
    <w:p>
      <w:pPr>
        <w:pStyle w:val="Indenta"/>
        <w:rPr>
          <w:snapToGrid w:val="0"/>
        </w:rPr>
      </w:pPr>
      <w:r>
        <w:rPr>
          <w:snapToGrid w:val="0"/>
        </w:rPr>
        <w:tab/>
        <w:t>(a)</w:t>
      </w:r>
      <w:r>
        <w:rPr>
          <w:snapToGrid w:val="0"/>
        </w:rPr>
        <w:tab/>
        <w:t>engage consultants having relevant qualifications or experience;</w:t>
      </w:r>
    </w:p>
    <w:p>
      <w:pPr>
        <w:pStyle w:val="Indenta"/>
        <w:rPr>
          <w:snapToGrid w:val="0"/>
        </w:rPr>
      </w:pPr>
      <w:r>
        <w:rPr>
          <w:snapToGrid w:val="0"/>
        </w:rPr>
        <w:tab/>
        <w:t>(b)</w:t>
      </w:r>
      <w:r>
        <w:rPr>
          <w:snapToGrid w:val="0"/>
        </w:rPr>
        <w:tab/>
        <w:t>consult or collaborate with other bodies or persons having interests or functions similar or related to those of the</w:t>
      </w:r>
      <w:r>
        <w:t xml:space="preserve"> Authority</w:t>
      </w:r>
      <w:r>
        <w:rPr>
          <w:snapToGrid w:val="0"/>
        </w:rPr>
        <w:t>.</w:t>
      </w:r>
    </w:p>
    <w:p>
      <w:pPr>
        <w:pStyle w:val="Footnotesection"/>
      </w:pPr>
      <w:r>
        <w:tab/>
        <w:t>[Section 16 amended by No. 28 of 2006 s. 323 and 332.]</w:t>
      </w:r>
    </w:p>
    <w:p>
      <w:pPr>
        <w:pStyle w:val="Heading3"/>
      </w:pPr>
      <w:bookmarkStart w:id="145" w:name="_Toc116712847"/>
      <w:bookmarkStart w:id="146" w:name="_Toc116811264"/>
      <w:bookmarkStart w:id="147" w:name="_Toc131396717"/>
      <w:bookmarkStart w:id="148" w:name="_Toc139275277"/>
      <w:bookmarkStart w:id="149" w:name="_Toc139691306"/>
      <w:bookmarkStart w:id="150" w:name="_Toc141767908"/>
      <w:bookmarkStart w:id="151" w:name="_Toc141770658"/>
      <w:bookmarkStart w:id="152" w:name="_Toc143395758"/>
      <w:bookmarkStart w:id="153" w:name="_Toc143568952"/>
      <w:bookmarkStart w:id="154" w:name="_Toc143569057"/>
      <w:bookmarkStart w:id="155" w:name="_Toc143592612"/>
      <w:bookmarkStart w:id="156" w:name="_Toc144543064"/>
      <w:bookmarkStart w:id="157" w:name="_Toc155597288"/>
      <w:bookmarkStart w:id="158" w:name="_Toc157914609"/>
      <w:bookmarkStart w:id="159" w:name="_Toc196124030"/>
      <w:bookmarkStart w:id="160" w:name="_Toc202173116"/>
      <w:r>
        <w:rPr>
          <w:rStyle w:val="CharDivNo"/>
        </w:rPr>
        <w:t>Division 3</w:t>
      </w:r>
      <w:r>
        <w:rPr>
          <w:snapToGrid w:val="0"/>
        </w:rPr>
        <w:t> — </w:t>
      </w:r>
      <w:r>
        <w:rPr>
          <w:rStyle w:val="CharDivText"/>
        </w:rPr>
        <w:t>Staff of the</w:t>
      </w:r>
      <w:bookmarkEnd w:id="145"/>
      <w:bookmarkEnd w:id="146"/>
      <w:bookmarkEnd w:id="147"/>
      <w:r>
        <w:rPr>
          <w:rStyle w:val="CharDivText"/>
        </w:rPr>
        <w:t xml:space="preserve"> Authority</w:t>
      </w:r>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Footnoteheading"/>
      </w:pPr>
      <w:r>
        <w:tab/>
        <w:t>[Heading amended by No. 28 of 2006 s. 324.]</w:t>
      </w:r>
    </w:p>
    <w:p>
      <w:pPr>
        <w:pStyle w:val="Heading5"/>
        <w:spacing w:before="240"/>
        <w:rPr>
          <w:snapToGrid w:val="0"/>
        </w:rPr>
      </w:pPr>
      <w:bookmarkStart w:id="161" w:name="_Toc417967460"/>
      <w:bookmarkStart w:id="162" w:name="_Toc519921910"/>
      <w:bookmarkStart w:id="163" w:name="_Toc131396718"/>
      <w:bookmarkStart w:id="164" w:name="_Toc202173117"/>
      <w:r>
        <w:rPr>
          <w:rStyle w:val="CharSectno"/>
        </w:rPr>
        <w:t>17</w:t>
      </w:r>
      <w:r>
        <w:rPr>
          <w:snapToGrid w:val="0"/>
        </w:rPr>
        <w:t>.</w:t>
      </w:r>
      <w:r>
        <w:rPr>
          <w:snapToGrid w:val="0"/>
        </w:rPr>
        <w:tab/>
      </w:r>
      <w:bookmarkEnd w:id="161"/>
      <w:bookmarkEnd w:id="162"/>
      <w:bookmarkEnd w:id="163"/>
      <w:r>
        <w:rPr>
          <w:snapToGrid w:val="0"/>
        </w:rPr>
        <w:t>Chief executive officer of the Authority and other officers and employees</w:t>
      </w:r>
      <w:bookmarkEnd w:id="164"/>
    </w:p>
    <w:p>
      <w:pPr>
        <w:pStyle w:val="Subsection"/>
        <w:rPr>
          <w:snapToGrid w:val="0"/>
        </w:rPr>
      </w:pPr>
      <w:r>
        <w:rPr>
          <w:snapToGrid w:val="0"/>
        </w:rPr>
        <w:tab/>
        <w:t>(1)</w:t>
      </w:r>
      <w:r>
        <w:rPr>
          <w:snapToGrid w:val="0"/>
        </w:rPr>
        <w:tab/>
        <w:t xml:space="preserve">To enable the </w:t>
      </w:r>
      <w:r>
        <w:t xml:space="preserve">Authority </w:t>
      </w:r>
      <w:r>
        <w:rPr>
          <w:snapToGrid w:val="0"/>
        </w:rPr>
        <w:t>to exercise and perform the powers, functions and duties conferred on it by or under this Act or any other Act — </w:t>
      </w:r>
    </w:p>
    <w:p>
      <w:pPr>
        <w:pStyle w:val="Indenta"/>
        <w:rPr>
          <w:snapToGrid w:val="0"/>
        </w:rPr>
      </w:pPr>
      <w:r>
        <w:rPr>
          <w:snapToGrid w:val="0"/>
        </w:rPr>
        <w:tab/>
        <w:t>(a)</w:t>
      </w:r>
      <w:r>
        <w:rPr>
          <w:snapToGrid w:val="0"/>
        </w:rPr>
        <w:tab/>
        <w:t xml:space="preserve">there shall be a </w:t>
      </w:r>
      <w:r>
        <w:t>chief executive officer</w:t>
      </w:r>
      <w:r>
        <w:rPr>
          <w:snapToGrid w:val="0"/>
        </w:rPr>
        <w:t xml:space="preserve"> of the </w:t>
      </w:r>
      <w:r>
        <w:t xml:space="preserve">Authority </w:t>
      </w:r>
      <w:r>
        <w:rPr>
          <w:snapToGrid w:val="0"/>
        </w:rPr>
        <w:t xml:space="preserve">who shall be appointed, under and subject to Part 3 of the </w:t>
      </w:r>
      <w:r>
        <w:rPr>
          <w:i/>
          <w:snapToGrid w:val="0"/>
        </w:rPr>
        <w:t>Public Sector Management Act 1994</w:t>
      </w:r>
      <w:r>
        <w:rPr>
          <w:snapToGrid w:val="0"/>
        </w:rPr>
        <w:t>;</w:t>
      </w:r>
    </w:p>
    <w:p>
      <w:pPr>
        <w:pStyle w:val="Indenta"/>
        <w:rPr>
          <w:snapToGrid w:val="0"/>
        </w:rPr>
      </w:pPr>
      <w:r>
        <w:rPr>
          <w:snapToGrid w:val="0"/>
        </w:rPr>
        <w:tab/>
        <w:t>(b)</w:t>
      </w:r>
      <w:r>
        <w:rPr>
          <w:snapToGrid w:val="0"/>
        </w:rPr>
        <w:tab/>
        <w:t xml:space="preserve">there shall be appointed under and subject to Part 3 of the </w:t>
      </w:r>
      <w:r>
        <w:rPr>
          <w:i/>
          <w:snapToGrid w:val="0"/>
        </w:rPr>
        <w:t>Public Sector Management Act 1994</w:t>
      </w:r>
      <w:r>
        <w:rPr>
          <w:snapToGrid w:val="0"/>
        </w:rPr>
        <w:t xml:space="preserve">, such officers as the </w:t>
      </w:r>
      <w:r>
        <w:t xml:space="preserve">Authority </w:t>
      </w:r>
      <w:r>
        <w:rPr>
          <w:snapToGrid w:val="0"/>
        </w:rPr>
        <w:t>considers necessary;</w:t>
      </w:r>
    </w:p>
    <w:p>
      <w:pPr>
        <w:pStyle w:val="Indenta"/>
        <w:rPr>
          <w:snapToGrid w:val="0"/>
        </w:rPr>
      </w:pPr>
      <w:r>
        <w:rPr>
          <w:snapToGrid w:val="0"/>
        </w:rPr>
        <w:tab/>
        <w:t>(c)</w:t>
      </w:r>
      <w:r>
        <w:rPr>
          <w:snapToGrid w:val="0"/>
        </w:rPr>
        <w:tab/>
        <w:t xml:space="preserve">the </w:t>
      </w:r>
      <w:r>
        <w:t xml:space="preserve">Authority </w:t>
      </w:r>
      <w:r>
        <w:rPr>
          <w:snapToGrid w:val="0"/>
        </w:rPr>
        <w:t>may employ such wages staff as it considers necessary.</w:t>
      </w:r>
    </w:p>
    <w:p>
      <w:pPr>
        <w:pStyle w:val="Subsection"/>
        <w:spacing w:before="180"/>
      </w:pPr>
      <w:r>
        <w:tab/>
        <w:t>(2)</w:t>
      </w:r>
      <w:r>
        <w:tab/>
        <w:t xml:space="preserve">The chief executive officer of the Authority cannot be excluded from the Senior Executive Service under section 43(3) of the </w:t>
      </w:r>
      <w:r>
        <w:rPr>
          <w:i/>
        </w:rPr>
        <w:t>Public Sector Management Act 1994</w:t>
      </w:r>
      <w:r>
        <w:t>.</w:t>
      </w:r>
    </w:p>
    <w:p>
      <w:pPr>
        <w:pStyle w:val="Subsection"/>
        <w:spacing w:before="180"/>
      </w:pPr>
      <w:r>
        <w:tab/>
        <w:t>(3)</w:t>
      </w:r>
      <w:r>
        <w:tab/>
        <w:t>The chief executive officer is responsible for, and has the necessary powers to administer, the day to day operations of the Authority.</w:t>
      </w:r>
    </w:p>
    <w:p>
      <w:pPr>
        <w:pStyle w:val="Footnotesection"/>
      </w:pPr>
      <w:r>
        <w:tab/>
        <w:t xml:space="preserve">[Section 17 amended by No. 32 of 1994 s. 19; No. 28 of 2006 s. 325 and 332.] </w:t>
      </w:r>
    </w:p>
    <w:p>
      <w:pPr>
        <w:pStyle w:val="Heading5"/>
        <w:spacing w:before="240"/>
        <w:rPr>
          <w:snapToGrid w:val="0"/>
        </w:rPr>
      </w:pPr>
      <w:bookmarkStart w:id="165" w:name="_Toc417967461"/>
      <w:bookmarkStart w:id="166" w:name="_Toc519921911"/>
      <w:bookmarkStart w:id="167" w:name="_Toc131396719"/>
      <w:bookmarkStart w:id="168" w:name="_Toc202173118"/>
      <w:r>
        <w:rPr>
          <w:rStyle w:val="CharSectno"/>
        </w:rPr>
        <w:t>18</w:t>
      </w:r>
      <w:r>
        <w:rPr>
          <w:snapToGrid w:val="0"/>
        </w:rPr>
        <w:t>.</w:t>
      </w:r>
      <w:r>
        <w:rPr>
          <w:snapToGrid w:val="0"/>
        </w:rPr>
        <w:tab/>
        <w:t>Terms and conditions of employment of wages staff</w:t>
      </w:r>
      <w:bookmarkEnd w:id="165"/>
      <w:bookmarkEnd w:id="166"/>
      <w:bookmarkEnd w:id="167"/>
      <w:bookmarkEnd w:id="168"/>
      <w:r>
        <w:rPr>
          <w:snapToGrid w:val="0"/>
        </w:rPr>
        <w:t xml:space="preserve"> </w:t>
      </w:r>
    </w:p>
    <w:p>
      <w:pPr>
        <w:pStyle w:val="Subsection"/>
        <w:spacing w:before="180"/>
        <w:rPr>
          <w:snapToGrid w:val="0"/>
        </w:rPr>
      </w:pPr>
      <w:r>
        <w:rPr>
          <w:snapToGrid w:val="0"/>
        </w:rPr>
        <w:tab/>
        <w:t>(1)</w:t>
      </w:r>
      <w:r>
        <w:rPr>
          <w:snapToGrid w:val="0"/>
        </w:rPr>
        <w:tab/>
        <w:t>Subject to any relevant award or industrial agreement the terms and conditions of employment of staff employed pursuant to section 17(c) shall be such terms and conditions as the</w:t>
      </w:r>
      <w:r>
        <w:t xml:space="preserve"> Authority</w:t>
      </w:r>
      <w:r>
        <w:rPr>
          <w:snapToGrid w:val="0"/>
        </w:rPr>
        <w:t>, after consultation with the Minister for Public Sector Management </w:t>
      </w:r>
      <w:r>
        <w:rPr>
          <w:snapToGrid w:val="0"/>
          <w:vertAlign w:val="superscript"/>
        </w:rPr>
        <w:t>2</w:t>
      </w:r>
      <w:r>
        <w:rPr>
          <w:snapToGrid w:val="0"/>
        </w:rPr>
        <w:t>, determines.</w:t>
      </w:r>
    </w:p>
    <w:p>
      <w:pPr>
        <w:pStyle w:val="Subsection"/>
        <w:keepNext/>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staff employed under section 17(c).</w:t>
      </w:r>
    </w:p>
    <w:p>
      <w:pPr>
        <w:pStyle w:val="Footnotesection"/>
        <w:ind w:left="890" w:hanging="890"/>
      </w:pPr>
      <w:r>
        <w:tab/>
        <w:t xml:space="preserve">[Section 18 amended by No. 32 of 1994 s. 19; No. 28 of 2006 s. 332.] </w:t>
      </w:r>
    </w:p>
    <w:p>
      <w:pPr>
        <w:pStyle w:val="Heading5"/>
      </w:pPr>
      <w:bookmarkStart w:id="169" w:name="_Toc202173119"/>
      <w:r>
        <w:rPr>
          <w:rStyle w:val="CharSectno"/>
        </w:rPr>
        <w:t>18A</w:t>
      </w:r>
      <w:bookmarkStart w:id="170" w:name="_Toc138751135"/>
      <w:bookmarkStart w:id="171" w:name="_Toc139166876"/>
      <w:r>
        <w:t>.</w:t>
      </w:r>
      <w:r>
        <w:tab/>
        <w:t>Use of other staff and facilities</w:t>
      </w:r>
      <w:bookmarkEnd w:id="169"/>
      <w:bookmarkEnd w:id="170"/>
      <w:bookmarkEnd w:id="171"/>
    </w:p>
    <w:p>
      <w:pPr>
        <w:pStyle w:val="Subsection"/>
      </w:pPr>
      <w:r>
        <w:tab/>
        <w:t>(1)</w:t>
      </w:r>
      <w:r>
        <w:tab/>
        <w:t>The Authority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 xml:space="preserve">The Authority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Subsection"/>
      </w:pPr>
      <w:r>
        <w:tab/>
        <w:t>(4)</w:t>
      </w:r>
      <w:r>
        <w:tab/>
        <w:t xml:space="preserve">In this section, </w:t>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respective meanings as they have in that Act.</w:t>
      </w:r>
    </w:p>
    <w:p>
      <w:pPr>
        <w:pStyle w:val="Footnotesection"/>
      </w:pPr>
      <w:bookmarkStart w:id="172" w:name="_Toc116712850"/>
      <w:bookmarkStart w:id="173" w:name="_Toc116811267"/>
      <w:bookmarkStart w:id="174" w:name="_Toc131396720"/>
      <w:r>
        <w:tab/>
        <w:t>[Section 18A inserted by No. 28 of 2006 s. 326.]</w:t>
      </w:r>
    </w:p>
    <w:p>
      <w:pPr>
        <w:pStyle w:val="Heading2"/>
      </w:pPr>
      <w:bookmarkStart w:id="175" w:name="_Toc139275281"/>
      <w:bookmarkStart w:id="176" w:name="_Toc139691310"/>
      <w:bookmarkStart w:id="177" w:name="_Toc141767912"/>
      <w:bookmarkStart w:id="178" w:name="_Toc141770662"/>
      <w:bookmarkStart w:id="179" w:name="_Toc143395762"/>
      <w:bookmarkStart w:id="180" w:name="_Toc143568956"/>
      <w:bookmarkStart w:id="181" w:name="_Toc143569061"/>
      <w:bookmarkStart w:id="182" w:name="_Toc143592616"/>
      <w:bookmarkStart w:id="183" w:name="_Toc144543068"/>
      <w:bookmarkStart w:id="184" w:name="_Toc155597292"/>
      <w:bookmarkStart w:id="185" w:name="_Toc157914613"/>
      <w:bookmarkStart w:id="186" w:name="_Toc196124034"/>
      <w:bookmarkStart w:id="187" w:name="_Toc202173120"/>
      <w:r>
        <w:rPr>
          <w:rStyle w:val="CharPartNo"/>
        </w:rPr>
        <w:t>Part III</w:t>
      </w:r>
      <w:r>
        <w:t> — </w:t>
      </w:r>
      <w:r>
        <w:rPr>
          <w:rStyle w:val="CharPartText"/>
        </w:rPr>
        <w:t>Acquisition, development and disposal of property</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Heading3"/>
        <w:rPr>
          <w:snapToGrid w:val="0"/>
        </w:rPr>
      </w:pPr>
      <w:bookmarkStart w:id="188" w:name="_Toc116712851"/>
      <w:bookmarkStart w:id="189" w:name="_Toc116811268"/>
      <w:bookmarkStart w:id="190" w:name="_Toc131396721"/>
      <w:bookmarkStart w:id="191" w:name="_Toc139275282"/>
      <w:bookmarkStart w:id="192" w:name="_Toc139691311"/>
      <w:bookmarkStart w:id="193" w:name="_Toc141767913"/>
      <w:bookmarkStart w:id="194" w:name="_Toc141770663"/>
      <w:bookmarkStart w:id="195" w:name="_Toc143395763"/>
      <w:bookmarkStart w:id="196" w:name="_Toc143568957"/>
      <w:bookmarkStart w:id="197" w:name="_Toc143569062"/>
      <w:bookmarkStart w:id="198" w:name="_Toc143592617"/>
      <w:bookmarkStart w:id="199" w:name="_Toc144543069"/>
      <w:bookmarkStart w:id="200" w:name="_Toc155597293"/>
      <w:bookmarkStart w:id="201" w:name="_Toc157914614"/>
      <w:bookmarkStart w:id="202" w:name="_Toc196124035"/>
      <w:bookmarkStart w:id="203" w:name="_Toc202173121"/>
      <w:r>
        <w:rPr>
          <w:rStyle w:val="CharDivNo"/>
        </w:rPr>
        <w:t>Division 1</w:t>
      </w:r>
      <w:r>
        <w:rPr>
          <w:snapToGrid w:val="0"/>
        </w:rPr>
        <w:t> — </w:t>
      </w:r>
      <w:r>
        <w:rPr>
          <w:rStyle w:val="CharDivText"/>
        </w:rPr>
        <w:t>Acquisition and development of property</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r>
        <w:rPr>
          <w:rStyle w:val="CharDivText"/>
        </w:rPr>
        <w:t xml:space="preserve"> </w:t>
      </w:r>
    </w:p>
    <w:p>
      <w:pPr>
        <w:pStyle w:val="Heading5"/>
        <w:rPr>
          <w:snapToGrid w:val="0"/>
        </w:rPr>
      </w:pPr>
      <w:bookmarkStart w:id="204" w:name="_Toc417967462"/>
      <w:bookmarkStart w:id="205" w:name="_Toc519921912"/>
      <w:bookmarkStart w:id="206" w:name="_Toc131396722"/>
      <w:bookmarkStart w:id="207" w:name="_Toc202173122"/>
      <w:r>
        <w:rPr>
          <w:rStyle w:val="CharSectno"/>
        </w:rPr>
        <w:t>19</w:t>
      </w:r>
      <w:r>
        <w:rPr>
          <w:snapToGrid w:val="0"/>
        </w:rPr>
        <w:t>.</w:t>
      </w:r>
      <w:r>
        <w:rPr>
          <w:snapToGrid w:val="0"/>
        </w:rPr>
        <w:tab/>
        <w:t>Acquisition of land</w:t>
      </w:r>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may with the consent of the Minister purchase any land for the purposes of this Act.</w:t>
      </w:r>
    </w:p>
    <w:p>
      <w:pPr>
        <w:pStyle w:val="Subsection"/>
        <w:rPr>
          <w:snapToGrid w:val="0"/>
        </w:rPr>
      </w:pPr>
      <w:r>
        <w:rPr>
          <w:snapToGrid w:val="0"/>
        </w:rPr>
        <w:tab/>
        <w:t>(2)</w:t>
      </w:r>
      <w:r>
        <w:rPr>
          <w:snapToGrid w:val="0"/>
        </w:rPr>
        <w:tab/>
        <w:t xml:space="preserve">The </w:t>
      </w:r>
      <w:r>
        <w:t xml:space="preserve">Authority </w:t>
      </w:r>
      <w:r>
        <w:rPr>
          <w:snapToGrid w:val="0"/>
        </w:rPr>
        <w:t>is not authorised to take or resume land by compulsory acquisition.</w:t>
      </w:r>
    </w:p>
    <w:p>
      <w:pPr>
        <w:pStyle w:val="Footnotesection"/>
      </w:pPr>
      <w:bookmarkStart w:id="208" w:name="_Toc417967463"/>
      <w:bookmarkStart w:id="209" w:name="_Toc519921913"/>
      <w:bookmarkStart w:id="210" w:name="_Toc131396723"/>
      <w:r>
        <w:tab/>
        <w:t>[Section 19 inserted by No. 28 of 2006 s. 332.]</w:t>
      </w:r>
    </w:p>
    <w:p>
      <w:pPr>
        <w:pStyle w:val="Heading5"/>
        <w:rPr>
          <w:snapToGrid w:val="0"/>
        </w:rPr>
      </w:pPr>
      <w:bookmarkStart w:id="211" w:name="_Toc202173123"/>
      <w:r>
        <w:rPr>
          <w:rStyle w:val="CharSectno"/>
        </w:rPr>
        <w:t>20</w:t>
      </w:r>
      <w:r>
        <w:rPr>
          <w:snapToGrid w:val="0"/>
        </w:rPr>
        <w:t>.</w:t>
      </w:r>
      <w:r>
        <w:rPr>
          <w:snapToGrid w:val="0"/>
        </w:rPr>
        <w:tab/>
        <w:t>Gifts</w:t>
      </w:r>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 xml:space="preserve">For the purposes of this Act the </w:t>
      </w:r>
      <w:r>
        <w:t xml:space="preserve">Authority </w:t>
      </w:r>
      <w:r>
        <w:rPr>
          <w:snapToGrid w:val="0"/>
        </w:rPr>
        <w:t>may — </w:t>
      </w:r>
    </w:p>
    <w:p>
      <w:pPr>
        <w:pStyle w:val="Indenta"/>
        <w:rPr>
          <w:snapToGrid w:val="0"/>
        </w:rPr>
      </w:pPr>
      <w:r>
        <w:rPr>
          <w:snapToGrid w:val="0"/>
        </w:rPr>
        <w:tab/>
        <w:t>(a)</w:t>
      </w:r>
      <w:r>
        <w:rPr>
          <w:snapToGrid w:val="0"/>
        </w:rPr>
        <w:tab/>
        <w:t>accept any absolute donation, gift, devise or bequest of real or personal property; or</w:t>
      </w:r>
    </w:p>
    <w:p>
      <w:pPr>
        <w:pStyle w:val="Indenta"/>
        <w:rPr>
          <w:snapToGrid w:val="0"/>
        </w:rPr>
      </w:pPr>
      <w:r>
        <w:rPr>
          <w:snapToGrid w:val="0"/>
        </w:rPr>
        <w:tab/>
        <w:t>(b)</w:t>
      </w:r>
      <w:r>
        <w:rPr>
          <w:snapToGrid w:val="0"/>
        </w:rPr>
        <w:tab/>
        <w:t xml:space="preserve">with the consent of the Minister, accept any donation, gift, devise or bequest of real or personal property subject to any trust the objects of which are not substantially different from those for which the </w:t>
      </w:r>
      <w:r>
        <w:t xml:space="preserve">Authority </w:t>
      </w:r>
      <w:r>
        <w:rPr>
          <w:snapToGrid w:val="0"/>
        </w:rPr>
        <w:t>is constituted, and carry out and give effect to the objects of any such trust.</w:t>
      </w:r>
    </w:p>
    <w:p>
      <w:pPr>
        <w:pStyle w:val="Subsection"/>
        <w:rPr>
          <w:snapToGrid w:val="0"/>
        </w:rPr>
      </w:pPr>
      <w:r>
        <w:rPr>
          <w:snapToGrid w:val="0"/>
        </w:rPr>
        <w:tab/>
        <w:t>(2)</w:t>
      </w:r>
      <w:r>
        <w:rPr>
          <w:snapToGrid w:val="0"/>
        </w:rPr>
        <w:tab/>
        <w:t xml:space="preserve">The </w:t>
      </w:r>
      <w:r>
        <w:t xml:space="preserve">Authority </w:t>
      </w:r>
      <w:r>
        <w:rPr>
          <w:snapToGrid w:val="0"/>
        </w:rPr>
        <w:t xml:space="preserve">may receive any donation, gift, devise or bequest for the purpose of assisting it to provide houses for persons notwithstanding that the donation, gift, devise or bequest is subject to any trust, condition or stipulation which cannot by reason of any other provision of this Act be given effect to, and the </w:t>
      </w:r>
      <w:r>
        <w:t xml:space="preserve">Authority </w:t>
      </w:r>
      <w:r>
        <w:rPr>
          <w:snapToGrid w:val="0"/>
        </w:rPr>
        <w:t>may, notwithstanding that provision, give effect to the trust, condition or stipulation, if it is otherwise in accordance with law.</w:t>
      </w:r>
    </w:p>
    <w:p>
      <w:pPr>
        <w:pStyle w:val="Subsection"/>
        <w:keepNext/>
        <w:keepLines/>
        <w:rPr>
          <w:snapToGrid w:val="0"/>
        </w:rPr>
      </w:pPr>
      <w:r>
        <w:rPr>
          <w:snapToGrid w:val="0"/>
        </w:rPr>
        <w:tab/>
        <w:t>(3)</w:t>
      </w:r>
      <w:r>
        <w:rPr>
          <w:snapToGrid w:val="0"/>
        </w:rPr>
        <w:tab/>
        <w:t xml:space="preserve">No </w:t>
      </w:r>
      <w:r>
        <w:t xml:space="preserve">duty under the </w:t>
      </w:r>
      <w:r>
        <w:rPr>
          <w:i/>
          <w:iCs/>
        </w:rPr>
        <w:t>Duties Act 2008</w:t>
      </w:r>
      <w:r>
        <w:t xml:space="preserve"> </w:t>
      </w:r>
      <w:r>
        <w:rPr>
          <w:snapToGrid w:val="0"/>
        </w:rPr>
        <w:t>shall be paid on any property received by the Authority under subsection (1).</w:t>
      </w:r>
    </w:p>
    <w:p>
      <w:pPr>
        <w:pStyle w:val="Footnotesection"/>
      </w:pPr>
      <w:r>
        <w:tab/>
        <w:t>[Section 20 amended by No. 28 of 2006 s. 332; No. 12 of 2008 s. 52.]</w:t>
      </w:r>
    </w:p>
    <w:p>
      <w:pPr>
        <w:pStyle w:val="Heading5"/>
        <w:rPr>
          <w:snapToGrid w:val="0"/>
        </w:rPr>
      </w:pPr>
      <w:bookmarkStart w:id="212" w:name="_Toc417967464"/>
      <w:bookmarkStart w:id="213" w:name="_Toc519921914"/>
      <w:bookmarkStart w:id="214" w:name="_Toc131396724"/>
      <w:bookmarkStart w:id="215" w:name="_Toc202173124"/>
      <w:r>
        <w:rPr>
          <w:rStyle w:val="CharSectno"/>
        </w:rPr>
        <w:t>21</w:t>
      </w:r>
      <w:r>
        <w:rPr>
          <w:snapToGrid w:val="0"/>
        </w:rPr>
        <w:t>.</w:t>
      </w:r>
      <w:r>
        <w:rPr>
          <w:snapToGrid w:val="0"/>
        </w:rPr>
        <w:tab/>
        <w:t>Powers of local government</w:t>
      </w:r>
      <w:bookmarkEnd w:id="212"/>
      <w:bookmarkEnd w:id="213"/>
      <w:bookmarkEnd w:id="214"/>
      <w:bookmarkEnd w:id="215"/>
      <w:r>
        <w:rPr>
          <w:snapToGrid w:val="0"/>
        </w:rPr>
        <w:t xml:space="preserve"> </w:t>
      </w:r>
    </w:p>
    <w:p>
      <w:pPr>
        <w:pStyle w:val="Subsection"/>
        <w:spacing w:before="120"/>
        <w:rPr>
          <w:snapToGrid w:val="0"/>
        </w:rPr>
      </w:pPr>
      <w:r>
        <w:rPr>
          <w:snapToGrid w:val="0"/>
        </w:rPr>
        <w:tab/>
        <w:t>(1)</w:t>
      </w:r>
      <w:r>
        <w:rPr>
          <w:snapToGrid w:val="0"/>
        </w:rPr>
        <w:tab/>
        <w:t xml:space="preserve">Notwithstanding the </w:t>
      </w:r>
      <w:r>
        <w:rPr>
          <w:i/>
          <w:snapToGrid w:val="0"/>
        </w:rPr>
        <w:t>Local Government Act 1995</w:t>
      </w:r>
      <w:r>
        <w:rPr>
          <w:snapToGrid w:val="0"/>
        </w:rPr>
        <w:t xml:space="preserve"> or any other Act relating to local government a local government — </w:t>
      </w:r>
    </w:p>
    <w:p>
      <w:pPr>
        <w:pStyle w:val="Indenta"/>
        <w:rPr>
          <w:snapToGrid w:val="0"/>
        </w:rPr>
      </w:pPr>
      <w:r>
        <w:rPr>
          <w:snapToGrid w:val="0"/>
        </w:rPr>
        <w:tab/>
        <w:t>(a)</w:t>
      </w:r>
      <w:r>
        <w:rPr>
          <w:snapToGrid w:val="0"/>
        </w:rPr>
        <w:tab/>
        <w:t xml:space="preserve">may sell or otherwise dispose of to the </w:t>
      </w:r>
      <w:r>
        <w:t xml:space="preserve">Authority </w:t>
      </w:r>
      <w:r>
        <w:rPr>
          <w:snapToGrid w:val="0"/>
        </w:rPr>
        <w:t xml:space="preserve">any land vested in the local government (not being land reserved under Part 4 of the </w:t>
      </w:r>
      <w:r>
        <w:rPr>
          <w:i/>
          <w:snapToGrid w:val="0"/>
        </w:rPr>
        <w:t>Land Administration Act 1997</w:t>
      </w:r>
      <w:r>
        <w:rPr>
          <w:snapToGrid w:val="0"/>
        </w:rPr>
        <w:t>);</w:t>
      </w:r>
    </w:p>
    <w:p>
      <w:pPr>
        <w:pStyle w:val="Indenta"/>
        <w:rPr>
          <w:snapToGrid w:val="0"/>
        </w:rPr>
      </w:pPr>
      <w:r>
        <w:rPr>
          <w:snapToGrid w:val="0"/>
        </w:rPr>
        <w:tab/>
        <w:t>(b)</w:t>
      </w:r>
      <w:r>
        <w:rPr>
          <w:snapToGrid w:val="0"/>
        </w:rPr>
        <w:tab/>
        <w:t xml:space="preserve">may acquire any land in the manner provided in the </w:t>
      </w:r>
      <w:r>
        <w:rPr>
          <w:i/>
          <w:snapToGrid w:val="0"/>
        </w:rPr>
        <w:t>Local Government Act 1995</w:t>
      </w:r>
      <w:r>
        <w:rPr>
          <w:snapToGrid w:val="0"/>
        </w:rPr>
        <w:t xml:space="preserve"> for the purpose of disposing of the land to the </w:t>
      </w:r>
      <w:r>
        <w:t xml:space="preserve">Authority </w:t>
      </w:r>
      <w:r>
        <w:rPr>
          <w:snapToGrid w:val="0"/>
        </w:rPr>
        <w:t>for the purposes of this Act.</w:t>
      </w:r>
    </w:p>
    <w:p>
      <w:pPr>
        <w:pStyle w:val="Subsection"/>
        <w:spacing w:before="120"/>
        <w:rPr>
          <w:snapToGrid w:val="0"/>
        </w:rPr>
      </w:pPr>
      <w:r>
        <w:rPr>
          <w:snapToGrid w:val="0"/>
        </w:rPr>
        <w:tab/>
        <w:t>(2)</w:t>
      </w:r>
      <w:r>
        <w:rPr>
          <w:snapToGrid w:val="0"/>
        </w:rPr>
        <w:tab/>
        <w:t xml:space="preserve">Subsection (1) does not authorise a local government to take or resume land by compulsory acquisition unless the land is to be disposed of to the </w:t>
      </w:r>
      <w:r>
        <w:t xml:space="preserve">Authority </w:t>
      </w:r>
      <w:r>
        <w:rPr>
          <w:snapToGrid w:val="0"/>
        </w:rPr>
        <w:t>for the purposes of section 61(1).</w:t>
      </w:r>
    </w:p>
    <w:p>
      <w:pPr>
        <w:pStyle w:val="Footnotesection"/>
      </w:pPr>
      <w:r>
        <w:tab/>
        <w:t xml:space="preserve">[Section 21 amended by No. 14 of 1996 s. 4; No. 31 of 1997 s. 35; No. 28 of 2006 s. 332.] </w:t>
      </w:r>
    </w:p>
    <w:p>
      <w:pPr>
        <w:pStyle w:val="Heading5"/>
        <w:rPr>
          <w:snapToGrid w:val="0"/>
        </w:rPr>
      </w:pPr>
      <w:bookmarkStart w:id="216" w:name="_Toc417967465"/>
      <w:bookmarkStart w:id="217" w:name="_Toc519921915"/>
      <w:bookmarkStart w:id="218" w:name="_Toc131396725"/>
      <w:bookmarkStart w:id="219" w:name="_Toc202173125"/>
      <w:r>
        <w:rPr>
          <w:rStyle w:val="CharSectno"/>
        </w:rPr>
        <w:t>22</w:t>
      </w:r>
      <w:r>
        <w:rPr>
          <w:snapToGrid w:val="0"/>
        </w:rPr>
        <w:t>.</w:t>
      </w:r>
      <w:r>
        <w:rPr>
          <w:snapToGrid w:val="0"/>
        </w:rPr>
        <w:tab/>
        <w:t>Powers in relation to development and management of land</w:t>
      </w:r>
      <w:bookmarkEnd w:id="216"/>
      <w:bookmarkEnd w:id="217"/>
      <w:bookmarkEnd w:id="218"/>
      <w:bookmarkEnd w:id="219"/>
      <w:r>
        <w:rPr>
          <w:snapToGrid w:val="0"/>
        </w:rPr>
        <w:t xml:space="preserve"> </w:t>
      </w:r>
    </w:p>
    <w:p>
      <w:pPr>
        <w:pStyle w:val="Subsection"/>
        <w:spacing w:before="120"/>
        <w:rPr>
          <w:snapToGrid w:val="0"/>
        </w:rPr>
      </w:pPr>
      <w:r>
        <w:rPr>
          <w:snapToGrid w:val="0"/>
        </w:rPr>
        <w:tab/>
        <w:t>(1)</w:t>
      </w:r>
      <w:r>
        <w:rPr>
          <w:snapToGrid w:val="0"/>
        </w:rPr>
        <w:tab/>
        <w:t xml:space="preserve">Subject to this Act the </w:t>
      </w:r>
      <w:r>
        <w:t xml:space="preserve">Authority </w:t>
      </w:r>
      <w:r>
        <w:rPr>
          <w:snapToGrid w:val="0"/>
        </w:rPr>
        <w:t>has power — </w:t>
      </w:r>
    </w:p>
    <w:p>
      <w:pPr>
        <w:pStyle w:val="Indenta"/>
      </w:pPr>
      <w:r>
        <w:tab/>
        <w:t>(a)</w:t>
      </w:r>
      <w:r>
        <w:tab/>
        <w:t xml:space="preserve">with the consent of the Western Australian Planning Commission as defined in the </w:t>
      </w:r>
      <w:r>
        <w:rPr>
          <w:i/>
        </w:rPr>
        <w:t>Planning and Development Act 2005</w:t>
      </w:r>
      <w:r>
        <w:t xml:space="preserve"> and any approval required under that Act, to re</w:t>
      </w:r>
      <w:r>
        <w:noBreakHyphen/>
        <w:t>plan and re</w:t>
      </w:r>
      <w:r>
        <w:noBreakHyphen/>
        <w:t>subdivide any area in which land held by the Authority is situated, and with the consent of the Minister, to secure the closing of any street or the extinguishment of any easement or restrictive covenant;</w:t>
      </w:r>
    </w:p>
    <w:p>
      <w:pPr>
        <w:pStyle w:val="Indenta"/>
        <w:rPr>
          <w:snapToGrid w:val="0"/>
        </w:rPr>
      </w:pPr>
      <w:r>
        <w:rPr>
          <w:snapToGrid w:val="0"/>
        </w:rPr>
        <w:tab/>
        <w:t>(b)</w:t>
      </w:r>
      <w:r>
        <w:rPr>
          <w:snapToGrid w:val="0"/>
        </w:rPr>
        <w:tab/>
        <w:t xml:space="preserve">with the consent of the Minister, to erect houses and other buildings on, or lay out and construct streets on, any land held by the </w:t>
      </w:r>
      <w:r>
        <w:t xml:space="preserve">Authority </w:t>
      </w:r>
      <w:r>
        <w:rPr>
          <w:snapToGrid w:val="0"/>
        </w:rPr>
        <w:t>and to expend moneys standing to the credit of the Account on works and operations for the purpose of making such land suitable for the purposes of this Act;</w:t>
      </w:r>
    </w:p>
    <w:p>
      <w:pPr>
        <w:pStyle w:val="Indenta"/>
        <w:rPr>
          <w:snapToGrid w:val="0"/>
        </w:rPr>
      </w:pPr>
      <w:r>
        <w:rPr>
          <w:snapToGrid w:val="0"/>
        </w:rPr>
        <w:tab/>
        <w:t>(c)</w:t>
      </w:r>
      <w:r>
        <w:rPr>
          <w:snapToGrid w:val="0"/>
        </w:rPr>
        <w:tab/>
        <w:t>to maintain, repair, and carry out any improvements to and generally to control and manage any houses and other buildings that are subject to contracts of sale, mortgages, or leases pursuant to this Act and any land on which such houses and other buildings are erected;</w:t>
      </w:r>
    </w:p>
    <w:p>
      <w:pPr>
        <w:pStyle w:val="Indenta"/>
        <w:rPr>
          <w:snapToGrid w:val="0"/>
        </w:rPr>
      </w:pPr>
      <w:r>
        <w:rPr>
          <w:snapToGrid w:val="0"/>
        </w:rPr>
        <w:tab/>
        <w:t>(d)</w:t>
      </w:r>
      <w:r>
        <w:rPr>
          <w:snapToGrid w:val="0"/>
        </w:rPr>
        <w:tab/>
        <w:t xml:space="preserve">with the consent of the Minister, to enter into arrangements with a public authority or other body or person with respect to the provision of services to any area in which houses or other buildings acquired, erected, or to be erected, by the </w:t>
      </w:r>
      <w:r>
        <w:t xml:space="preserve">Authority </w:t>
      </w:r>
      <w:r>
        <w:rPr>
          <w:snapToGrid w:val="0"/>
        </w:rPr>
        <w:t>are, or are to be, situated including, without limiting the generality of the foregoing, arrangements with respect to — </w:t>
      </w:r>
    </w:p>
    <w:p>
      <w:pPr>
        <w:pStyle w:val="Indenti"/>
        <w:spacing w:before="60"/>
        <w:rPr>
          <w:snapToGrid w:val="0"/>
        </w:rPr>
      </w:pPr>
      <w:r>
        <w:rPr>
          <w:snapToGrid w:val="0"/>
        </w:rPr>
        <w:tab/>
        <w:t>(i)</w:t>
      </w:r>
      <w:r>
        <w:rPr>
          <w:snapToGrid w:val="0"/>
        </w:rPr>
        <w:tab/>
        <w:t>the making of streets or other facilities affording access to houses and other buildings and sites for houses and other buildings in the area;</w:t>
      </w:r>
    </w:p>
    <w:p>
      <w:pPr>
        <w:pStyle w:val="Indenti"/>
        <w:spacing w:before="60"/>
        <w:rPr>
          <w:snapToGrid w:val="0"/>
        </w:rPr>
      </w:pPr>
      <w:r>
        <w:rPr>
          <w:snapToGrid w:val="0"/>
        </w:rPr>
        <w:tab/>
        <w:t>(ii)</w:t>
      </w:r>
      <w:r>
        <w:rPr>
          <w:snapToGrid w:val="0"/>
        </w:rPr>
        <w:tab/>
        <w:t>the establishment or extension and, if necessary, operation and maintenance of sewerage, drainage, water, gas, power, lighting and communications systems to serve the area and the connection of those systems to houses and other buildings and sites for houses and other buildings in the area,</w:t>
      </w:r>
    </w:p>
    <w:p>
      <w:pPr>
        <w:pStyle w:val="Indenta"/>
        <w:rPr>
          <w:snapToGrid w:val="0"/>
        </w:rPr>
      </w:pPr>
      <w:r>
        <w:rPr>
          <w:snapToGrid w:val="0"/>
        </w:rPr>
        <w:tab/>
      </w:r>
      <w:r>
        <w:rPr>
          <w:snapToGrid w:val="0"/>
        </w:rPr>
        <w:tab/>
        <w:t xml:space="preserve">and, subject to the provisions of any contract relating to such an arrangement, to allot to each house, building or site having the benefit of the arrangement such proportion of the cost incurred by the </w:t>
      </w:r>
      <w:r>
        <w:t xml:space="preserve">Authority </w:t>
      </w:r>
      <w:r>
        <w:rPr>
          <w:snapToGrid w:val="0"/>
        </w:rPr>
        <w:t xml:space="preserve">under the arrangement as the </w:t>
      </w:r>
      <w:r>
        <w:t xml:space="preserve">Authority </w:t>
      </w:r>
      <w:r>
        <w:rPr>
          <w:snapToGrid w:val="0"/>
        </w:rPr>
        <w:t>deems just;</w:t>
      </w:r>
    </w:p>
    <w:p>
      <w:pPr>
        <w:pStyle w:val="Indenta"/>
        <w:rPr>
          <w:snapToGrid w:val="0"/>
        </w:rPr>
      </w:pPr>
      <w:r>
        <w:rPr>
          <w:snapToGrid w:val="0"/>
        </w:rPr>
        <w:tab/>
        <w:t>(e)</w:t>
      </w:r>
      <w:r>
        <w:rPr>
          <w:snapToGrid w:val="0"/>
        </w:rPr>
        <w:tab/>
        <w:t xml:space="preserve">to purchase building materials, equipment, fittings or appliances, and to supply the same or any of them to any person or body of persons, corporate or unincorporate for the purposes of this Act upon such terms and conditions as the </w:t>
      </w:r>
      <w:r>
        <w:t xml:space="preserve">Authority </w:t>
      </w:r>
      <w:r>
        <w:rPr>
          <w:snapToGrid w:val="0"/>
        </w:rPr>
        <w:t>determines;</w:t>
      </w:r>
    </w:p>
    <w:p>
      <w:pPr>
        <w:pStyle w:val="Indenta"/>
        <w:rPr>
          <w:snapToGrid w:val="0"/>
        </w:rPr>
      </w:pPr>
      <w:r>
        <w:rPr>
          <w:snapToGrid w:val="0"/>
        </w:rPr>
        <w:tab/>
        <w:t>(f)</w:t>
      </w:r>
      <w:r>
        <w:rPr>
          <w:snapToGrid w:val="0"/>
        </w:rPr>
        <w:tab/>
        <w:t xml:space="preserve">to dispose of, set apart, utilize and deal with any land held by the </w:t>
      </w:r>
      <w:r>
        <w:t xml:space="preserve">Authority </w:t>
      </w:r>
      <w:r>
        <w:rPr>
          <w:snapToGrid w:val="0"/>
        </w:rPr>
        <w:t>for the purposes of housing projects under or pursuant to an agreement between the Commonwealth and the State entered into pursuant to, or ratified by, an Act;</w:t>
      </w:r>
    </w:p>
    <w:p>
      <w:pPr>
        <w:pStyle w:val="Indenta"/>
        <w:rPr>
          <w:snapToGrid w:val="0"/>
        </w:rPr>
      </w:pPr>
      <w:r>
        <w:rPr>
          <w:snapToGrid w:val="0"/>
        </w:rPr>
        <w:tab/>
        <w:t>(g)</w:t>
      </w:r>
      <w:r>
        <w:rPr>
          <w:snapToGrid w:val="0"/>
        </w:rPr>
        <w:tab/>
        <w:t xml:space="preserve">with the consent of the Minister to delegate to any local government approved by the Minister all or any of the powers and functions of the </w:t>
      </w:r>
      <w:r>
        <w:t xml:space="preserve">Authority </w:t>
      </w:r>
      <w:r>
        <w:rPr>
          <w:snapToGrid w:val="0"/>
        </w:rPr>
        <w:t xml:space="preserve">(except this power of delegation) upon and subject to such terms and conditions as the </w:t>
      </w:r>
      <w:r>
        <w:t xml:space="preserve">Authority </w:t>
      </w:r>
      <w:r>
        <w:rPr>
          <w:snapToGrid w:val="0"/>
        </w:rPr>
        <w:t>thinks fit so that the delegated powers and functions may be exercised and performed by the local government in the same manner and with the same effect as if they had been directly conferred on the local government by this Act and not by delegation;</w:t>
      </w:r>
    </w:p>
    <w:p>
      <w:pPr>
        <w:pStyle w:val="Indenta"/>
        <w:rPr>
          <w:snapToGrid w:val="0"/>
        </w:rPr>
      </w:pPr>
      <w:r>
        <w:rPr>
          <w:snapToGrid w:val="0"/>
        </w:rPr>
        <w:tab/>
        <w:t>(h)</w:t>
      </w:r>
      <w:r>
        <w:rPr>
          <w:snapToGrid w:val="0"/>
        </w:rPr>
        <w:tab/>
        <w:t>to advance moneys to any local government to which a delegation is made under paragraph (g);</w:t>
      </w:r>
    </w:p>
    <w:p>
      <w:pPr>
        <w:pStyle w:val="Indenta"/>
        <w:rPr>
          <w:snapToGrid w:val="0"/>
        </w:rPr>
      </w:pPr>
      <w:r>
        <w:rPr>
          <w:snapToGrid w:val="0"/>
        </w:rPr>
        <w:tab/>
        <w:t>(i)</w:t>
      </w:r>
      <w:r>
        <w:rPr>
          <w:snapToGrid w:val="0"/>
        </w:rPr>
        <w:tab/>
        <w:t>to do any thing incidental to a matter mentioned in this subsection.</w:t>
      </w:r>
    </w:p>
    <w:p>
      <w:pPr>
        <w:pStyle w:val="Subsection"/>
        <w:spacing w:before="180"/>
        <w:rPr>
          <w:snapToGrid w:val="0"/>
        </w:rPr>
      </w:pPr>
      <w:r>
        <w:rPr>
          <w:snapToGrid w:val="0"/>
        </w:rPr>
        <w:tab/>
        <w:t>(2)</w:t>
      </w:r>
      <w:r>
        <w:rPr>
          <w:snapToGrid w:val="0"/>
        </w:rPr>
        <w:tab/>
        <w:t>A delegation under subsection (1)(g) shall be revocable at will and no delegation shall prevent the exercise of any power or the performance of any function by the</w:t>
      </w:r>
      <w:r>
        <w:t xml:space="preserve"> Authority</w:t>
      </w:r>
      <w:r>
        <w:rPr>
          <w:snapToGrid w:val="0"/>
        </w:rPr>
        <w:t>.</w:t>
      </w:r>
    </w:p>
    <w:p>
      <w:pPr>
        <w:pStyle w:val="Subsection"/>
        <w:spacing w:before="180"/>
        <w:rPr>
          <w:snapToGrid w:val="0"/>
        </w:rPr>
      </w:pPr>
      <w:r>
        <w:rPr>
          <w:snapToGrid w:val="0"/>
        </w:rPr>
        <w:tab/>
        <w:t>(3)</w:t>
      </w:r>
      <w:r>
        <w:rPr>
          <w:snapToGrid w:val="0"/>
        </w:rPr>
        <w:tab/>
        <w:t>The powers conferred by subsection (1) are in addition to any other powers conferred on the Authority by</w:t>
      </w:r>
      <w:r>
        <w:t xml:space="preserve"> this or any other Act</w:t>
      </w:r>
      <w:r>
        <w:rPr>
          <w:snapToGrid w:val="0"/>
        </w:rPr>
        <w:t>.</w:t>
      </w:r>
    </w:p>
    <w:p>
      <w:pPr>
        <w:pStyle w:val="Footnotesection"/>
        <w:ind w:left="890" w:hanging="890"/>
      </w:pPr>
      <w:r>
        <w:tab/>
        <w:t xml:space="preserve">[Section 22 amended by No. 62 of 1983 s. 4; No. 84 of 1994 s. 46; No. 14 of 1996 s. 4; No. 49 of 1996 s. 64; No. 38 of 2005 s. 15; No. 28 of 2006 s. 327 and 332; No. 77 of 2006 s. 17.] </w:t>
      </w:r>
    </w:p>
    <w:p>
      <w:pPr>
        <w:pStyle w:val="Heading5"/>
        <w:spacing w:before="240"/>
        <w:rPr>
          <w:snapToGrid w:val="0"/>
        </w:rPr>
      </w:pPr>
      <w:bookmarkStart w:id="220" w:name="_Toc417967466"/>
      <w:bookmarkStart w:id="221" w:name="_Toc519921916"/>
      <w:bookmarkStart w:id="222" w:name="_Toc131396726"/>
      <w:bookmarkStart w:id="223" w:name="_Toc202173126"/>
      <w:r>
        <w:rPr>
          <w:rStyle w:val="CharSectno"/>
        </w:rPr>
        <w:t>23</w:t>
      </w:r>
      <w:r>
        <w:rPr>
          <w:snapToGrid w:val="0"/>
        </w:rPr>
        <w:t>.</w:t>
      </w:r>
      <w:r>
        <w:rPr>
          <w:snapToGrid w:val="0"/>
        </w:rPr>
        <w:tab/>
        <w:t>Power to take lease</w:t>
      </w:r>
      <w:bookmarkEnd w:id="220"/>
      <w:bookmarkEnd w:id="221"/>
      <w:bookmarkEnd w:id="222"/>
      <w:bookmarkEnd w:id="223"/>
      <w:r>
        <w:rPr>
          <w:snapToGrid w:val="0"/>
        </w:rPr>
        <w:t xml:space="preserve"> </w:t>
      </w:r>
    </w:p>
    <w:p>
      <w:pPr>
        <w:pStyle w:val="Subsection"/>
        <w:spacing w:before="180"/>
        <w:rPr>
          <w:snapToGrid w:val="0"/>
        </w:rPr>
      </w:pPr>
      <w:r>
        <w:rPr>
          <w:snapToGrid w:val="0"/>
        </w:rPr>
        <w:tab/>
        <w:t>(1)</w:t>
      </w:r>
      <w:r>
        <w:rPr>
          <w:snapToGrid w:val="0"/>
        </w:rPr>
        <w:tab/>
        <w:t xml:space="preserve">For the purposes of this Act the </w:t>
      </w:r>
      <w:r>
        <w:t xml:space="preserve">Authority </w:t>
      </w:r>
      <w:r>
        <w:rPr>
          <w:snapToGrid w:val="0"/>
        </w:rPr>
        <w:t>may, with the consent of the Minister, take land on lease for such period and subject to such covenants and conditions as it thinks reasonable.</w:t>
      </w:r>
    </w:p>
    <w:p>
      <w:pPr>
        <w:pStyle w:val="Subsection"/>
        <w:spacing w:before="180"/>
        <w:rPr>
          <w:snapToGrid w:val="0"/>
        </w:rPr>
      </w:pPr>
      <w:r>
        <w:rPr>
          <w:snapToGrid w:val="0"/>
        </w:rPr>
        <w:tab/>
        <w:t>(2)</w:t>
      </w:r>
      <w:r>
        <w:rPr>
          <w:snapToGrid w:val="0"/>
        </w:rPr>
        <w:tab/>
        <w:t xml:space="preserve">The powers conferred on the </w:t>
      </w:r>
      <w:r>
        <w:t xml:space="preserve">Authority </w:t>
      </w:r>
      <w:r>
        <w:rPr>
          <w:snapToGrid w:val="0"/>
        </w:rPr>
        <w:t>by this Act in respect of land held by the Authority may, subject to the express or implied covenants and conditions of the lease, be exercised by the Authority in respect of land taken by it on lease.</w:t>
      </w:r>
    </w:p>
    <w:p>
      <w:pPr>
        <w:pStyle w:val="Footnotesection"/>
        <w:spacing w:before="80"/>
        <w:ind w:left="890" w:hanging="890"/>
      </w:pPr>
      <w:bookmarkStart w:id="224" w:name="_Toc417967467"/>
      <w:bookmarkStart w:id="225" w:name="_Toc519921917"/>
      <w:bookmarkStart w:id="226" w:name="_Toc131396727"/>
      <w:r>
        <w:tab/>
        <w:t xml:space="preserve">[Section 23 amended No. 28 of 2006 s. 332.] </w:t>
      </w:r>
    </w:p>
    <w:p>
      <w:pPr>
        <w:pStyle w:val="Heading5"/>
        <w:keepNext w:val="0"/>
        <w:keepLines w:val="0"/>
        <w:rPr>
          <w:snapToGrid w:val="0"/>
        </w:rPr>
      </w:pPr>
      <w:bookmarkStart w:id="227" w:name="_Toc202173127"/>
      <w:r>
        <w:rPr>
          <w:rStyle w:val="CharSectno"/>
        </w:rPr>
        <w:t>24</w:t>
      </w:r>
      <w:r>
        <w:rPr>
          <w:snapToGrid w:val="0"/>
        </w:rPr>
        <w:t>.</w:t>
      </w:r>
      <w:r>
        <w:rPr>
          <w:snapToGrid w:val="0"/>
        </w:rPr>
        <w:tab/>
        <w:t>Payment of rates to local government</w:t>
      </w:r>
      <w:bookmarkEnd w:id="224"/>
      <w:bookmarkEnd w:id="225"/>
      <w:bookmarkEnd w:id="226"/>
      <w:bookmarkEnd w:id="227"/>
      <w:r>
        <w:rPr>
          <w:snapToGrid w:val="0"/>
        </w:rPr>
        <w:t xml:space="preserve"> </w:t>
      </w:r>
    </w:p>
    <w:p>
      <w:pPr>
        <w:pStyle w:val="Subsection"/>
        <w:spacing w:before="120"/>
        <w:rPr>
          <w:snapToGrid w:val="0"/>
        </w:rPr>
      </w:pPr>
      <w:r>
        <w:rPr>
          <w:snapToGrid w:val="0"/>
        </w:rPr>
        <w:tab/>
        <w:t>(1)</w:t>
      </w:r>
      <w:r>
        <w:rPr>
          <w:snapToGrid w:val="0"/>
        </w:rPr>
        <w:tab/>
        <w:t xml:space="preserve">Notwithstanding any provision to the contrary in any Act, the </w:t>
      </w:r>
      <w:r>
        <w:t xml:space="preserve">Authority </w:t>
      </w:r>
      <w:r>
        <w:rPr>
          <w:snapToGrid w:val="0"/>
        </w:rPr>
        <w:t xml:space="preserve">in respect of vacant rateable land acquired within the district of a local government, shall be liable to pay rates thereon out of moneys standing to the credit of the Account to that local government, and the land shall be deemed to continue to be rateable land; but in the case of vacant land other than subdivided land no such liability shall arise until the land has been held vacant by the </w:t>
      </w:r>
      <w:r>
        <w:t xml:space="preserve">Authority </w:t>
      </w:r>
      <w:r>
        <w:rPr>
          <w:snapToGrid w:val="0"/>
        </w:rPr>
        <w:t xml:space="preserve">for a period of at least 2 years and in the case of vacant subdivided land no such liability shall arise until the land has been held vacant by the </w:t>
      </w:r>
      <w:r>
        <w:t xml:space="preserve">Authority </w:t>
      </w:r>
      <w:r>
        <w:rPr>
          <w:snapToGrid w:val="0"/>
        </w:rPr>
        <w:t>for a period of at least one year.</w:t>
      </w:r>
    </w:p>
    <w:p>
      <w:pPr>
        <w:pStyle w:val="Subsection"/>
        <w:rPr>
          <w:snapToGrid w:val="0"/>
        </w:rPr>
      </w:pPr>
      <w:r>
        <w:rPr>
          <w:snapToGrid w:val="0"/>
        </w:rPr>
        <w:tab/>
        <w:t>(2)</w:t>
      </w:r>
      <w:r>
        <w:rPr>
          <w:snapToGrid w:val="0"/>
        </w:rPr>
        <w:tab/>
        <w:t>In this section </w:t>
      </w:r>
      <w:r>
        <w:rPr>
          <w:rStyle w:val="CharDefText"/>
        </w:rPr>
        <w:t>subdivided land</w:t>
      </w:r>
      <w:r>
        <w:rPr>
          <w:snapToGrid w:val="0"/>
        </w:rPr>
        <w:t xml:space="preserve"> means an allotment of land, shown on an approved plan or diagram of subdivision deposited under the </w:t>
      </w:r>
      <w:r>
        <w:rPr>
          <w:i/>
          <w:snapToGrid w:val="0"/>
        </w:rPr>
        <w:t>Transfer of Land Act 1893</w:t>
      </w:r>
      <w:r>
        <w:rPr>
          <w:snapToGrid w:val="0"/>
        </w:rPr>
        <w:t xml:space="preserve"> with the </w:t>
      </w:r>
      <w:r>
        <w:t xml:space="preserve">Authority as defined in section 4(1) </w:t>
      </w:r>
      <w:r>
        <w:rPr>
          <w:snapToGrid w:val="0"/>
        </w:rPr>
        <w:t>of that Act to be of an area not exceeding 10 000 square metres, or, if no such plan or diagram is so deposited, an allotment of land determined under that Act to be of an area not exceeding 10 000 square metres.</w:t>
      </w:r>
    </w:p>
    <w:p>
      <w:pPr>
        <w:pStyle w:val="Footnotesection"/>
      </w:pPr>
      <w:r>
        <w:tab/>
        <w:t xml:space="preserve">[Section 24 amended by No. 14 of 1996 s. 4; No. 49 of 1996 s. 64; No. 81 of 1996 s. 153(1); No. 28 of 2006 s. 332; No. 60 of 2006 s. 137; No. 77 of 2006 s. 17.] </w:t>
      </w:r>
    </w:p>
    <w:p>
      <w:pPr>
        <w:pStyle w:val="Heading3"/>
        <w:rPr>
          <w:snapToGrid w:val="0"/>
        </w:rPr>
      </w:pPr>
      <w:bookmarkStart w:id="228" w:name="_Toc116712858"/>
      <w:bookmarkStart w:id="229" w:name="_Toc116811275"/>
      <w:bookmarkStart w:id="230" w:name="_Toc131396728"/>
      <w:bookmarkStart w:id="231" w:name="_Toc139275289"/>
      <w:bookmarkStart w:id="232" w:name="_Toc139691318"/>
      <w:bookmarkStart w:id="233" w:name="_Toc141767920"/>
      <w:bookmarkStart w:id="234" w:name="_Toc141770670"/>
      <w:bookmarkStart w:id="235" w:name="_Toc143395770"/>
      <w:bookmarkStart w:id="236" w:name="_Toc143568964"/>
      <w:bookmarkStart w:id="237" w:name="_Toc143569069"/>
      <w:bookmarkStart w:id="238" w:name="_Toc143592624"/>
      <w:bookmarkStart w:id="239" w:name="_Toc144543076"/>
      <w:bookmarkStart w:id="240" w:name="_Toc155597300"/>
      <w:bookmarkStart w:id="241" w:name="_Toc157914621"/>
      <w:bookmarkStart w:id="242" w:name="_Toc196124042"/>
      <w:bookmarkStart w:id="243" w:name="_Toc202173128"/>
      <w:r>
        <w:rPr>
          <w:rStyle w:val="CharDivNo"/>
        </w:rPr>
        <w:t>Division 2</w:t>
      </w:r>
      <w:r>
        <w:rPr>
          <w:snapToGrid w:val="0"/>
        </w:rPr>
        <w:t> — </w:t>
      </w:r>
      <w:r>
        <w:rPr>
          <w:rStyle w:val="CharDivText"/>
        </w:rPr>
        <w:t>Dealings with property generally</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Pr>
          <w:rStyle w:val="CharDivText"/>
        </w:rPr>
        <w:t xml:space="preserve"> </w:t>
      </w:r>
    </w:p>
    <w:p>
      <w:pPr>
        <w:pStyle w:val="Heading5"/>
        <w:rPr>
          <w:snapToGrid w:val="0"/>
        </w:rPr>
      </w:pPr>
      <w:bookmarkStart w:id="244" w:name="_Toc417967468"/>
      <w:bookmarkStart w:id="245" w:name="_Toc519921918"/>
      <w:bookmarkStart w:id="246" w:name="_Toc131396729"/>
      <w:bookmarkStart w:id="247" w:name="_Toc202173129"/>
      <w:r>
        <w:rPr>
          <w:rStyle w:val="CharSectno"/>
        </w:rPr>
        <w:t>25</w:t>
      </w:r>
      <w:r>
        <w:rPr>
          <w:snapToGrid w:val="0"/>
        </w:rPr>
        <w:t>.</w:t>
      </w:r>
      <w:r>
        <w:rPr>
          <w:snapToGrid w:val="0"/>
        </w:rPr>
        <w:tab/>
        <w:t>Power to lease</w:t>
      </w:r>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 xml:space="preserve">may let or lease, or grant a licence to any person to use, any building, building and land or vacant land held by the </w:t>
      </w:r>
      <w:r>
        <w:t xml:space="preserve">Authority </w:t>
      </w:r>
      <w:r>
        <w:rPr>
          <w:snapToGrid w:val="0"/>
        </w:rPr>
        <w:t xml:space="preserve">for such periods and purposes, at such rentals and on such terms, covenants and conditions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the letting or leasing of a house or house and land.</w:t>
      </w:r>
    </w:p>
    <w:p>
      <w:pPr>
        <w:pStyle w:val="Footnotesection"/>
      </w:pPr>
      <w:r>
        <w:tab/>
        <w:t>[Section 25 amended by No. 28 of 2006 s. 332.]</w:t>
      </w:r>
    </w:p>
    <w:p>
      <w:pPr>
        <w:pStyle w:val="Heading5"/>
        <w:rPr>
          <w:snapToGrid w:val="0"/>
        </w:rPr>
      </w:pPr>
      <w:bookmarkStart w:id="248" w:name="_Toc417967469"/>
      <w:bookmarkStart w:id="249" w:name="_Toc519921919"/>
      <w:bookmarkStart w:id="250" w:name="_Toc131396730"/>
      <w:bookmarkStart w:id="251" w:name="_Toc202173130"/>
      <w:r>
        <w:rPr>
          <w:rStyle w:val="CharSectno"/>
        </w:rPr>
        <w:t>26</w:t>
      </w:r>
      <w:r>
        <w:rPr>
          <w:snapToGrid w:val="0"/>
        </w:rPr>
        <w:t>.</w:t>
      </w:r>
      <w:r>
        <w:rPr>
          <w:snapToGrid w:val="0"/>
        </w:rPr>
        <w:tab/>
        <w:t>Power to sell</w:t>
      </w:r>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The</w:t>
      </w:r>
      <w:r>
        <w:t xml:space="preserve"> Authority</w:t>
      </w:r>
      <w:r>
        <w:rPr>
          <w:snapToGrid w:val="0"/>
        </w:rPr>
        <w:t xml:space="preserve">, with the consent of the Minister, may by public auction or private contract sell any building and land or vacant land held by the </w:t>
      </w:r>
      <w:r>
        <w:t xml:space="preserve">Authority </w:t>
      </w:r>
      <w:r>
        <w:rPr>
          <w:snapToGrid w:val="0"/>
        </w:rPr>
        <w:t xml:space="preserve">for cash or on such terms of payment as the </w:t>
      </w:r>
      <w:r>
        <w:t xml:space="preserve">Authority </w:t>
      </w:r>
      <w:r>
        <w:rPr>
          <w:snapToGrid w:val="0"/>
        </w:rPr>
        <w:t xml:space="preserve">thinks fit and at such price, and subject to such conditions, restrictions, exceptions and reservations (if any)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a sale under Division 4.</w:t>
      </w:r>
    </w:p>
    <w:p>
      <w:pPr>
        <w:pStyle w:val="Footnotesection"/>
      </w:pPr>
      <w:bookmarkStart w:id="252" w:name="_Toc417967470"/>
      <w:bookmarkStart w:id="253" w:name="_Toc519921920"/>
      <w:bookmarkStart w:id="254" w:name="_Toc131396731"/>
      <w:r>
        <w:tab/>
        <w:t>[Section 26 amended by No. 28 of 2006 s. 332.]</w:t>
      </w:r>
    </w:p>
    <w:p>
      <w:pPr>
        <w:pStyle w:val="Heading5"/>
        <w:rPr>
          <w:snapToGrid w:val="0"/>
        </w:rPr>
      </w:pPr>
      <w:bookmarkStart w:id="255" w:name="_Toc202173131"/>
      <w:r>
        <w:rPr>
          <w:rStyle w:val="CharSectno"/>
        </w:rPr>
        <w:t>27</w:t>
      </w:r>
      <w:r>
        <w:rPr>
          <w:snapToGrid w:val="0"/>
        </w:rPr>
        <w:t>.</w:t>
      </w:r>
      <w:r>
        <w:rPr>
          <w:snapToGrid w:val="0"/>
        </w:rPr>
        <w:tab/>
        <w:t>Power to grant easement</w:t>
      </w:r>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 xml:space="preserve">The </w:t>
      </w:r>
      <w:r>
        <w:t xml:space="preserve">Authority </w:t>
      </w:r>
      <w:r>
        <w:rPr>
          <w:snapToGrid w:val="0"/>
        </w:rPr>
        <w:t xml:space="preserve">may grant or create an easement over land held by the </w:t>
      </w:r>
      <w:r>
        <w:t xml:space="preserve">Authority </w:t>
      </w:r>
      <w:r>
        <w:rPr>
          <w:snapToGrid w:val="0"/>
        </w:rPr>
        <w:t xml:space="preserve">for such payment (if any) and on such terms and conditions as the </w:t>
      </w:r>
      <w:r>
        <w:t xml:space="preserve">Authority </w:t>
      </w:r>
      <w:r>
        <w:rPr>
          <w:snapToGrid w:val="0"/>
        </w:rPr>
        <w:t>thinks fit.</w:t>
      </w:r>
    </w:p>
    <w:p>
      <w:pPr>
        <w:pStyle w:val="Footnotesection"/>
      </w:pPr>
      <w:bookmarkStart w:id="256" w:name="_Toc116712862"/>
      <w:bookmarkStart w:id="257" w:name="_Toc116811279"/>
      <w:bookmarkStart w:id="258" w:name="_Toc131396732"/>
      <w:r>
        <w:tab/>
        <w:t>[Section 27 amended by No. 28 of 2006 s. 332.]</w:t>
      </w:r>
    </w:p>
    <w:p>
      <w:pPr>
        <w:pStyle w:val="Heading3"/>
        <w:rPr>
          <w:snapToGrid w:val="0"/>
        </w:rPr>
      </w:pPr>
      <w:bookmarkStart w:id="259" w:name="_Toc139275293"/>
      <w:bookmarkStart w:id="260" w:name="_Toc139691322"/>
      <w:bookmarkStart w:id="261" w:name="_Toc141767924"/>
      <w:bookmarkStart w:id="262" w:name="_Toc141770674"/>
      <w:bookmarkStart w:id="263" w:name="_Toc143395774"/>
      <w:bookmarkStart w:id="264" w:name="_Toc143568968"/>
      <w:bookmarkStart w:id="265" w:name="_Toc143569073"/>
      <w:bookmarkStart w:id="266" w:name="_Toc143592628"/>
      <w:bookmarkStart w:id="267" w:name="_Toc144543080"/>
      <w:bookmarkStart w:id="268" w:name="_Toc155597304"/>
      <w:bookmarkStart w:id="269" w:name="_Toc157914625"/>
      <w:bookmarkStart w:id="270" w:name="_Toc196124046"/>
      <w:bookmarkStart w:id="271" w:name="_Toc202173132"/>
      <w:r>
        <w:rPr>
          <w:rStyle w:val="CharDivNo"/>
        </w:rPr>
        <w:t>Division 3</w:t>
      </w:r>
      <w:r>
        <w:rPr>
          <w:snapToGrid w:val="0"/>
        </w:rPr>
        <w:t> — </w:t>
      </w:r>
      <w:r>
        <w:rPr>
          <w:rStyle w:val="CharDivText"/>
        </w:rPr>
        <w:t>Letting or leasing of houses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r>
        <w:rPr>
          <w:rStyle w:val="CharDivText"/>
        </w:rPr>
        <w:t xml:space="preserve"> </w:t>
      </w:r>
    </w:p>
    <w:p>
      <w:pPr>
        <w:pStyle w:val="Heading5"/>
        <w:rPr>
          <w:snapToGrid w:val="0"/>
        </w:rPr>
      </w:pPr>
      <w:bookmarkStart w:id="272" w:name="_Toc417967471"/>
      <w:bookmarkStart w:id="273" w:name="_Toc519921921"/>
      <w:bookmarkStart w:id="274" w:name="_Toc131396733"/>
      <w:bookmarkStart w:id="275" w:name="_Toc202173133"/>
      <w:r>
        <w:rPr>
          <w:rStyle w:val="CharSectno"/>
        </w:rPr>
        <w:t>28</w:t>
      </w:r>
      <w:r>
        <w:rPr>
          <w:snapToGrid w:val="0"/>
        </w:rPr>
        <w:t>.</w:t>
      </w:r>
      <w:r>
        <w:rPr>
          <w:snapToGrid w:val="0"/>
        </w:rPr>
        <w:tab/>
        <w:t>Power to let or lease houses</w:t>
      </w:r>
      <w:bookmarkEnd w:id="272"/>
      <w:bookmarkEnd w:id="273"/>
      <w:bookmarkEnd w:id="274"/>
      <w:bookmarkEnd w:id="275"/>
      <w:r>
        <w:rPr>
          <w:snapToGrid w:val="0"/>
        </w:rPr>
        <w:t xml:space="preserve"> </w:t>
      </w:r>
    </w:p>
    <w:p>
      <w:pPr>
        <w:pStyle w:val="Subsection"/>
        <w:rPr>
          <w:snapToGrid w:val="0"/>
        </w:rPr>
      </w:pPr>
      <w:r>
        <w:rPr>
          <w:snapToGrid w:val="0"/>
        </w:rPr>
        <w:tab/>
      </w:r>
      <w:r>
        <w:rPr>
          <w:snapToGrid w:val="0"/>
        </w:rPr>
        <w:tab/>
        <w:t xml:space="preserve">The </w:t>
      </w:r>
      <w:r>
        <w:t xml:space="preserve">Authority </w:t>
      </w:r>
      <w:r>
        <w:rPr>
          <w:snapToGrid w:val="0"/>
        </w:rPr>
        <w:t xml:space="preserve">may let or lease any house or house and land held by the </w:t>
      </w:r>
      <w:r>
        <w:t xml:space="preserve">Authority </w:t>
      </w:r>
      <w:r>
        <w:rPr>
          <w:snapToGrid w:val="0"/>
        </w:rPr>
        <w:t>to any eligible person or, with the consent of the Minister — </w:t>
      </w:r>
    </w:p>
    <w:p>
      <w:pPr>
        <w:pStyle w:val="Indenta"/>
        <w:rPr>
          <w:snapToGrid w:val="0"/>
        </w:rPr>
      </w:pPr>
      <w:r>
        <w:rPr>
          <w:snapToGrid w:val="0"/>
        </w:rPr>
        <w:tab/>
        <w:t>(a)</w:t>
      </w:r>
      <w:r>
        <w:rPr>
          <w:snapToGrid w:val="0"/>
        </w:rPr>
        <w:tab/>
        <w:t>to any public authority or body corporate; or</w:t>
      </w:r>
    </w:p>
    <w:p>
      <w:pPr>
        <w:pStyle w:val="Indenta"/>
        <w:rPr>
          <w:snapToGrid w:val="0"/>
        </w:rPr>
      </w:pPr>
      <w:r>
        <w:rPr>
          <w:snapToGrid w:val="0"/>
        </w:rPr>
        <w:tab/>
        <w:t>(b)</w:t>
      </w:r>
      <w:r>
        <w:rPr>
          <w:snapToGrid w:val="0"/>
        </w:rPr>
        <w:tab/>
        <w:t>to any person who, in the opinion of the</w:t>
      </w:r>
      <w:r>
        <w:t xml:space="preserve"> Authority</w:t>
      </w:r>
      <w:r>
        <w:rPr>
          <w:snapToGrid w:val="0"/>
        </w:rPr>
        <w:t>, is providing an essential community or tradesman service in a locality and is unable to obtain suitable accommodation in that locality from any source other than the</w:t>
      </w:r>
      <w:r>
        <w:t xml:space="preserve"> Authority</w:t>
      </w:r>
      <w:r>
        <w:rPr>
          <w:snapToGrid w:val="0"/>
        </w:rPr>
        <w:t>.</w:t>
      </w:r>
    </w:p>
    <w:p>
      <w:pPr>
        <w:pStyle w:val="Footnotesection"/>
      </w:pPr>
      <w:r>
        <w:tab/>
        <w:t>[Section 28 amended by No. 28 of 2006 s. 332.]</w:t>
      </w:r>
    </w:p>
    <w:p>
      <w:pPr>
        <w:pStyle w:val="Heading5"/>
        <w:rPr>
          <w:snapToGrid w:val="0"/>
        </w:rPr>
      </w:pPr>
      <w:bookmarkStart w:id="276" w:name="_Toc417967472"/>
      <w:bookmarkStart w:id="277" w:name="_Toc519921922"/>
      <w:bookmarkStart w:id="278" w:name="_Toc131396734"/>
      <w:bookmarkStart w:id="279" w:name="_Toc202173134"/>
      <w:r>
        <w:rPr>
          <w:rStyle w:val="CharSectno"/>
        </w:rPr>
        <w:t>29</w:t>
      </w:r>
      <w:r>
        <w:rPr>
          <w:snapToGrid w:val="0"/>
        </w:rPr>
        <w:t>.</w:t>
      </w:r>
      <w:r>
        <w:rPr>
          <w:snapToGrid w:val="0"/>
        </w:rPr>
        <w:tab/>
        <w:t>Terms and conditions</w:t>
      </w:r>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 xml:space="preserve">A house or house and land may be let under this Division on a weekly or such other periodic tenancy as the </w:t>
      </w:r>
      <w:r>
        <w:t>Authority</w:t>
      </w:r>
      <w:r>
        <w:rPr>
          <w:snapToGrid w:val="0"/>
        </w:rPr>
        <w:t xml:space="preserve"> thinks fit or may be leased under this Division for such period as the </w:t>
      </w:r>
      <w:r>
        <w:t>Authority</w:t>
      </w:r>
      <w:r>
        <w:rPr>
          <w:snapToGrid w:val="0"/>
        </w:rPr>
        <w:t xml:space="preserve"> thinks fit.</w:t>
      </w:r>
    </w:p>
    <w:p>
      <w:pPr>
        <w:pStyle w:val="Subsection"/>
        <w:rPr>
          <w:snapToGrid w:val="0"/>
        </w:rPr>
      </w:pPr>
      <w:r>
        <w:rPr>
          <w:snapToGrid w:val="0"/>
        </w:rPr>
        <w:tab/>
        <w:t>(2)</w:t>
      </w:r>
      <w:r>
        <w:rPr>
          <w:snapToGrid w:val="0"/>
        </w:rPr>
        <w:tab/>
        <w:t xml:space="preserve">The terms, covenants and conditions of a tenancy or lease under this Division shall be such terms, covenants and conditions as the </w:t>
      </w:r>
      <w:r>
        <w:t>Authority</w:t>
      </w:r>
      <w:r>
        <w:rPr>
          <w:snapToGrid w:val="0"/>
        </w:rPr>
        <w:t xml:space="preserve"> thinks fit and shall be set out in a tenancy agreement in an approved form.</w:t>
      </w:r>
    </w:p>
    <w:p>
      <w:pPr>
        <w:pStyle w:val="Footnotesection"/>
      </w:pPr>
      <w:r>
        <w:tab/>
        <w:t>[Section 29 amended by No. 28 of 2006 s. 332.]</w:t>
      </w:r>
    </w:p>
    <w:p>
      <w:pPr>
        <w:pStyle w:val="Heading5"/>
        <w:rPr>
          <w:snapToGrid w:val="0"/>
        </w:rPr>
      </w:pPr>
      <w:bookmarkStart w:id="280" w:name="_Toc417967473"/>
      <w:bookmarkStart w:id="281" w:name="_Toc519921923"/>
      <w:bookmarkStart w:id="282" w:name="_Toc131396735"/>
      <w:bookmarkStart w:id="283" w:name="_Toc202173135"/>
      <w:r>
        <w:rPr>
          <w:rStyle w:val="CharSectno"/>
        </w:rPr>
        <w:t>30</w:t>
      </w:r>
      <w:r>
        <w:rPr>
          <w:snapToGrid w:val="0"/>
        </w:rPr>
        <w:t>.</w:t>
      </w:r>
      <w:r>
        <w:rPr>
          <w:snapToGrid w:val="0"/>
        </w:rPr>
        <w:tab/>
        <w:t>Determination of rent</w:t>
      </w:r>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 xml:space="preserve">The amounts of rent to be paid by tenants under this Division shall be such amounts as are from time to time determined by the </w:t>
      </w:r>
      <w:r>
        <w:t>Authority</w:t>
      </w:r>
      <w:r>
        <w:rPr>
          <w:snapToGrid w:val="0"/>
        </w:rPr>
        <w:t xml:space="preserve"> and approved by the Minister.</w:t>
      </w:r>
    </w:p>
    <w:p>
      <w:pPr>
        <w:pStyle w:val="Subsection"/>
        <w:rPr>
          <w:snapToGrid w:val="0"/>
        </w:rPr>
      </w:pPr>
      <w:r>
        <w:rPr>
          <w:snapToGrid w:val="0"/>
        </w:rPr>
        <w:tab/>
        <w:t>(2)</w:t>
      </w:r>
      <w:r>
        <w:rPr>
          <w:snapToGrid w:val="0"/>
        </w:rPr>
        <w:tab/>
        <w:t>A determination under subsection (1) may provide for — </w:t>
      </w:r>
    </w:p>
    <w:p>
      <w:pPr>
        <w:pStyle w:val="Indenta"/>
        <w:rPr>
          <w:snapToGrid w:val="0"/>
        </w:rPr>
      </w:pPr>
      <w:r>
        <w:rPr>
          <w:snapToGrid w:val="0"/>
        </w:rPr>
        <w:tab/>
        <w:t>(a)</w:t>
      </w:r>
      <w:r>
        <w:rPr>
          <w:snapToGrid w:val="0"/>
        </w:rPr>
        <w:tab/>
        <w:t>the payment of different rents in respect of different houses or different classes of houses;</w:t>
      </w:r>
    </w:p>
    <w:p>
      <w:pPr>
        <w:pStyle w:val="Indenta"/>
        <w:rPr>
          <w:snapToGrid w:val="0"/>
        </w:rPr>
      </w:pPr>
      <w:r>
        <w:rPr>
          <w:snapToGrid w:val="0"/>
        </w:rPr>
        <w:tab/>
        <w:t>(b)</w:t>
      </w:r>
      <w:r>
        <w:rPr>
          <w:snapToGrid w:val="0"/>
        </w:rPr>
        <w:tab/>
        <w:t>the payment of different rents by tenants of different classes;</w:t>
      </w:r>
    </w:p>
    <w:p>
      <w:pPr>
        <w:pStyle w:val="Indenta"/>
        <w:rPr>
          <w:snapToGrid w:val="0"/>
        </w:rPr>
      </w:pPr>
      <w:r>
        <w:rPr>
          <w:snapToGrid w:val="0"/>
        </w:rPr>
        <w:tab/>
        <w:t>(c)</w:t>
      </w:r>
      <w:r>
        <w:rPr>
          <w:snapToGrid w:val="0"/>
        </w:rPr>
        <w:tab/>
        <w:t>the allowance of rebates in such circumstances and subject to such conditions as are specified in the determination.</w:t>
      </w:r>
    </w:p>
    <w:p>
      <w:pPr>
        <w:pStyle w:val="Footnotesection"/>
      </w:pPr>
      <w:r>
        <w:tab/>
        <w:t>[Section 30 amended by No. 28 of 2006 s. 332.]</w:t>
      </w:r>
    </w:p>
    <w:p>
      <w:pPr>
        <w:pStyle w:val="Heading5"/>
        <w:rPr>
          <w:snapToGrid w:val="0"/>
        </w:rPr>
      </w:pPr>
      <w:bookmarkStart w:id="284" w:name="_Toc417967474"/>
      <w:bookmarkStart w:id="285" w:name="_Toc519921924"/>
      <w:bookmarkStart w:id="286" w:name="_Toc131396736"/>
      <w:bookmarkStart w:id="287" w:name="_Toc202173136"/>
      <w:r>
        <w:rPr>
          <w:rStyle w:val="CharSectno"/>
        </w:rPr>
        <w:t>31</w:t>
      </w:r>
      <w:r>
        <w:rPr>
          <w:snapToGrid w:val="0"/>
        </w:rPr>
        <w:t>.</w:t>
      </w:r>
      <w:r>
        <w:rPr>
          <w:snapToGrid w:val="0"/>
        </w:rPr>
        <w:tab/>
        <w:t>Credit of rents towards purchase price</w:t>
      </w:r>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the purchaser of any house and land under Division 4 has been a tenant of the house or the house and the land under this Division; or</w:t>
      </w:r>
    </w:p>
    <w:p>
      <w:pPr>
        <w:pStyle w:val="Indenta"/>
        <w:rPr>
          <w:snapToGrid w:val="0"/>
        </w:rPr>
      </w:pPr>
      <w:r>
        <w:rPr>
          <w:snapToGrid w:val="0"/>
        </w:rPr>
        <w:tab/>
        <w:t>(b)</w:t>
      </w:r>
      <w:r>
        <w:rPr>
          <w:snapToGrid w:val="0"/>
        </w:rPr>
        <w:tab/>
        <w:t>the spouse</w:t>
      </w:r>
      <w:r>
        <w:t>, de facto partner or deceased spouse or deceased de facto partner</w:t>
      </w:r>
      <w:r>
        <w:rPr>
          <w:snapToGrid w:val="0"/>
        </w:rPr>
        <w:t xml:space="preserve"> of a purchaser of any house and land under Division 4 has been a tenant of the house or the house and the land under this Division,</w:t>
      </w:r>
    </w:p>
    <w:p>
      <w:pPr>
        <w:pStyle w:val="Subsection"/>
        <w:rPr>
          <w:snapToGrid w:val="0"/>
        </w:rPr>
      </w:pPr>
      <w:r>
        <w:rPr>
          <w:snapToGrid w:val="0"/>
        </w:rPr>
        <w:tab/>
      </w:r>
      <w:r>
        <w:rPr>
          <w:snapToGrid w:val="0"/>
        </w:rPr>
        <w:tab/>
        <w:t xml:space="preserve">the </w:t>
      </w:r>
      <w:r>
        <w:t>Authority</w:t>
      </w:r>
      <w:r>
        <w:rPr>
          <w:snapToGrid w:val="0"/>
        </w:rPr>
        <w:t xml:space="preserve"> may credit towards the purchase price of the house and land the rents that have been paid by the purchaser or the spouse</w:t>
      </w:r>
      <w:r>
        <w:t>, de facto partner or deceased spouse or deceased de facto partner</w:t>
      </w:r>
      <w:r>
        <w:rPr>
          <w:snapToGrid w:val="0"/>
        </w:rPr>
        <w:t xml:space="preserve"> of the purchaser in respect of the house, or the house and the land, or such portion (if any) of those rents as the </w:t>
      </w:r>
      <w:r>
        <w:t>Authority</w:t>
      </w:r>
      <w:r>
        <w:rPr>
          <w:snapToGrid w:val="0"/>
        </w:rPr>
        <w:t xml:space="preserve"> thinks fit.</w:t>
      </w:r>
    </w:p>
    <w:p>
      <w:pPr>
        <w:pStyle w:val="Subsection"/>
        <w:rPr>
          <w:snapToGrid w:val="0"/>
        </w:rPr>
      </w:pPr>
      <w:r>
        <w:rPr>
          <w:snapToGrid w:val="0"/>
        </w:rPr>
        <w:tab/>
        <w:t>(2)</w:t>
      </w:r>
      <w:r>
        <w:rPr>
          <w:snapToGrid w:val="0"/>
        </w:rPr>
        <w:tab/>
        <w:t>Where a person becomes the purchaser of any house and land under Division 4 by exercising an option to purchase contained in a tenancy agreement under this Division the provisions of subsection (1) shall not affect any provision contained in the tenancy agreement providing for the crediting of rents towards the purchase price of the house and land.</w:t>
      </w:r>
    </w:p>
    <w:p>
      <w:pPr>
        <w:pStyle w:val="Subsection"/>
        <w:spacing w:before="120"/>
        <w:rPr>
          <w:snapToGrid w:val="0"/>
        </w:rPr>
      </w:pPr>
      <w:r>
        <w:rPr>
          <w:snapToGrid w:val="0"/>
        </w:rPr>
        <w:tab/>
        <w:t>(3)</w:t>
      </w:r>
      <w:r>
        <w:rPr>
          <w:snapToGrid w:val="0"/>
        </w:rPr>
        <w:tab/>
        <w:t xml:space="preserve">In this section </w:t>
      </w:r>
      <w:r>
        <w:rPr>
          <w:rStyle w:val="CharDefText"/>
        </w:rPr>
        <w:t>rents</w:t>
      </w:r>
      <w:r>
        <w:rPr>
          <w:snapToGrid w:val="0"/>
        </w:rPr>
        <w:t xml:space="preserve"> includes amounts paid by a tenant of a house or house and land for the purpose of the repair, renovation, upkeep or improvement of the house or house and land.</w:t>
      </w:r>
    </w:p>
    <w:p>
      <w:pPr>
        <w:pStyle w:val="Footnotesection"/>
      </w:pPr>
      <w:r>
        <w:tab/>
        <w:t>[Section 31 amended by No. 28 of 2003 s. 85; No. 28 of 2006 s. 332.]</w:t>
      </w:r>
    </w:p>
    <w:p>
      <w:pPr>
        <w:pStyle w:val="Heading3"/>
        <w:rPr>
          <w:snapToGrid w:val="0"/>
        </w:rPr>
      </w:pPr>
      <w:bookmarkStart w:id="288" w:name="_Toc116712867"/>
      <w:bookmarkStart w:id="289" w:name="_Toc116811284"/>
      <w:bookmarkStart w:id="290" w:name="_Toc131396737"/>
      <w:bookmarkStart w:id="291" w:name="_Toc139275298"/>
      <w:bookmarkStart w:id="292" w:name="_Toc139691327"/>
      <w:bookmarkStart w:id="293" w:name="_Toc141767929"/>
      <w:bookmarkStart w:id="294" w:name="_Toc141770679"/>
      <w:bookmarkStart w:id="295" w:name="_Toc143395779"/>
      <w:bookmarkStart w:id="296" w:name="_Toc143568973"/>
      <w:bookmarkStart w:id="297" w:name="_Toc143569078"/>
      <w:bookmarkStart w:id="298" w:name="_Toc143592633"/>
      <w:bookmarkStart w:id="299" w:name="_Toc144543085"/>
      <w:bookmarkStart w:id="300" w:name="_Toc155597309"/>
      <w:bookmarkStart w:id="301" w:name="_Toc157914630"/>
      <w:bookmarkStart w:id="302" w:name="_Toc196124051"/>
      <w:bookmarkStart w:id="303" w:name="_Toc202173137"/>
      <w:r>
        <w:rPr>
          <w:rStyle w:val="CharDivNo"/>
        </w:rPr>
        <w:t>Division 4</w:t>
      </w:r>
      <w:r>
        <w:rPr>
          <w:snapToGrid w:val="0"/>
        </w:rPr>
        <w:t> — </w:t>
      </w:r>
      <w:r>
        <w:rPr>
          <w:rStyle w:val="CharDivText"/>
        </w:rPr>
        <w:t>Sale of houses and housing land</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r>
        <w:rPr>
          <w:rStyle w:val="CharDivText"/>
        </w:rPr>
        <w:t xml:space="preserve"> </w:t>
      </w:r>
    </w:p>
    <w:p>
      <w:pPr>
        <w:pStyle w:val="Heading5"/>
        <w:rPr>
          <w:snapToGrid w:val="0"/>
        </w:rPr>
      </w:pPr>
      <w:bookmarkStart w:id="304" w:name="_Toc417967475"/>
      <w:bookmarkStart w:id="305" w:name="_Toc519921925"/>
      <w:bookmarkStart w:id="306" w:name="_Toc131396738"/>
      <w:bookmarkStart w:id="307" w:name="_Toc202173138"/>
      <w:r>
        <w:rPr>
          <w:rStyle w:val="CharSectno"/>
        </w:rPr>
        <w:t>32</w:t>
      </w:r>
      <w:r>
        <w:rPr>
          <w:snapToGrid w:val="0"/>
        </w:rPr>
        <w:t>.</w:t>
      </w:r>
      <w:r>
        <w:rPr>
          <w:snapToGrid w:val="0"/>
        </w:rPr>
        <w:tab/>
        <w:t>Application of this Division</w:t>
      </w:r>
      <w:bookmarkEnd w:id="304"/>
      <w:bookmarkEnd w:id="305"/>
      <w:bookmarkEnd w:id="306"/>
      <w:bookmarkEnd w:id="307"/>
      <w:r>
        <w:rPr>
          <w:snapToGrid w:val="0"/>
        </w:rPr>
        <w:t xml:space="preserve"> </w:t>
      </w:r>
    </w:p>
    <w:p>
      <w:pPr>
        <w:pStyle w:val="Subsection"/>
        <w:spacing w:before="120"/>
        <w:rPr>
          <w:snapToGrid w:val="0"/>
        </w:rPr>
      </w:pPr>
      <w:r>
        <w:rPr>
          <w:snapToGrid w:val="0"/>
        </w:rPr>
        <w:tab/>
        <w:t>(1)</w:t>
      </w:r>
      <w:r>
        <w:rPr>
          <w:snapToGrid w:val="0"/>
        </w:rPr>
        <w:tab/>
        <w:t xml:space="preserve">This Division applies to the sale by the </w:t>
      </w:r>
      <w:r>
        <w:t>Authority</w:t>
      </w:r>
      <w:r>
        <w:rPr>
          <w:snapToGrid w:val="0"/>
        </w:rPr>
        <w:t xml:space="preserve"> of a house and land held by the </w:t>
      </w:r>
      <w:r>
        <w:t>Authority</w:t>
      </w:r>
      <w:r>
        <w:rPr>
          <w:snapToGrid w:val="0"/>
        </w:rPr>
        <w:t xml:space="preserve"> or land held by the </w:t>
      </w:r>
      <w:r>
        <w:t>Authority</w:t>
      </w:r>
      <w:r>
        <w:rPr>
          <w:snapToGrid w:val="0"/>
        </w:rPr>
        <w:t xml:space="preserve"> on which a house is to be erected.</w:t>
      </w:r>
    </w:p>
    <w:p>
      <w:pPr>
        <w:pStyle w:val="Subsection"/>
        <w:spacing w:before="120"/>
        <w:rPr>
          <w:snapToGrid w:val="0"/>
        </w:rPr>
      </w:pPr>
      <w:r>
        <w:rPr>
          <w:snapToGrid w:val="0"/>
        </w:rPr>
        <w:tab/>
        <w:t>(2)</w:t>
      </w:r>
      <w:r>
        <w:rPr>
          <w:snapToGrid w:val="0"/>
        </w:rPr>
        <w:tab/>
        <w:t>A reference in subsection (1) to a house is a reference to a house that is intended to be used by the purchaser as a home for himself and his family (if any).</w:t>
      </w:r>
    </w:p>
    <w:p>
      <w:pPr>
        <w:pStyle w:val="Footnotesection"/>
      </w:pPr>
      <w:r>
        <w:tab/>
        <w:t>[Section 32 amended by No. 28 of 2006 s. 332.]</w:t>
      </w:r>
    </w:p>
    <w:p>
      <w:pPr>
        <w:pStyle w:val="Heading5"/>
        <w:rPr>
          <w:snapToGrid w:val="0"/>
        </w:rPr>
      </w:pPr>
      <w:bookmarkStart w:id="308" w:name="_Toc417967476"/>
      <w:bookmarkStart w:id="309" w:name="_Toc519921926"/>
      <w:bookmarkStart w:id="310" w:name="_Toc131396739"/>
      <w:bookmarkStart w:id="311" w:name="_Toc202173139"/>
      <w:r>
        <w:rPr>
          <w:rStyle w:val="CharSectno"/>
        </w:rPr>
        <w:t>33</w:t>
      </w:r>
      <w:r>
        <w:rPr>
          <w:snapToGrid w:val="0"/>
        </w:rPr>
        <w:t>.</w:t>
      </w:r>
      <w:r>
        <w:rPr>
          <w:snapToGrid w:val="0"/>
        </w:rPr>
        <w:tab/>
        <w:t>Terms and conditions of sale</w:t>
      </w:r>
      <w:bookmarkEnd w:id="308"/>
      <w:bookmarkEnd w:id="309"/>
      <w:bookmarkEnd w:id="310"/>
      <w:bookmarkEnd w:id="311"/>
      <w:r>
        <w:rPr>
          <w:snapToGrid w:val="0"/>
        </w:rPr>
        <w:t xml:space="preserve"> </w:t>
      </w:r>
    </w:p>
    <w:p>
      <w:pPr>
        <w:pStyle w:val="Subsection"/>
        <w:spacing w:before="120"/>
        <w:rPr>
          <w:snapToGrid w:val="0"/>
        </w:rPr>
      </w:pPr>
      <w:r>
        <w:rPr>
          <w:snapToGrid w:val="0"/>
        </w:rPr>
        <w:tab/>
        <w:t>(1)</w:t>
      </w:r>
      <w:r>
        <w:rPr>
          <w:snapToGrid w:val="0"/>
        </w:rPr>
        <w:tab/>
        <w:t xml:space="preserve">The </w:t>
      </w:r>
      <w:r>
        <w:t>Authority</w:t>
      </w:r>
      <w:r>
        <w:rPr>
          <w:snapToGrid w:val="0"/>
        </w:rPr>
        <w:t xml:space="preserve"> may by public auction or private contract sell land or a house and land under this Division — </w:t>
      </w:r>
    </w:p>
    <w:p>
      <w:pPr>
        <w:pStyle w:val="Indenta"/>
        <w:rPr>
          <w:snapToGrid w:val="0"/>
        </w:rPr>
      </w:pPr>
      <w:r>
        <w:rPr>
          <w:snapToGrid w:val="0"/>
        </w:rPr>
        <w:tab/>
        <w:t>(a)</w:t>
      </w:r>
      <w:r>
        <w:rPr>
          <w:snapToGrid w:val="0"/>
        </w:rPr>
        <w:tab/>
        <w:t>for cash; or</w:t>
      </w:r>
    </w:p>
    <w:p>
      <w:pPr>
        <w:pStyle w:val="Indenta"/>
        <w:rPr>
          <w:snapToGrid w:val="0"/>
        </w:rPr>
      </w:pPr>
      <w:r>
        <w:rPr>
          <w:snapToGrid w:val="0"/>
        </w:rPr>
        <w:tab/>
        <w:t>(b)</w:t>
      </w:r>
      <w:r>
        <w:rPr>
          <w:snapToGrid w:val="0"/>
        </w:rPr>
        <w:tab/>
        <w:t>in the case of — </w:t>
      </w:r>
    </w:p>
    <w:p>
      <w:pPr>
        <w:pStyle w:val="Indenti"/>
        <w:rPr>
          <w:snapToGrid w:val="0"/>
        </w:rPr>
      </w:pPr>
      <w:r>
        <w:rPr>
          <w:snapToGrid w:val="0"/>
        </w:rPr>
        <w:tab/>
        <w:t>(i)</w:t>
      </w:r>
      <w:r>
        <w:rPr>
          <w:snapToGrid w:val="0"/>
        </w:rPr>
        <w:tab/>
        <w:t>the sale of land; or</w:t>
      </w:r>
    </w:p>
    <w:p>
      <w:pPr>
        <w:pStyle w:val="Indenti"/>
        <w:rPr>
          <w:snapToGrid w:val="0"/>
        </w:rPr>
      </w:pPr>
      <w:r>
        <w:rPr>
          <w:snapToGrid w:val="0"/>
        </w:rPr>
        <w:tab/>
        <w:t>(ii)</w:t>
      </w:r>
      <w:r>
        <w:rPr>
          <w:snapToGrid w:val="0"/>
        </w:rPr>
        <w:tab/>
        <w:t>the sale of a house and land to an eligible person,</w:t>
      </w:r>
    </w:p>
    <w:p>
      <w:pPr>
        <w:pStyle w:val="Indenta"/>
        <w:rPr>
          <w:snapToGrid w:val="0"/>
        </w:rPr>
      </w:pPr>
      <w:r>
        <w:rPr>
          <w:snapToGrid w:val="0"/>
        </w:rPr>
        <w:tab/>
      </w:r>
      <w:r>
        <w:rPr>
          <w:snapToGrid w:val="0"/>
        </w:rPr>
        <w:tab/>
        <w:t xml:space="preserve">on such terms of payment as the </w:t>
      </w:r>
      <w:r>
        <w:t>Authority</w:t>
      </w:r>
      <w:r>
        <w:rPr>
          <w:snapToGrid w:val="0"/>
        </w:rPr>
        <w:t xml:space="preserve"> thinks fit.</w:t>
      </w:r>
    </w:p>
    <w:p>
      <w:pPr>
        <w:pStyle w:val="Subsection"/>
        <w:spacing w:before="120"/>
        <w:rPr>
          <w:snapToGrid w:val="0"/>
        </w:rPr>
      </w:pPr>
      <w:r>
        <w:rPr>
          <w:snapToGrid w:val="0"/>
        </w:rPr>
        <w:tab/>
        <w:t>(2)</w:t>
      </w:r>
      <w:r>
        <w:rPr>
          <w:snapToGrid w:val="0"/>
        </w:rPr>
        <w:tab/>
        <w:t xml:space="preserve">A sale under this Division may be made at such price and subject to such conditions, restrictions, exceptions and reservations as the </w:t>
      </w:r>
      <w:r>
        <w:t>Authority</w:t>
      </w:r>
      <w:r>
        <w:rPr>
          <w:snapToGrid w:val="0"/>
        </w:rPr>
        <w:t xml:space="preserve"> thinks fit.</w:t>
      </w:r>
    </w:p>
    <w:p>
      <w:pPr>
        <w:pStyle w:val="Subsection"/>
        <w:spacing w:before="120"/>
        <w:rPr>
          <w:snapToGrid w:val="0"/>
        </w:rPr>
      </w:pPr>
      <w:r>
        <w:rPr>
          <w:snapToGrid w:val="0"/>
        </w:rPr>
        <w:tab/>
        <w:t>(3)</w:t>
      </w:r>
      <w:r>
        <w:rPr>
          <w:snapToGrid w:val="0"/>
        </w:rPr>
        <w:tab/>
        <w:t>If a sale under this Division is made on terms or subject to conditions, restrictions, exceptions or reservations those terms, conditions, restrictions, exceptions or reservations shall be set out in a contract of sale in an approved form.</w:t>
      </w:r>
    </w:p>
    <w:p>
      <w:pPr>
        <w:pStyle w:val="Subsection"/>
        <w:spacing w:before="120"/>
        <w:rPr>
          <w:snapToGrid w:val="0"/>
        </w:rPr>
      </w:pPr>
      <w:r>
        <w:rPr>
          <w:snapToGrid w:val="0"/>
        </w:rPr>
        <w:tab/>
        <w:t>(4)</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contracts of sale in respect of sales on terms under this Division.</w:t>
      </w:r>
    </w:p>
    <w:p>
      <w:pPr>
        <w:pStyle w:val="Subsection"/>
        <w:rPr>
          <w:snapToGrid w:val="0"/>
        </w:rPr>
      </w:pPr>
      <w:r>
        <w:rPr>
          <w:snapToGrid w:val="0"/>
        </w:rPr>
        <w:tab/>
        <w:t>(5)</w:t>
      </w:r>
      <w:r>
        <w:rPr>
          <w:snapToGrid w:val="0"/>
        </w:rPr>
        <w:tab/>
        <w:t>Different standard rates of interest may be fixed under subsection (4) in respect of different classes of contracts of sale.</w:t>
      </w:r>
    </w:p>
    <w:p>
      <w:pPr>
        <w:pStyle w:val="Subsection"/>
        <w:rPr>
          <w:snapToGrid w:val="0"/>
        </w:rPr>
      </w:pPr>
      <w:r>
        <w:rPr>
          <w:snapToGrid w:val="0"/>
        </w:rPr>
        <w:tab/>
        <w:t>(6)</w:t>
      </w:r>
      <w:r>
        <w:rPr>
          <w:snapToGrid w:val="0"/>
        </w:rPr>
        <w:tab/>
        <w:t>The interest rate specified in a contract of sale in respect of a sale on terms under this Division shall be the standard rate of interest most recently published under subsection (4) in respect of contracts of sale of that class but the contract may provide for the interest rate to vary in accordance with determinations published from time to time under that subsection.</w:t>
      </w:r>
    </w:p>
    <w:p>
      <w:pPr>
        <w:pStyle w:val="Subsection"/>
        <w:rPr>
          <w:snapToGrid w:val="0"/>
        </w:rPr>
      </w:pPr>
      <w:r>
        <w:rPr>
          <w:snapToGrid w:val="0"/>
        </w:rPr>
        <w:tab/>
        <w:t>(7)</w:t>
      </w:r>
      <w:r>
        <w:rPr>
          <w:snapToGrid w:val="0"/>
        </w:rPr>
        <w:tab/>
        <w:t xml:space="preserve">In subsection (6) </w:t>
      </w:r>
      <w:r>
        <w:rPr>
          <w:rStyle w:val="CharDefText"/>
        </w:rPr>
        <w:t>interest rate</w:t>
      </w:r>
      <w:r>
        <w:rPr>
          <w:snapToGrid w:val="0"/>
        </w:rPr>
        <w:t xml:space="preserve"> in relation to a contract of sale means the rate of interest payable on the balance of the purchase money for the time being remaining unpaid under that contract of sale.</w:t>
      </w:r>
    </w:p>
    <w:p>
      <w:pPr>
        <w:pStyle w:val="Footnotesection"/>
      </w:pPr>
      <w:r>
        <w:tab/>
        <w:t>[Section 33 amended by No. 28 of 2006 s. 332.]</w:t>
      </w:r>
    </w:p>
    <w:p>
      <w:pPr>
        <w:pStyle w:val="Heading5"/>
        <w:rPr>
          <w:snapToGrid w:val="0"/>
        </w:rPr>
      </w:pPr>
      <w:bookmarkStart w:id="312" w:name="_Toc417967477"/>
      <w:bookmarkStart w:id="313" w:name="_Toc519921927"/>
      <w:bookmarkStart w:id="314" w:name="_Toc131396740"/>
      <w:bookmarkStart w:id="315" w:name="_Toc202173140"/>
      <w:r>
        <w:rPr>
          <w:rStyle w:val="CharSectno"/>
        </w:rPr>
        <w:t>34</w:t>
      </w:r>
      <w:r>
        <w:rPr>
          <w:snapToGrid w:val="0"/>
        </w:rPr>
        <w:t>.</w:t>
      </w:r>
      <w:r>
        <w:rPr>
          <w:snapToGrid w:val="0"/>
        </w:rPr>
        <w:tab/>
        <w:t>Limit on amount of unpaid purchase money</w:t>
      </w:r>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 xml:space="preserve">The balance of the purchase money for the time being remaining unpaid under a contract of sale in respect of a sale under this Division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different sums in respect of land in different areas of the State.</w:t>
      </w:r>
    </w:p>
    <w:p>
      <w:pPr>
        <w:pStyle w:val="Heading2"/>
      </w:pPr>
      <w:bookmarkStart w:id="316" w:name="_Toc116712871"/>
      <w:bookmarkStart w:id="317" w:name="_Toc116811288"/>
      <w:bookmarkStart w:id="318" w:name="_Toc131396741"/>
      <w:bookmarkStart w:id="319" w:name="_Toc139275302"/>
      <w:bookmarkStart w:id="320" w:name="_Toc139691331"/>
      <w:bookmarkStart w:id="321" w:name="_Toc141767933"/>
      <w:bookmarkStart w:id="322" w:name="_Toc141770683"/>
      <w:bookmarkStart w:id="323" w:name="_Toc143395783"/>
      <w:bookmarkStart w:id="324" w:name="_Toc143568977"/>
      <w:bookmarkStart w:id="325" w:name="_Toc143569082"/>
      <w:bookmarkStart w:id="326" w:name="_Toc143592637"/>
      <w:bookmarkStart w:id="327" w:name="_Toc144543089"/>
      <w:bookmarkStart w:id="328" w:name="_Toc155597313"/>
      <w:bookmarkStart w:id="329" w:name="_Toc157914634"/>
      <w:bookmarkStart w:id="330" w:name="_Toc196124055"/>
      <w:bookmarkStart w:id="331" w:name="_Toc202173141"/>
      <w:r>
        <w:rPr>
          <w:rStyle w:val="CharPartNo"/>
        </w:rPr>
        <w:t>Part IV</w:t>
      </w:r>
      <w:r>
        <w:t> — </w:t>
      </w:r>
      <w:r>
        <w:rPr>
          <w:rStyle w:val="CharPartText"/>
        </w:rPr>
        <w:t>Provision by the Authority of financial assistance for housing</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Footnoteheading"/>
      </w:pPr>
      <w:r>
        <w:tab/>
        <w:t>[Heading amended by No. 28 of 2006 s. 328.]</w:t>
      </w:r>
    </w:p>
    <w:p>
      <w:pPr>
        <w:pStyle w:val="Heading3"/>
        <w:rPr>
          <w:snapToGrid w:val="0"/>
        </w:rPr>
      </w:pPr>
      <w:bookmarkStart w:id="332" w:name="_Toc116712872"/>
      <w:bookmarkStart w:id="333" w:name="_Toc116811289"/>
      <w:bookmarkStart w:id="334" w:name="_Toc131396742"/>
      <w:bookmarkStart w:id="335" w:name="_Toc139275303"/>
      <w:bookmarkStart w:id="336" w:name="_Toc139691332"/>
      <w:bookmarkStart w:id="337" w:name="_Toc141767934"/>
      <w:bookmarkStart w:id="338" w:name="_Toc141770684"/>
      <w:bookmarkStart w:id="339" w:name="_Toc143395784"/>
      <w:bookmarkStart w:id="340" w:name="_Toc143568978"/>
      <w:bookmarkStart w:id="341" w:name="_Toc143569083"/>
      <w:bookmarkStart w:id="342" w:name="_Toc143592638"/>
      <w:bookmarkStart w:id="343" w:name="_Toc144543090"/>
      <w:bookmarkStart w:id="344" w:name="_Toc155597314"/>
      <w:bookmarkStart w:id="345" w:name="_Toc157914635"/>
      <w:bookmarkStart w:id="346" w:name="_Toc196124056"/>
      <w:bookmarkStart w:id="347" w:name="_Toc202173142"/>
      <w:r>
        <w:rPr>
          <w:rStyle w:val="CharDivNo"/>
        </w:rPr>
        <w:t>Division 1</w:t>
      </w:r>
      <w:r>
        <w:rPr>
          <w:snapToGrid w:val="0"/>
        </w:rPr>
        <w:t> — </w:t>
      </w:r>
      <w:r>
        <w:rPr>
          <w:rStyle w:val="CharDivText"/>
        </w:rPr>
        <w:t>Loans</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r>
        <w:rPr>
          <w:rStyle w:val="CharDivText"/>
        </w:rPr>
        <w:t xml:space="preserve"> </w:t>
      </w:r>
    </w:p>
    <w:p>
      <w:pPr>
        <w:pStyle w:val="Heading5"/>
        <w:rPr>
          <w:snapToGrid w:val="0"/>
        </w:rPr>
      </w:pPr>
      <w:bookmarkStart w:id="348" w:name="_Toc417967478"/>
      <w:bookmarkStart w:id="349" w:name="_Toc519921928"/>
      <w:bookmarkStart w:id="350" w:name="_Toc131396743"/>
      <w:bookmarkStart w:id="351" w:name="_Toc202173143"/>
      <w:r>
        <w:rPr>
          <w:rStyle w:val="CharSectno"/>
        </w:rPr>
        <w:t>35</w:t>
      </w:r>
      <w:r>
        <w:rPr>
          <w:snapToGrid w:val="0"/>
        </w:rPr>
        <w:t>.</w:t>
      </w:r>
      <w:r>
        <w:rPr>
          <w:snapToGrid w:val="0"/>
        </w:rPr>
        <w:tab/>
        <w:t>Reference to “house”</w:t>
      </w:r>
      <w:bookmarkEnd w:id="348"/>
      <w:bookmarkEnd w:id="349"/>
      <w:bookmarkEnd w:id="350"/>
      <w:bookmarkEnd w:id="351"/>
      <w:r>
        <w:rPr>
          <w:snapToGrid w:val="0"/>
        </w:rPr>
        <w:t xml:space="preserve"> </w:t>
      </w:r>
    </w:p>
    <w:p>
      <w:pPr>
        <w:pStyle w:val="Subsection"/>
        <w:rPr>
          <w:snapToGrid w:val="0"/>
        </w:rPr>
      </w:pPr>
      <w:r>
        <w:rPr>
          <w:snapToGrid w:val="0"/>
        </w:rPr>
        <w:tab/>
      </w:r>
      <w:r>
        <w:rPr>
          <w:snapToGrid w:val="0"/>
        </w:rPr>
        <w:tab/>
        <w:t>A reference in this Division to a house in relation to the making of a loan is a reference to a house that is, or is intended to be, used by the person to whom the loan is to be made as a home for himself and his family (if any).</w:t>
      </w:r>
    </w:p>
    <w:p>
      <w:pPr>
        <w:pStyle w:val="Heading5"/>
        <w:rPr>
          <w:snapToGrid w:val="0"/>
        </w:rPr>
      </w:pPr>
      <w:bookmarkStart w:id="352" w:name="_Toc417967479"/>
      <w:bookmarkStart w:id="353" w:name="_Toc519921929"/>
      <w:bookmarkStart w:id="354" w:name="_Toc131396744"/>
      <w:bookmarkStart w:id="355" w:name="_Toc202173144"/>
      <w:r>
        <w:rPr>
          <w:rStyle w:val="CharSectno"/>
        </w:rPr>
        <w:t>36</w:t>
      </w:r>
      <w:r>
        <w:rPr>
          <w:snapToGrid w:val="0"/>
        </w:rPr>
        <w:t>.</w:t>
      </w:r>
      <w:r>
        <w:rPr>
          <w:snapToGrid w:val="0"/>
        </w:rPr>
        <w:tab/>
        <w:t>Loans to assist eligible persons</w:t>
      </w:r>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eligible person in order to assist the eligible person — </w:t>
      </w:r>
    </w:p>
    <w:p>
      <w:pPr>
        <w:pStyle w:val="Indenta"/>
        <w:rPr>
          <w:snapToGrid w:val="0"/>
        </w:rPr>
      </w:pPr>
      <w:r>
        <w:rPr>
          <w:snapToGrid w:val="0"/>
        </w:rPr>
        <w:tab/>
        <w:t>(a)</w:t>
      </w:r>
      <w:r>
        <w:rPr>
          <w:snapToGrid w:val="0"/>
        </w:rPr>
        <w:tab/>
        <w:t>to erect, complete, enlarge or improve a house on land owned by him;</w:t>
      </w:r>
    </w:p>
    <w:p>
      <w:pPr>
        <w:pStyle w:val="Indenta"/>
        <w:rPr>
          <w:snapToGrid w:val="0"/>
        </w:rPr>
      </w:pPr>
      <w:r>
        <w:rPr>
          <w:snapToGrid w:val="0"/>
        </w:rPr>
        <w:tab/>
        <w:t>(b)</w:t>
      </w:r>
      <w:r>
        <w:rPr>
          <w:snapToGrid w:val="0"/>
        </w:rPr>
        <w:tab/>
        <w:t>to purchase land and erect a house thereon;</w:t>
      </w:r>
    </w:p>
    <w:p>
      <w:pPr>
        <w:pStyle w:val="Indenta"/>
        <w:rPr>
          <w:snapToGrid w:val="0"/>
        </w:rPr>
      </w:pPr>
      <w:r>
        <w:rPr>
          <w:snapToGrid w:val="0"/>
        </w:rPr>
        <w:tab/>
        <w:t>(c)</w:t>
      </w:r>
      <w:r>
        <w:rPr>
          <w:snapToGrid w:val="0"/>
        </w:rPr>
        <w:tab/>
        <w:t>to purchase a house and the land on which it is erected;</w:t>
      </w:r>
    </w:p>
    <w:p>
      <w:pPr>
        <w:pStyle w:val="Indenta"/>
        <w:rPr>
          <w:snapToGrid w:val="0"/>
        </w:rPr>
      </w:pPr>
      <w:r>
        <w:rPr>
          <w:snapToGrid w:val="0"/>
        </w:rPr>
        <w:tab/>
        <w:t>(d)</w:t>
      </w:r>
      <w:r>
        <w:rPr>
          <w:snapToGrid w:val="0"/>
        </w:rPr>
        <w:tab/>
        <w:t>to purchase a partially erected house and the land on which it is being erected and complete the house; or</w:t>
      </w:r>
    </w:p>
    <w:p>
      <w:pPr>
        <w:pStyle w:val="Indenta"/>
        <w:rPr>
          <w:snapToGrid w:val="0"/>
        </w:rPr>
      </w:pPr>
      <w:r>
        <w:rPr>
          <w:snapToGrid w:val="0"/>
        </w:rPr>
        <w:tab/>
        <w:t>(e)</w:t>
      </w:r>
      <w:r>
        <w:rPr>
          <w:snapToGrid w:val="0"/>
        </w:rPr>
        <w:tab/>
        <w:t>to discharge any mortgage or liability already existing on land owned by him and on which a house is erected, or is being erected or is to be erected.</w:t>
      </w:r>
    </w:p>
    <w:p>
      <w:pPr>
        <w:pStyle w:val="Subsection"/>
        <w:rPr>
          <w:snapToGrid w:val="0"/>
        </w:rPr>
      </w:pPr>
      <w:r>
        <w:rPr>
          <w:snapToGrid w:val="0"/>
        </w:rPr>
        <w:tab/>
        <w:t>(2)</w:t>
      </w:r>
      <w:r>
        <w:rPr>
          <w:snapToGrid w:val="0"/>
        </w:rPr>
        <w:tab/>
        <w:t>A reference in subsection (1) to land owned by an eligible person is a reference to land of which the eligible person is the beneficial owner in possession and includes — </w:t>
      </w:r>
    </w:p>
    <w:p>
      <w:pPr>
        <w:pStyle w:val="Indenta"/>
        <w:rPr>
          <w:snapToGrid w:val="0"/>
        </w:rPr>
      </w:pPr>
      <w:r>
        <w:rPr>
          <w:snapToGrid w:val="0"/>
        </w:rPr>
        <w:tab/>
        <w:t>(a)</w:t>
      </w:r>
      <w:r>
        <w:rPr>
          <w:snapToGrid w:val="0"/>
        </w:rPr>
        <w:tab/>
        <w:t>Crown land (including any land held by the</w:t>
      </w:r>
      <w:r>
        <w:t xml:space="preserve"> Authority</w:t>
      </w:r>
      <w:r>
        <w:rPr>
          <w:snapToGrid w:val="0"/>
        </w:rPr>
        <w:t>) or endowment lands of The University of Western Australia, or of the trustees of the Public Education Endowment or of any local government being land set aside for residential purposes and held by the eligible person for his own benefit under a lease or agreement;</w:t>
      </w:r>
    </w:p>
    <w:p>
      <w:pPr>
        <w:pStyle w:val="Indenta"/>
        <w:rPr>
          <w:snapToGrid w:val="0"/>
        </w:rPr>
      </w:pPr>
      <w:r>
        <w:rPr>
          <w:snapToGrid w:val="0"/>
        </w:rPr>
        <w:tab/>
        <w:t>(b)</w:t>
      </w:r>
      <w:r>
        <w:rPr>
          <w:snapToGrid w:val="0"/>
        </w:rPr>
        <w:tab/>
        <w:t>Residential Leases, Miners’ Homestead Leases and Residence Areas.</w:t>
      </w:r>
    </w:p>
    <w:p>
      <w:pPr>
        <w:pStyle w:val="Footnotesection"/>
      </w:pPr>
      <w:r>
        <w:tab/>
        <w:t xml:space="preserve">[Section 36 amended by No. 14 of 1996 s. 4; No. 28 of 2006 s. 332.] </w:t>
      </w:r>
    </w:p>
    <w:p>
      <w:pPr>
        <w:pStyle w:val="Heading5"/>
        <w:rPr>
          <w:snapToGrid w:val="0"/>
        </w:rPr>
      </w:pPr>
      <w:bookmarkStart w:id="356" w:name="_Toc417967480"/>
      <w:bookmarkStart w:id="357" w:name="_Toc519921930"/>
      <w:bookmarkStart w:id="358" w:name="_Toc131396745"/>
      <w:bookmarkStart w:id="359" w:name="_Toc202173145"/>
      <w:r>
        <w:rPr>
          <w:rStyle w:val="CharSectno"/>
        </w:rPr>
        <w:t>37</w:t>
      </w:r>
      <w:r>
        <w:rPr>
          <w:snapToGrid w:val="0"/>
        </w:rPr>
        <w:t>.</w:t>
      </w:r>
      <w:r>
        <w:rPr>
          <w:snapToGrid w:val="0"/>
        </w:rPr>
        <w:tab/>
        <w:t xml:space="preserve">Loans to persons generally to purchase land from the </w:t>
      </w:r>
      <w:bookmarkEnd w:id="356"/>
      <w:bookmarkEnd w:id="357"/>
      <w:bookmarkEnd w:id="358"/>
      <w:r>
        <w:t>Authority</w:t>
      </w:r>
      <w:bookmarkEnd w:id="359"/>
    </w:p>
    <w:p>
      <w:pPr>
        <w:pStyle w:val="Subsection"/>
        <w:rPr>
          <w:snapToGrid w:val="0"/>
        </w:rPr>
      </w:pPr>
      <w:r>
        <w:rPr>
          <w:snapToGrid w:val="0"/>
        </w:rPr>
        <w:tab/>
      </w:r>
      <w:r>
        <w:rPr>
          <w:snapToGrid w:val="0"/>
        </w:rPr>
        <w:tab/>
        <w:t xml:space="preserve">Subject to this Act the </w:t>
      </w:r>
      <w:r>
        <w:t>Authority</w:t>
      </w:r>
      <w:r>
        <w:rPr>
          <w:snapToGrid w:val="0"/>
        </w:rPr>
        <w:t xml:space="preserve"> may make a loan to any person in order to assist the person to purchase from the </w:t>
      </w:r>
      <w:r>
        <w:t>Authority</w:t>
      </w:r>
      <w:r>
        <w:rPr>
          <w:snapToGrid w:val="0"/>
        </w:rPr>
        <w:t xml:space="preserve"> land on which to erect a house.</w:t>
      </w:r>
    </w:p>
    <w:p>
      <w:pPr>
        <w:pStyle w:val="Footnotesection"/>
      </w:pPr>
      <w:r>
        <w:tab/>
        <w:t>[Section 37 amended by No. 28 of 2006 s. 332.]</w:t>
      </w:r>
    </w:p>
    <w:p>
      <w:pPr>
        <w:pStyle w:val="Heading5"/>
        <w:rPr>
          <w:snapToGrid w:val="0"/>
        </w:rPr>
      </w:pPr>
      <w:bookmarkStart w:id="360" w:name="_Toc417967481"/>
      <w:bookmarkStart w:id="361" w:name="_Toc519921931"/>
      <w:bookmarkStart w:id="362" w:name="_Toc131396746"/>
      <w:bookmarkStart w:id="363" w:name="_Toc202173146"/>
      <w:r>
        <w:rPr>
          <w:rStyle w:val="CharSectno"/>
        </w:rPr>
        <w:t>38</w:t>
      </w:r>
      <w:r>
        <w:rPr>
          <w:snapToGrid w:val="0"/>
        </w:rPr>
        <w:t>.</w:t>
      </w:r>
      <w:r>
        <w:rPr>
          <w:snapToGrid w:val="0"/>
        </w:rPr>
        <w:tab/>
        <w:t>Loans to persons generally to improve houses</w:t>
      </w:r>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person to assist the person to make alterations or additions to a house so that the house may be brought into conformity with the building, health or other local laws or standards of a local government or to improve the standard of comfort or convenience of the house.</w:t>
      </w:r>
    </w:p>
    <w:p>
      <w:pPr>
        <w:pStyle w:val="Subsection"/>
        <w:rPr>
          <w:snapToGrid w:val="0"/>
        </w:rPr>
      </w:pPr>
      <w:r>
        <w:rPr>
          <w:snapToGrid w:val="0"/>
        </w:rPr>
        <w:tab/>
        <w:t>(2)</w:t>
      </w:r>
      <w:r>
        <w:rPr>
          <w:snapToGrid w:val="0"/>
        </w:rPr>
        <w:tab/>
        <w:t>For the purpose of this section — </w:t>
      </w:r>
    </w:p>
    <w:p>
      <w:pPr>
        <w:pStyle w:val="Defstart"/>
      </w:pPr>
      <w:r>
        <w:rPr>
          <w:b/>
        </w:rPr>
        <w:tab/>
      </w:r>
      <w:r>
        <w:rPr>
          <w:rStyle w:val="CharDefText"/>
        </w:rPr>
        <w:t>additions</w:t>
      </w:r>
      <w:r>
        <w:t xml:space="preserve"> include the installation or improvement of water supply, sewerage or drainage systems and all necessary fittings;</w:t>
      </w:r>
    </w:p>
    <w:p>
      <w:pPr>
        <w:pStyle w:val="Defstart"/>
      </w:pPr>
      <w:r>
        <w:rPr>
          <w:b/>
        </w:rPr>
        <w:tab/>
      </w:r>
      <w:r>
        <w:rPr>
          <w:rStyle w:val="CharDefText"/>
        </w:rPr>
        <w:t>local government</w:t>
      </w:r>
      <w:r>
        <w:t xml:space="preserve"> includes the Minister within the meaning of the </w:t>
      </w:r>
      <w:r>
        <w:rPr>
          <w:i/>
        </w:rPr>
        <w:t>Water Agencies (Powers) Act 1984</w:t>
      </w:r>
      <w:r>
        <w:t xml:space="preserve"> acting under section 34 of that Act, a water board constituted under the </w:t>
      </w:r>
      <w:r>
        <w:rPr>
          <w:i/>
        </w:rPr>
        <w:t>Water Boards Act 1904</w:t>
      </w:r>
      <w:r>
        <w:t xml:space="preserve"> and a drainage board constituted under the </w:t>
      </w:r>
      <w:r>
        <w:rPr>
          <w:i/>
        </w:rPr>
        <w:t>Land Drainage Act 1925</w:t>
      </w:r>
      <w:r>
        <w:t>.</w:t>
      </w:r>
    </w:p>
    <w:p>
      <w:pPr>
        <w:pStyle w:val="Subsection"/>
        <w:rPr>
          <w:snapToGrid w:val="0"/>
        </w:rPr>
      </w:pPr>
      <w:r>
        <w:rPr>
          <w:snapToGrid w:val="0"/>
        </w:rPr>
        <w:tab/>
        <w:t>(3)</w:t>
      </w:r>
      <w:r>
        <w:rPr>
          <w:snapToGrid w:val="0"/>
        </w:rPr>
        <w:tab/>
        <w:t xml:space="preserve">No loan shall be made under this section other than to a person who satisfies the </w:t>
      </w:r>
      <w:r>
        <w:t>Authority</w:t>
      </w:r>
      <w:r>
        <w:rPr>
          <w:snapToGrid w:val="0"/>
        </w:rPr>
        <w:t xml:space="preserve"> that his financial position justifies the assistance applied for.</w:t>
      </w:r>
    </w:p>
    <w:p>
      <w:pPr>
        <w:pStyle w:val="Footnotesection"/>
      </w:pPr>
      <w:r>
        <w:tab/>
        <w:t xml:space="preserve">[Section 38 amended by No. 73 of 1995 s. 188; No. 14 of 1996 s. 4; No. 28 of 2006 s. 332.] </w:t>
      </w:r>
    </w:p>
    <w:p>
      <w:pPr>
        <w:pStyle w:val="Heading5"/>
        <w:keepNext w:val="0"/>
        <w:keepLines w:val="0"/>
        <w:spacing w:before="180"/>
        <w:rPr>
          <w:snapToGrid w:val="0"/>
        </w:rPr>
      </w:pPr>
      <w:bookmarkStart w:id="364" w:name="_Toc417967482"/>
      <w:bookmarkStart w:id="365" w:name="_Toc519921932"/>
      <w:bookmarkStart w:id="366" w:name="_Toc131396747"/>
      <w:bookmarkStart w:id="367" w:name="_Toc202173147"/>
      <w:r>
        <w:rPr>
          <w:rStyle w:val="CharSectno"/>
        </w:rPr>
        <w:t>39</w:t>
      </w:r>
      <w:r>
        <w:rPr>
          <w:snapToGrid w:val="0"/>
        </w:rPr>
        <w:t>.</w:t>
      </w:r>
      <w:r>
        <w:rPr>
          <w:snapToGrid w:val="0"/>
        </w:rPr>
        <w:tab/>
        <w:t>Method of making loan</w:t>
      </w:r>
      <w:bookmarkEnd w:id="364"/>
      <w:bookmarkEnd w:id="365"/>
      <w:bookmarkEnd w:id="366"/>
      <w:bookmarkEnd w:id="367"/>
      <w:r>
        <w:rPr>
          <w:snapToGrid w:val="0"/>
        </w:rPr>
        <w:t xml:space="preserve"> </w:t>
      </w:r>
    </w:p>
    <w:p>
      <w:pPr>
        <w:pStyle w:val="Subsection"/>
        <w:rPr>
          <w:snapToGrid w:val="0"/>
        </w:rPr>
      </w:pPr>
      <w:r>
        <w:rPr>
          <w:snapToGrid w:val="0"/>
        </w:rPr>
        <w:tab/>
      </w:r>
      <w:r>
        <w:rPr>
          <w:snapToGrid w:val="0"/>
        </w:rPr>
        <w:tab/>
        <w:t>A loan under this Division may be made in one sum or in progress payments from time to time at the discretion of the</w:t>
      </w:r>
      <w:r>
        <w:t xml:space="preserve"> Authority</w:t>
      </w:r>
      <w:r>
        <w:rPr>
          <w:snapToGrid w:val="0"/>
        </w:rPr>
        <w:t>.</w:t>
      </w:r>
    </w:p>
    <w:p>
      <w:pPr>
        <w:pStyle w:val="Footnotesection"/>
      </w:pPr>
      <w:r>
        <w:tab/>
        <w:t>[Section 39 amended by No. 28 of 2006 s. 332.]</w:t>
      </w:r>
    </w:p>
    <w:p>
      <w:pPr>
        <w:pStyle w:val="Heading5"/>
        <w:rPr>
          <w:snapToGrid w:val="0"/>
        </w:rPr>
      </w:pPr>
      <w:bookmarkStart w:id="368" w:name="_Toc417967483"/>
      <w:bookmarkStart w:id="369" w:name="_Toc519921933"/>
      <w:bookmarkStart w:id="370" w:name="_Toc131396748"/>
      <w:bookmarkStart w:id="371" w:name="_Toc202173148"/>
      <w:r>
        <w:rPr>
          <w:rStyle w:val="CharSectno"/>
        </w:rPr>
        <w:t>40</w:t>
      </w:r>
      <w:r>
        <w:rPr>
          <w:snapToGrid w:val="0"/>
        </w:rPr>
        <w:t>.</w:t>
      </w:r>
      <w:r>
        <w:rPr>
          <w:snapToGrid w:val="0"/>
        </w:rPr>
        <w:tab/>
        <w:t>Limit on amount to be lent</w:t>
      </w:r>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 xml:space="preserve">The total amount lent to a person under this Division and for the time being remaining owing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 </w:t>
      </w:r>
    </w:p>
    <w:p>
      <w:pPr>
        <w:pStyle w:val="Indenta"/>
        <w:rPr>
          <w:snapToGrid w:val="0"/>
        </w:rPr>
      </w:pPr>
      <w:r>
        <w:rPr>
          <w:snapToGrid w:val="0"/>
        </w:rPr>
        <w:tab/>
        <w:t>(a)</w:t>
      </w:r>
      <w:r>
        <w:rPr>
          <w:snapToGrid w:val="0"/>
        </w:rPr>
        <w:tab/>
        <w:t>different sums in respect of land in different areas of the State;</w:t>
      </w:r>
    </w:p>
    <w:p>
      <w:pPr>
        <w:pStyle w:val="Indenta"/>
        <w:rPr>
          <w:snapToGrid w:val="0"/>
        </w:rPr>
      </w:pPr>
      <w:r>
        <w:rPr>
          <w:snapToGrid w:val="0"/>
        </w:rPr>
        <w:tab/>
        <w:t>(b)</w:t>
      </w:r>
      <w:r>
        <w:rPr>
          <w:snapToGrid w:val="0"/>
        </w:rPr>
        <w:tab/>
        <w:t>different sums in respect of loans for different purposes.</w:t>
      </w:r>
    </w:p>
    <w:p>
      <w:pPr>
        <w:pStyle w:val="Heading5"/>
        <w:rPr>
          <w:snapToGrid w:val="0"/>
        </w:rPr>
      </w:pPr>
      <w:bookmarkStart w:id="372" w:name="_Toc417967484"/>
      <w:bookmarkStart w:id="373" w:name="_Toc519921934"/>
      <w:bookmarkStart w:id="374" w:name="_Toc131396749"/>
      <w:bookmarkStart w:id="375" w:name="_Toc202173149"/>
      <w:r>
        <w:rPr>
          <w:rStyle w:val="CharSectno"/>
        </w:rPr>
        <w:t>41</w:t>
      </w:r>
      <w:r>
        <w:rPr>
          <w:snapToGrid w:val="0"/>
        </w:rPr>
        <w:t>.</w:t>
      </w:r>
      <w:r>
        <w:rPr>
          <w:snapToGrid w:val="0"/>
        </w:rPr>
        <w:tab/>
        <w:t>Security for repayment of loan</w:t>
      </w:r>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t>The repayment of every loan made under this Division together with all interest and other money incidental to that loan or properly charged against the borrower in respect thereof shall be secured by — </w:t>
      </w:r>
    </w:p>
    <w:p>
      <w:pPr>
        <w:pStyle w:val="Indenta"/>
        <w:rPr>
          <w:snapToGrid w:val="0"/>
        </w:rPr>
      </w:pPr>
      <w:r>
        <w:rPr>
          <w:snapToGrid w:val="0"/>
        </w:rPr>
        <w:tab/>
        <w:t>(a)</w:t>
      </w:r>
      <w:r>
        <w:rPr>
          <w:snapToGrid w:val="0"/>
        </w:rPr>
        <w:tab/>
        <w:t>a first or second mortgage in an approved form to the</w:t>
      </w:r>
      <w:r>
        <w:t xml:space="preserve"> Authority</w:t>
      </w:r>
      <w:r>
        <w:rPr>
          <w:snapToGrid w:val="0"/>
        </w:rPr>
        <w:t>, of the borrower’s estate and interest in the land on which the house to which the loan relates is erected, or is being erected or is to be erected and in the improvements (if any) already thereon and the improvements (if any) that are to be made thereon with the aid of the loan; and</w:t>
      </w:r>
    </w:p>
    <w:p>
      <w:pPr>
        <w:pStyle w:val="Indenta"/>
        <w:rPr>
          <w:snapToGrid w:val="0"/>
        </w:rPr>
      </w:pPr>
      <w:r>
        <w:rPr>
          <w:snapToGrid w:val="0"/>
        </w:rPr>
        <w:tab/>
        <w:t>(b)</w:t>
      </w:r>
      <w:r>
        <w:rPr>
          <w:snapToGrid w:val="0"/>
        </w:rPr>
        <w:tab/>
        <w:t xml:space="preserve">such additional or collateral security (if any) as to the </w:t>
      </w:r>
      <w:r>
        <w:t>Authority</w:t>
      </w:r>
      <w:r>
        <w:rPr>
          <w:snapToGrid w:val="0"/>
        </w:rPr>
        <w:t xml:space="preserve"> may seem fit in such form as the </w:t>
      </w:r>
      <w:r>
        <w:t>Authority</w:t>
      </w:r>
      <w:r>
        <w:rPr>
          <w:snapToGrid w:val="0"/>
        </w:rPr>
        <w:t xml:space="preserve"> may require.</w:t>
      </w:r>
    </w:p>
    <w:p>
      <w:pPr>
        <w:pStyle w:val="Subsection"/>
        <w:rPr>
          <w:snapToGrid w:val="0"/>
        </w:rPr>
      </w:pPr>
      <w:r>
        <w:rPr>
          <w:snapToGrid w:val="0"/>
        </w:rPr>
        <w:tab/>
        <w:t>(2)</w:t>
      </w:r>
      <w:r>
        <w:rPr>
          <w:snapToGrid w:val="0"/>
        </w:rPr>
        <w:tab/>
        <w:t>The borrower may execute a mortgage or other instrument of security securing a loan under this Division notwithstanding anything to the contrary in any enactment or law, or in the lease, agreement or occupation certificate under which he holds the land that is to be the subject of that mortgage or other instrument.</w:t>
      </w:r>
    </w:p>
    <w:p>
      <w:pPr>
        <w:pStyle w:val="Footnotesection"/>
      </w:pPr>
      <w:r>
        <w:tab/>
        <w:t>[Section 41 amended by No. 28 of 2006 s. 332.]</w:t>
      </w:r>
    </w:p>
    <w:p>
      <w:pPr>
        <w:pStyle w:val="Heading5"/>
        <w:rPr>
          <w:snapToGrid w:val="0"/>
        </w:rPr>
      </w:pPr>
      <w:bookmarkStart w:id="376" w:name="_Toc417967485"/>
      <w:bookmarkStart w:id="377" w:name="_Toc519921935"/>
      <w:bookmarkStart w:id="378" w:name="_Toc131396750"/>
      <w:bookmarkStart w:id="379" w:name="_Toc202173150"/>
      <w:r>
        <w:rPr>
          <w:rStyle w:val="CharSectno"/>
        </w:rPr>
        <w:t>42</w:t>
      </w:r>
      <w:r>
        <w:rPr>
          <w:snapToGrid w:val="0"/>
        </w:rPr>
        <w:t>.</w:t>
      </w:r>
      <w:r>
        <w:rPr>
          <w:snapToGrid w:val="0"/>
        </w:rPr>
        <w:tab/>
        <w:t>Interest on loans</w:t>
      </w:r>
      <w:bookmarkEnd w:id="376"/>
      <w:bookmarkEnd w:id="377"/>
      <w:bookmarkEnd w:id="378"/>
      <w:bookmarkEnd w:id="379"/>
      <w:r>
        <w:rPr>
          <w:snapToGrid w:val="0"/>
        </w:rPr>
        <w:t xml:space="preserve"> </w:t>
      </w:r>
    </w:p>
    <w:p>
      <w:pPr>
        <w:pStyle w:val="Subsection"/>
        <w:spacing w:before="120"/>
        <w:rPr>
          <w:snapToGrid w:val="0"/>
        </w:rPr>
      </w:pPr>
      <w:r>
        <w:rPr>
          <w:snapToGrid w:val="0"/>
        </w:rPr>
        <w:tab/>
        <w:t>(1)</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loans under this Division.</w:t>
      </w:r>
    </w:p>
    <w:p>
      <w:pPr>
        <w:pStyle w:val="Subsection"/>
        <w:spacing w:before="120"/>
        <w:rPr>
          <w:snapToGrid w:val="0"/>
        </w:rPr>
      </w:pPr>
      <w:r>
        <w:rPr>
          <w:snapToGrid w:val="0"/>
        </w:rPr>
        <w:tab/>
        <w:t>(2)</w:t>
      </w:r>
      <w:r>
        <w:rPr>
          <w:snapToGrid w:val="0"/>
        </w:rPr>
        <w:tab/>
        <w:t>Different standard rates of interest may be fixed under subsection (1) in respect of different classes of loans.</w:t>
      </w:r>
    </w:p>
    <w:p>
      <w:pPr>
        <w:pStyle w:val="Subsection"/>
        <w:spacing w:before="120"/>
        <w:rPr>
          <w:snapToGrid w:val="0"/>
        </w:rPr>
      </w:pPr>
      <w:r>
        <w:rPr>
          <w:snapToGrid w:val="0"/>
        </w:rPr>
        <w:tab/>
        <w:t>(3)</w:t>
      </w:r>
      <w:r>
        <w:rPr>
          <w:snapToGrid w:val="0"/>
        </w:rPr>
        <w:tab/>
        <w:t>The interest rate specified in a mortgage or other instrument of security securing a loan under this Division shall be the standard rate of interest most recently published under subsection (1) in respect of loans of that class but the mortgage or other instrument of security may provide for the interest rate to vary in accordance with determinations published from time to time under that subsection.</w:t>
      </w:r>
    </w:p>
    <w:p>
      <w:pPr>
        <w:pStyle w:val="Subsection"/>
        <w:spacing w:before="120"/>
        <w:rPr>
          <w:snapToGrid w:val="0"/>
        </w:rPr>
      </w:pPr>
      <w:r>
        <w:rPr>
          <w:snapToGrid w:val="0"/>
        </w:rPr>
        <w:tab/>
        <w:t>(4)</w:t>
      </w:r>
      <w:r>
        <w:rPr>
          <w:snapToGrid w:val="0"/>
        </w:rPr>
        <w:tab/>
        <w:t xml:space="preserve">In subsection (3) </w:t>
      </w:r>
      <w:r>
        <w:rPr>
          <w:rStyle w:val="CharDefText"/>
        </w:rPr>
        <w:t>interest rate</w:t>
      </w:r>
      <w:r>
        <w:rPr>
          <w:snapToGrid w:val="0"/>
        </w:rPr>
        <w:t xml:space="preserve"> in relation to a loan means the rate of interest payable on the balance of the amount for the time being advanced and remaining owing under the loan.</w:t>
      </w:r>
    </w:p>
    <w:p>
      <w:pPr>
        <w:pStyle w:val="Footnotesection"/>
      </w:pPr>
      <w:r>
        <w:tab/>
        <w:t>[Section 42 amended by No. 28 of 2006 s. 332.]</w:t>
      </w:r>
    </w:p>
    <w:p>
      <w:pPr>
        <w:pStyle w:val="Heading5"/>
        <w:rPr>
          <w:snapToGrid w:val="0"/>
        </w:rPr>
      </w:pPr>
      <w:bookmarkStart w:id="380" w:name="_Toc417967486"/>
      <w:bookmarkStart w:id="381" w:name="_Toc519921936"/>
      <w:bookmarkStart w:id="382" w:name="_Toc131396751"/>
      <w:bookmarkStart w:id="383" w:name="_Toc202173151"/>
      <w:r>
        <w:rPr>
          <w:rStyle w:val="CharSectno"/>
        </w:rPr>
        <w:t>43</w:t>
      </w:r>
      <w:r>
        <w:rPr>
          <w:snapToGrid w:val="0"/>
        </w:rPr>
        <w:t>.</w:t>
      </w:r>
      <w:r>
        <w:rPr>
          <w:snapToGrid w:val="0"/>
        </w:rPr>
        <w:tab/>
        <w:t>Normal legal relationships to apply</w:t>
      </w:r>
      <w:bookmarkEnd w:id="380"/>
      <w:bookmarkEnd w:id="381"/>
      <w:bookmarkEnd w:id="382"/>
      <w:bookmarkEnd w:id="383"/>
      <w:r>
        <w:rPr>
          <w:snapToGrid w:val="0"/>
        </w:rPr>
        <w:t xml:space="preserve"> </w:t>
      </w:r>
    </w:p>
    <w:p>
      <w:pPr>
        <w:pStyle w:val="Subsection"/>
        <w:spacing w:before="120"/>
        <w:rPr>
          <w:snapToGrid w:val="0"/>
        </w:rPr>
      </w:pPr>
      <w:r>
        <w:rPr>
          <w:snapToGrid w:val="0"/>
        </w:rPr>
        <w:tab/>
      </w:r>
      <w:r>
        <w:rPr>
          <w:snapToGrid w:val="0"/>
        </w:rPr>
        <w:tab/>
        <w:t xml:space="preserve">The rights, powers and remedies of the </w:t>
      </w:r>
      <w:r>
        <w:t>Authority</w:t>
      </w:r>
      <w:r>
        <w:rPr>
          <w:snapToGrid w:val="0"/>
        </w:rPr>
        <w:t xml:space="preserve"> in relation to loan transactions under this Division shall be those rights, powers and remedies given by or under the mortgage or other instrument of security together with such rights, powers and remedies as are normally applicable to such transactions at law or in equity.</w:t>
      </w:r>
    </w:p>
    <w:p>
      <w:pPr>
        <w:pStyle w:val="Footnotesection"/>
      </w:pPr>
      <w:r>
        <w:tab/>
        <w:t>[Section 43 amended by No. 28 of 2006 s. 332.]</w:t>
      </w:r>
    </w:p>
    <w:p>
      <w:pPr>
        <w:pStyle w:val="Heading5"/>
        <w:rPr>
          <w:snapToGrid w:val="0"/>
        </w:rPr>
      </w:pPr>
      <w:bookmarkStart w:id="384" w:name="_Toc417967487"/>
      <w:bookmarkStart w:id="385" w:name="_Toc519921937"/>
      <w:bookmarkStart w:id="386" w:name="_Toc131396752"/>
      <w:bookmarkStart w:id="387" w:name="_Toc202173152"/>
      <w:r>
        <w:rPr>
          <w:rStyle w:val="CharSectno"/>
        </w:rPr>
        <w:t>44</w:t>
      </w:r>
      <w:r>
        <w:rPr>
          <w:snapToGrid w:val="0"/>
        </w:rPr>
        <w:t>.</w:t>
      </w:r>
      <w:r>
        <w:rPr>
          <w:snapToGrid w:val="0"/>
        </w:rPr>
        <w:tab/>
        <w:t>Protection of Authority’s interest</w:t>
      </w:r>
      <w:bookmarkEnd w:id="384"/>
      <w:bookmarkEnd w:id="385"/>
      <w:bookmarkEnd w:id="386"/>
      <w:bookmarkEnd w:id="387"/>
      <w:r>
        <w:rPr>
          <w:snapToGrid w:val="0"/>
        </w:rPr>
        <w:t xml:space="preserve"> </w:t>
      </w:r>
    </w:p>
    <w:p>
      <w:pPr>
        <w:pStyle w:val="Subsection"/>
        <w:spacing w:before="120"/>
        <w:rPr>
          <w:snapToGrid w:val="0"/>
        </w:rPr>
      </w:pPr>
      <w:r>
        <w:rPr>
          <w:snapToGrid w:val="0"/>
        </w:rPr>
        <w:tab/>
      </w:r>
      <w:r>
        <w:rPr>
          <w:snapToGrid w:val="0"/>
        </w:rPr>
        <w:tab/>
        <w:t>The </w:t>
      </w:r>
      <w:r>
        <w:t>Authority</w:t>
      </w:r>
      <w:r>
        <w:rPr>
          <w:snapToGrid w:val="0"/>
        </w:rPr>
        <w:t xml:space="preserve"> shall, whilst a loan under this Division is secured by a mortgage of any land, be entitled, subject to the rights or any prior mortgagee, to hold the documents of title to that land.</w:t>
      </w:r>
    </w:p>
    <w:p>
      <w:pPr>
        <w:pStyle w:val="Footnotesection"/>
      </w:pPr>
      <w:r>
        <w:tab/>
        <w:t>[Section 44 amended by No. 28 of 2006 s. 332.]</w:t>
      </w:r>
    </w:p>
    <w:p>
      <w:pPr>
        <w:pStyle w:val="Heading5"/>
        <w:keepNext w:val="0"/>
        <w:keepLines w:val="0"/>
        <w:rPr>
          <w:snapToGrid w:val="0"/>
        </w:rPr>
      </w:pPr>
      <w:bookmarkStart w:id="388" w:name="_Toc417967488"/>
      <w:bookmarkStart w:id="389" w:name="_Toc519921938"/>
      <w:bookmarkStart w:id="390" w:name="_Toc131396753"/>
      <w:bookmarkStart w:id="391" w:name="_Toc202173153"/>
      <w:r>
        <w:rPr>
          <w:rStyle w:val="CharSectno"/>
        </w:rPr>
        <w:t>45</w:t>
      </w:r>
      <w:r>
        <w:rPr>
          <w:snapToGrid w:val="0"/>
        </w:rPr>
        <w:t>.</w:t>
      </w:r>
      <w:r>
        <w:rPr>
          <w:snapToGrid w:val="0"/>
        </w:rPr>
        <w:tab/>
      </w:r>
      <w:r>
        <w:t>Authority</w:t>
      </w:r>
      <w:r>
        <w:rPr>
          <w:snapToGrid w:val="0"/>
        </w:rPr>
        <w:t xml:space="preserve"> to obtain reports as to expenditure of loans</w:t>
      </w:r>
      <w:bookmarkEnd w:id="388"/>
      <w:bookmarkEnd w:id="389"/>
      <w:bookmarkEnd w:id="390"/>
      <w:bookmarkEnd w:id="391"/>
      <w:r>
        <w:rPr>
          <w:snapToGrid w:val="0"/>
        </w:rPr>
        <w:t xml:space="preserve"> </w:t>
      </w:r>
    </w:p>
    <w:p>
      <w:pPr>
        <w:pStyle w:val="Subsection"/>
        <w:spacing w:before="120"/>
        <w:rPr>
          <w:snapToGrid w:val="0"/>
        </w:rPr>
      </w:pPr>
      <w:r>
        <w:rPr>
          <w:snapToGrid w:val="0"/>
        </w:rPr>
        <w:tab/>
      </w:r>
      <w:r>
        <w:rPr>
          <w:snapToGrid w:val="0"/>
        </w:rPr>
        <w:tab/>
        <w:t xml:space="preserve">The </w:t>
      </w:r>
      <w:r>
        <w:t>Authority</w:t>
      </w:r>
      <w:r>
        <w:rPr>
          <w:snapToGrid w:val="0"/>
        </w:rPr>
        <w:t xml:space="preserve"> from time to time shall obtain reports from the inspectors and valuers of the </w:t>
      </w:r>
      <w:r>
        <w:t>Authority</w:t>
      </w:r>
      <w:r>
        <w:rPr>
          <w:snapToGrid w:val="0"/>
        </w:rPr>
        <w:t xml:space="preserve"> as to the manner in which moneys lent under this Division have been expended and used by the respective borrowers, and as to the state and condition of the improvements for the purpose of which those moneys have respectively been lent, and generally as to the state and condition of the properties in respect of which those moneys have been lent.</w:t>
      </w:r>
    </w:p>
    <w:p>
      <w:pPr>
        <w:pStyle w:val="Footnotesection"/>
      </w:pPr>
      <w:r>
        <w:tab/>
        <w:t>[Section 45 amended by No. 28 of 2006 s. 332.]</w:t>
      </w:r>
    </w:p>
    <w:p>
      <w:pPr>
        <w:pStyle w:val="Heading3"/>
        <w:rPr>
          <w:snapToGrid w:val="0"/>
        </w:rPr>
      </w:pPr>
      <w:bookmarkStart w:id="392" w:name="_Toc116712884"/>
      <w:bookmarkStart w:id="393" w:name="_Toc116811301"/>
      <w:bookmarkStart w:id="394" w:name="_Toc131396754"/>
      <w:bookmarkStart w:id="395" w:name="_Toc139275315"/>
      <w:bookmarkStart w:id="396" w:name="_Toc139691344"/>
      <w:bookmarkStart w:id="397" w:name="_Toc141767946"/>
      <w:bookmarkStart w:id="398" w:name="_Toc141770696"/>
      <w:bookmarkStart w:id="399" w:name="_Toc143395796"/>
      <w:bookmarkStart w:id="400" w:name="_Toc143568990"/>
      <w:bookmarkStart w:id="401" w:name="_Toc143569095"/>
      <w:bookmarkStart w:id="402" w:name="_Toc143592650"/>
      <w:bookmarkStart w:id="403" w:name="_Toc144543102"/>
      <w:bookmarkStart w:id="404" w:name="_Toc155597326"/>
      <w:bookmarkStart w:id="405" w:name="_Toc157914647"/>
      <w:bookmarkStart w:id="406" w:name="_Toc196124068"/>
      <w:bookmarkStart w:id="407" w:name="_Toc202173154"/>
      <w:r>
        <w:rPr>
          <w:rStyle w:val="CharDivNo"/>
        </w:rPr>
        <w:t>Division 2</w:t>
      </w:r>
      <w:r>
        <w:rPr>
          <w:snapToGrid w:val="0"/>
        </w:rPr>
        <w:t> — </w:t>
      </w:r>
      <w:r>
        <w:rPr>
          <w:rStyle w:val="CharDivText"/>
        </w:rPr>
        <w:t>Guarantees and subsidies</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r>
        <w:rPr>
          <w:rStyle w:val="CharDivText"/>
        </w:rPr>
        <w:t xml:space="preserve"> </w:t>
      </w:r>
    </w:p>
    <w:p>
      <w:pPr>
        <w:pStyle w:val="Heading5"/>
        <w:rPr>
          <w:snapToGrid w:val="0"/>
        </w:rPr>
      </w:pPr>
      <w:bookmarkStart w:id="408" w:name="_Toc417967489"/>
      <w:bookmarkStart w:id="409" w:name="_Toc519921939"/>
      <w:bookmarkStart w:id="410" w:name="_Toc131396755"/>
      <w:bookmarkStart w:id="411" w:name="_Toc202173155"/>
      <w:r>
        <w:rPr>
          <w:rStyle w:val="CharSectno"/>
        </w:rPr>
        <w:t>46</w:t>
      </w:r>
      <w:r>
        <w:rPr>
          <w:snapToGrid w:val="0"/>
        </w:rPr>
        <w:t>.</w:t>
      </w:r>
      <w:r>
        <w:rPr>
          <w:snapToGrid w:val="0"/>
        </w:rPr>
        <w:tab/>
        <w:t xml:space="preserve">Guarantee by </w:t>
      </w:r>
      <w:r>
        <w:t>Authority</w:t>
      </w:r>
      <w:r>
        <w:rPr>
          <w:snapToGrid w:val="0"/>
        </w:rPr>
        <w:t xml:space="preserve"> in certain cases</w:t>
      </w:r>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Where an eligible person desires to — </w:t>
      </w:r>
    </w:p>
    <w:p>
      <w:pPr>
        <w:pStyle w:val="Indenta"/>
        <w:rPr>
          <w:snapToGrid w:val="0"/>
        </w:rPr>
      </w:pPr>
      <w:r>
        <w:rPr>
          <w:snapToGrid w:val="0"/>
        </w:rPr>
        <w:tab/>
        <w:t>(a)</w:t>
      </w:r>
      <w:r>
        <w:rPr>
          <w:snapToGrid w:val="0"/>
        </w:rPr>
        <w:tab/>
        <w:t>erect a house;</w:t>
      </w:r>
    </w:p>
    <w:p>
      <w:pPr>
        <w:pStyle w:val="Indenta"/>
        <w:rPr>
          <w:snapToGrid w:val="0"/>
        </w:rPr>
      </w:pPr>
      <w:r>
        <w:rPr>
          <w:snapToGrid w:val="0"/>
        </w:rPr>
        <w:tab/>
        <w:t>(b)</w:t>
      </w:r>
      <w:r>
        <w:rPr>
          <w:snapToGrid w:val="0"/>
        </w:rPr>
        <w:tab/>
        <w:t>complete a partially erected house; or</w:t>
      </w:r>
    </w:p>
    <w:p>
      <w:pPr>
        <w:pStyle w:val="Indenta"/>
        <w:rPr>
          <w:snapToGrid w:val="0"/>
        </w:rPr>
      </w:pPr>
      <w:r>
        <w:rPr>
          <w:snapToGrid w:val="0"/>
        </w:rPr>
        <w:tab/>
        <w:t>(c)</w:t>
      </w:r>
      <w:r>
        <w:rPr>
          <w:snapToGrid w:val="0"/>
        </w:rPr>
        <w:tab/>
        <w:t>purchase a new house,</w:t>
      </w:r>
    </w:p>
    <w:p>
      <w:pPr>
        <w:pStyle w:val="Subsection"/>
        <w:rPr>
          <w:snapToGrid w:val="0"/>
        </w:rPr>
      </w:pPr>
      <w:r>
        <w:rPr>
          <w:snapToGrid w:val="0"/>
        </w:rPr>
        <w:tab/>
      </w:r>
      <w:r>
        <w:rPr>
          <w:snapToGrid w:val="0"/>
        </w:rPr>
        <w:tab/>
        <w:t xml:space="preserve">and is able without borrowing to pay so much of the cost of erecting the house as the </w:t>
      </w:r>
      <w:r>
        <w:t>Authority</w:t>
      </w:r>
      <w:r>
        <w:rPr>
          <w:snapToGrid w:val="0"/>
        </w:rPr>
        <w:t xml:space="preserve"> approves but is unable to borrow, without assistance under this section from the</w:t>
      </w:r>
      <w:r>
        <w:t xml:space="preserve"> Authority</w:t>
      </w:r>
      <w:r>
        <w:rPr>
          <w:snapToGrid w:val="0"/>
        </w:rPr>
        <w:t xml:space="preserve">, sufficient money in order to enable him to pay the balance of the cost, the </w:t>
      </w:r>
      <w:r>
        <w:t>Authority</w:t>
      </w:r>
      <w:r>
        <w:rPr>
          <w:snapToGrid w:val="0"/>
        </w:rPr>
        <w:t xml:space="preserve"> may assist him by guarantee in order to enable him to do so.</w:t>
      </w:r>
    </w:p>
    <w:p>
      <w:pPr>
        <w:pStyle w:val="Subsection"/>
        <w:rPr>
          <w:snapToGrid w:val="0"/>
        </w:rPr>
      </w:pPr>
      <w:r>
        <w:rPr>
          <w:snapToGrid w:val="0"/>
        </w:rPr>
        <w:tab/>
        <w:t>(2)</w:t>
      </w:r>
      <w:r>
        <w:rPr>
          <w:snapToGrid w:val="0"/>
        </w:rPr>
        <w:tab/>
        <w:t>In this section — </w:t>
      </w:r>
    </w:p>
    <w:p>
      <w:pPr>
        <w:pStyle w:val="Indenta"/>
        <w:rPr>
          <w:snapToGrid w:val="0"/>
        </w:rPr>
      </w:pPr>
      <w:r>
        <w:rPr>
          <w:snapToGrid w:val="0"/>
        </w:rPr>
        <w:tab/>
        <w:t>(a)</w:t>
      </w:r>
      <w:r>
        <w:rPr>
          <w:snapToGrid w:val="0"/>
        </w:rPr>
        <w:tab/>
        <w:t xml:space="preserve">a reference to a house or new house is a reference to a house that is or is intended to be used by the person to whom the assistance is to be given as a home for himself and his family (if any) but does not include a reference to a house of which the value (exclusive of the value of the land on which it is or is to be erected) exceeds such sum as is determined by the Minister for the purposes of this paragraph by notice published in the </w:t>
      </w:r>
      <w:r>
        <w:rPr>
          <w:i/>
          <w:snapToGrid w:val="0"/>
        </w:rPr>
        <w:t>Government Gazette</w:t>
      </w:r>
      <w:r>
        <w:rPr>
          <w:snapToGrid w:val="0"/>
        </w:rPr>
        <w:t>;</w:t>
      </w:r>
    </w:p>
    <w:p>
      <w:pPr>
        <w:pStyle w:val="Indenta"/>
        <w:rPr>
          <w:snapToGrid w:val="0"/>
        </w:rPr>
      </w:pPr>
      <w:r>
        <w:rPr>
          <w:snapToGrid w:val="0"/>
        </w:rPr>
        <w:tab/>
        <w:t>(b)</w:t>
      </w:r>
      <w:r>
        <w:rPr>
          <w:snapToGrid w:val="0"/>
        </w:rPr>
        <w:tab/>
      </w:r>
      <w:r>
        <w:rPr>
          <w:rStyle w:val="CharDefText"/>
        </w:rPr>
        <w:t>new house</w:t>
      </w:r>
      <w:r>
        <w:rPr>
          <w:snapToGrid w:val="0"/>
        </w:rPr>
        <w:t xml:space="preserve"> has the meaning given to that term in section 3 of the </w:t>
      </w:r>
      <w:r>
        <w:rPr>
          <w:i/>
          <w:snapToGrid w:val="0"/>
        </w:rPr>
        <w:t>Housing Loan Guarantee Act 1957</w:t>
      </w:r>
      <w:r>
        <w:rPr>
          <w:snapToGrid w:val="0"/>
        </w:rPr>
        <w:t>.</w:t>
      </w:r>
    </w:p>
    <w:p>
      <w:pPr>
        <w:pStyle w:val="Subsection"/>
        <w:rPr>
          <w:snapToGrid w:val="0"/>
        </w:rPr>
      </w:pPr>
      <w:r>
        <w:rPr>
          <w:snapToGrid w:val="0"/>
        </w:rPr>
        <w:tab/>
        <w:t>(3)</w:t>
      </w:r>
      <w:r>
        <w:rPr>
          <w:snapToGrid w:val="0"/>
        </w:rPr>
        <w:tab/>
        <w:t>For the purposes of subsection (2)(a) the Minister may determine different sums in respect of houses in different areas of the State.</w:t>
      </w:r>
    </w:p>
    <w:p>
      <w:pPr>
        <w:pStyle w:val="Footnotesection"/>
      </w:pPr>
      <w:r>
        <w:tab/>
        <w:t>[Section 46 amended by No. 28 of 2006 s. 332.]</w:t>
      </w:r>
    </w:p>
    <w:p>
      <w:pPr>
        <w:pStyle w:val="Heading5"/>
        <w:rPr>
          <w:snapToGrid w:val="0"/>
        </w:rPr>
      </w:pPr>
      <w:bookmarkStart w:id="412" w:name="_Toc417967490"/>
      <w:bookmarkStart w:id="413" w:name="_Toc519921940"/>
      <w:bookmarkStart w:id="414" w:name="_Toc131396756"/>
      <w:bookmarkStart w:id="415" w:name="_Toc202173156"/>
      <w:r>
        <w:rPr>
          <w:rStyle w:val="CharSectno"/>
        </w:rPr>
        <w:t>47</w:t>
      </w:r>
      <w:r>
        <w:rPr>
          <w:snapToGrid w:val="0"/>
        </w:rPr>
        <w:t>.</w:t>
      </w:r>
      <w:r>
        <w:rPr>
          <w:snapToGrid w:val="0"/>
        </w:rPr>
        <w:tab/>
        <w:t>Payment of subsidies on account of loans made to eligible persons</w:t>
      </w:r>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 xml:space="preserve">For the purpose of assisting eligible persons in obtaining houses and land by subsidising the rate or amounts of interest payable in respect of loans made to them by approved lending institutions, the </w:t>
      </w:r>
      <w:r>
        <w:t>Authority</w:t>
      </w:r>
      <w:r>
        <w:rPr>
          <w:snapToGrid w:val="0"/>
        </w:rPr>
        <w:t xml:space="preserve"> may, with the approval of the Minister — </w:t>
      </w:r>
    </w:p>
    <w:p>
      <w:pPr>
        <w:pStyle w:val="Indenta"/>
        <w:rPr>
          <w:snapToGrid w:val="0"/>
        </w:rPr>
      </w:pPr>
      <w:r>
        <w:rPr>
          <w:snapToGrid w:val="0"/>
        </w:rPr>
        <w:tab/>
        <w:t>(a)</w:t>
      </w:r>
      <w:r>
        <w:rPr>
          <w:snapToGrid w:val="0"/>
        </w:rPr>
        <w:tab/>
        <w:t>make payments, on such terms and conditions as the Minister approves, to approved lending institutions that make loans to approved persons on the security of freehold or leasehold property by way of mortgage;</w:t>
      </w:r>
    </w:p>
    <w:p>
      <w:pPr>
        <w:pStyle w:val="Indenta"/>
        <w:rPr>
          <w:snapToGrid w:val="0"/>
        </w:rPr>
      </w:pPr>
      <w:r>
        <w:rPr>
          <w:snapToGrid w:val="0"/>
        </w:rPr>
        <w:tab/>
        <w:t>(b)</w:t>
      </w:r>
      <w:r>
        <w:rPr>
          <w:snapToGrid w:val="0"/>
        </w:rPr>
        <w:tab/>
        <w:t>enter into agreements with approved lending institutions in order to facilitate and regulate the making of payments under paragraph (a) and to ensure compliance with the terms and conditions approved by the Minister pursuant to that paragraph.</w:t>
      </w:r>
    </w:p>
    <w:p>
      <w:pPr>
        <w:pStyle w:val="Subsection"/>
        <w:rPr>
          <w:snapToGrid w:val="0"/>
        </w:rPr>
      </w:pPr>
      <w:r>
        <w:rPr>
          <w:snapToGrid w:val="0"/>
        </w:rPr>
        <w:tab/>
        <w:t>(2)</w:t>
      </w:r>
      <w:r>
        <w:rPr>
          <w:snapToGrid w:val="0"/>
        </w:rPr>
        <w:tab/>
        <w:t>In this section — </w:t>
      </w:r>
    </w:p>
    <w:p>
      <w:pPr>
        <w:pStyle w:val="Defstart"/>
      </w:pPr>
      <w:r>
        <w:rPr>
          <w:b/>
        </w:rPr>
        <w:tab/>
      </w:r>
      <w:r>
        <w:rPr>
          <w:rStyle w:val="CharDefText"/>
        </w:rPr>
        <w:t>approved lending institution</w:t>
      </w:r>
      <w:r>
        <w:t xml:space="preserve"> means an institution, body or person that is approved in writing by the Minister for the purposes of this section;</w:t>
      </w:r>
    </w:p>
    <w:p>
      <w:pPr>
        <w:pStyle w:val="Defstart"/>
      </w:pPr>
      <w:r>
        <w:rPr>
          <w:b/>
        </w:rPr>
        <w:tab/>
      </w:r>
      <w:r>
        <w:rPr>
          <w:rStyle w:val="CharDefText"/>
        </w:rPr>
        <w:t>approved person</w:t>
      </w:r>
      <w:r>
        <w:t xml:space="preserve"> means an eligible person approved in writing by the Authority for the purposes of this section.</w:t>
      </w:r>
    </w:p>
    <w:p>
      <w:pPr>
        <w:pStyle w:val="Footnotesection"/>
      </w:pPr>
      <w:r>
        <w:tab/>
        <w:t>[Section 47 amended by No. 28 of 2006 s. 332.]</w:t>
      </w:r>
    </w:p>
    <w:p>
      <w:pPr>
        <w:pStyle w:val="Heading2"/>
      </w:pPr>
      <w:bookmarkStart w:id="416" w:name="_Toc116712887"/>
      <w:bookmarkStart w:id="417" w:name="_Toc116811304"/>
      <w:bookmarkStart w:id="418" w:name="_Toc131396757"/>
      <w:bookmarkStart w:id="419" w:name="_Toc139275318"/>
      <w:bookmarkStart w:id="420" w:name="_Toc139691347"/>
      <w:bookmarkStart w:id="421" w:name="_Toc141767949"/>
      <w:bookmarkStart w:id="422" w:name="_Toc141770699"/>
      <w:bookmarkStart w:id="423" w:name="_Toc143395799"/>
      <w:bookmarkStart w:id="424" w:name="_Toc143568993"/>
      <w:bookmarkStart w:id="425" w:name="_Toc143569098"/>
      <w:bookmarkStart w:id="426" w:name="_Toc143592653"/>
      <w:bookmarkStart w:id="427" w:name="_Toc144543105"/>
      <w:bookmarkStart w:id="428" w:name="_Toc155597329"/>
      <w:bookmarkStart w:id="429" w:name="_Toc157914650"/>
      <w:bookmarkStart w:id="430" w:name="_Toc196124071"/>
      <w:bookmarkStart w:id="431" w:name="_Toc202173157"/>
      <w:r>
        <w:rPr>
          <w:rStyle w:val="CharPartNo"/>
        </w:rPr>
        <w:t>Part V</w:t>
      </w:r>
      <w:r>
        <w:t> — </w:t>
      </w:r>
      <w:r>
        <w:rPr>
          <w:rStyle w:val="CharPartText"/>
        </w:rPr>
        <w:t>Arrangements and agreements as to housing finance</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Heading3"/>
        <w:rPr>
          <w:snapToGrid w:val="0"/>
        </w:rPr>
      </w:pPr>
      <w:bookmarkStart w:id="432" w:name="_Toc116712888"/>
      <w:bookmarkStart w:id="433" w:name="_Toc116811305"/>
      <w:bookmarkStart w:id="434" w:name="_Toc131396758"/>
      <w:bookmarkStart w:id="435" w:name="_Toc139275319"/>
      <w:bookmarkStart w:id="436" w:name="_Toc139691348"/>
      <w:bookmarkStart w:id="437" w:name="_Toc141767950"/>
      <w:bookmarkStart w:id="438" w:name="_Toc141770700"/>
      <w:bookmarkStart w:id="439" w:name="_Toc143395800"/>
      <w:bookmarkStart w:id="440" w:name="_Toc143568994"/>
      <w:bookmarkStart w:id="441" w:name="_Toc143569099"/>
      <w:bookmarkStart w:id="442" w:name="_Toc143592654"/>
      <w:bookmarkStart w:id="443" w:name="_Toc144543106"/>
      <w:bookmarkStart w:id="444" w:name="_Toc155597330"/>
      <w:bookmarkStart w:id="445" w:name="_Toc157914651"/>
      <w:bookmarkStart w:id="446" w:name="_Toc196124072"/>
      <w:bookmarkStart w:id="447" w:name="_Toc202173158"/>
      <w:r>
        <w:rPr>
          <w:rStyle w:val="CharDivNo"/>
        </w:rPr>
        <w:t>Division 1</w:t>
      </w:r>
      <w:r>
        <w:rPr>
          <w:snapToGrid w:val="0"/>
        </w:rPr>
        <w:t> — </w:t>
      </w:r>
      <w:r>
        <w:rPr>
          <w:rStyle w:val="CharDivText"/>
        </w:rPr>
        <w:t>Arrangements with the Commonwealth</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r>
        <w:rPr>
          <w:rStyle w:val="CharDivText"/>
        </w:rPr>
        <w:t xml:space="preserve"> </w:t>
      </w:r>
    </w:p>
    <w:p>
      <w:pPr>
        <w:pStyle w:val="Heading5"/>
        <w:rPr>
          <w:snapToGrid w:val="0"/>
        </w:rPr>
      </w:pPr>
      <w:bookmarkStart w:id="448" w:name="_Toc417967491"/>
      <w:bookmarkStart w:id="449" w:name="_Toc519921941"/>
      <w:bookmarkStart w:id="450" w:name="_Toc131396759"/>
      <w:bookmarkStart w:id="451" w:name="_Toc202173159"/>
      <w:r>
        <w:rPr>
          <w:rStyle w:val="CharSectno"/>
        </w:rPr>
        <w:t>48</w:t>
      </w:r>
      <w:r>
        <w:rPr>
          <w:snapToGrid w:val="0"/>
        </w:rPr>
        <w:t>.</w:t>
      </w:r>
      <w:r>
        <w:rPr>
          <w:snapToGrid w:val="0"/>
        </w:rPr>
        <w:tab/>
        <w:t>Definitions</w:t>
      </w:r>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Commonwealth Housing Act</w:t>
      </w:r>
      <w:r>
        <w:t xml:space="preserve"> means any Act of the Parliament of the Commonwealth relating to financial assistance to the States, or to States including this State, for housing purposes;</w:t>
      </w:r>
    </w:p>
    <w:p>
      <w:pPr>
        <w:pStyle w:val="Defstart"/>
      </w:pPr>
      <w:r>
        <w:rPr>
          <w:b/>
        </w:rPr>
        <w:tab/>
      </w:r>
      <w:r>
        <w:rPr>
          <w:rStyle w:val="CharDefText"/>
        </w:rPr>
        <w:t>Housing Agreement</w:t>
      </w:r>
      <w:r>
        <w:t xml:space="preserve"> means any agreement made and entered into between the Commonwealth and this State for housing purposes including an agreement to which the other States, or any of them are parties;</w:t>
      </w:r>
    </w:p>
    <w:p>
      <w:pPr>
        <w:pStyle w:val="Defstart"/>
      </w:pPr>
      <w:r>
        <w:rPr>
          <w:b/>
        </w:rPr>
        <w:tab/>
      </w:r>
      <w:r>
        <w:rPr>
          <w:rStyle w:val="CharDefText"/>
        </w:rPr>
        <w:t>housing purposes</w:t>
      </w:r>
      <w:r>
        <w:t xml:space="preserve"> includes — </w:t>
      </w:r>
    </w:p>
    <w:p>
      <w:pPr>
        <w:pStyle w:val="Defpara"/>
      </w:pPr>
      <w:r>
        <w:tab/>
        <w:t>(a)</w:t>
      </w:r>
      <w:r>
        <w:tab/>
        <w:t>assistance to persons to enable them to meet their housing requirements;</w:t>
      </w:r>
    </w:p>
    <w:p>
      <w:pPr>
        <w:pStyle w:val="Defpara"/>
      </w:pPr>
      <w:r>
        <w:tab/>
        <w:t>(b)</w:t>
      </w:r>
      <w:r>
        <w:tab/>
        <w:t>betterment of housing conditions; and</w:t>
      </w:r>
    </w:p>
    <w:p>
      <w:pPr>
        <w:pStyle w:val="Defpara"/>
      </w:pPr>
      <w:r>
        <w:tab/>
        <w:t>(c)</w:t>
      </w:r>
      <w:r>
        <w:tab/>
        <w:t>promotion of social welfare in relation to housing.</w:t>
      </w:r>
    </w:p>
    <w:p>
      <w:pPr>
        <w:pStyle w:val="Heading5"/>
        <w:rPr>
          <w:snapToGrid w:val="0"/>
        </w:rPr>
      </w:pPr>
      <w:bookmarkStart w:id="452" w:name="_Toc417967492"/>
      <w:bookmarkStart w:id="453" w:name="_Toc519921942"/>
      <w:bookmarkStart w:id="454" w:name="_Toc131396760"/>
      <w:bookmarkStart w:id="455" w:name="_Toc202173160"/>
      <w:r>
        <w:rPr>
          <w:rStyle w:val="CharSectno"/>
        </w:rPr>
        <w:t>49</w:t>
      </w:r>
      <w:r>
        <w:rPr>
          <w:snapToGrid w:val="0"/>
        </w:rPr>
        <w:t>.</w:t>
      </w:r>
      <w:r>
        <w:rPr>
          <w:snapToGrid w:val="0"/>
        </w:rPr>
        <w:tab/>
        <w:t xml:space="preserve">Financial assistance from the Commonwealth — powers of Minister and </w:t>
      </w:r>
      <w:bookmarkEnd w:id="452"/>
      <w:bookmarkEnd w:id="453"/>
      <w:bookmarkEnd w:id="454"/>
      <w:r>
        <w:t>Authority</w:t>
      </w:r>
      <w:bookmarkEnd w:id="455"/>
    </w:p>
    <w:p>
      <w:pPr>
        <w:pStyle w:val="Subsection"/>
        <w:rPr>
          <w:snapToGrid w:val="0"/>
        </w:rPr>
      </w:pPr>
      <w:r>
        <w:rPr>
          <w:snapToGrid w:val="0"/>
        </w:rPr>
        <w:tab/>
        <w:t>(1)</w:t>
      </w:r>
      <w:r>
        <w:rPr>
          <w:snapToGrid w:val="0"/>
        </w:rPr>
        <w:tab/>
        <w:t xml:space="preserve">The Minister and the </w:t>
      </w:r>
      <w:r>
        <w:t>Authority</w:t>
      </w:r>
      <w:r>
        <w:rPr>
          <w:snapToGrid w:val="0"/>
        </w:rPr>
        <w:t xml:space="preserve"> subject to the Minister are hereby respectively authorised to do all acts and things necessary or convenient for the purpose of enabling the State to participate in any scheme or arrangement for the granting of financial assistance by the Commonwealth for housing purposes.</w:t>
      </w:r>
    </w:p>
    <w:p>
      <w:pPr>
        <w:pStyle w:val="Subsection"/>
        <w:rPr>
          <w:snapToGrid w:val="0"/>
        </w:rPr>
      </w:pPr>
      <w:r>
        <w:rPr>
          <w:snapToGrid w:val="0"/>
        </w:rPr>
        <w:tab/>
        <w:t>(2)</w:t>
      </w:r>
      <w:r>
        <w:rPr>
          <w:snapToGrid w:val="0"/>
        </w:rPr>
        <w:tab/>
        <w:t>Without limiting the generality of subsection (1) — </w:t>
      </w:r>
    </w:p>
    <w:p>
      <w:pPr>
        <w:pStyle w:val="Indenta"/>
        <w:rPr>
          <w:snapToGrid w:val="0"/>
        </w:rPr>
      </w:pPr>
      <w:r>
        <w:rPr>
          <w:snapToGrid w:val="0"/>
        </w:rPr>
        <w:tab/>
        <w:t>(a)</w:t>
      </w:r>
      <w:r>
        <w:rPr>
          <w:snapToGrid w:val="0"/>
        </w:rPr>
        <w:tab/>
        <w:t>the Minister and the</w:t>
      </w:r>
      <w:r>
        <w:t xml:space="preserve"> Authority</w:t>
      </w:r>
      <w:r>
        <w:rPr>
          <w:snapToGrid w:val="0"/>
        </w:rPr>
        <w:t>, on behalf of the State, are hereby respectively invested with such powers, functions, duties and responsibilities as are necessary or convenient for — </w:t>
      </w:r>
    </w:p>
    <w:p>
      <w:pPr>
        <w:pStyle w:val="Indenti"/>
        <w:rPr>
          <w:snapToGrid w:val="0"/>
        </w:rPr>
      </w:pPr>
      <w:r>
        <w:rPr>
          <w:snapToGrid w:val="0"/>
        </w:rPr>
        <w:tab/>
        <w:t>(i)</w:t>
      </w:r>
      <w:r>
        <w:rPr>
          <w:snapToGrid w:val="0"/>
        </w:rPr>
        <w:tab/>
        <w:t xml:space="preserve">enabling the State, and the Minister and the </w:t>
      </w:r>
      <w:r>
        <w:t>Authority</w:t>
      </w:r>
      <w:r>
        <w:rPr>
          <w:snapToGrid w:val="0"/>
        </w:rPr>
        <w:t xml:space="preserve"> on behalf of the State, to obtain such grants, assistance and benefits as are provided or capable of being provided under a Commonwealth Housing Act or a Housing Agreement; and</w:t>
      </w:r>
    </w:p>
    <w:p>
      <w:pPr>
        <w:pStyle w:val="Indenti"/>
        <w:rPr>
          <w:snapToGrid w:val="0"/>
        </w:rPr>
      </w:pPr>
      <w:r>
        <w:rPr>
          <w:snapToGrid w:val="0"/>
        </w:rPr>
        <w:tab/>
        <w:t>(ii)</w:t>
      </w:r>
      <w:r>
        <w:rPr>
          <w:snapToGrid w:val="0"/>
        </w:rPr>
        <w:tab/>
        <w:t>enabling the State, and the Minister and the</w:t>
      </w:r>
      <w:r>
        <w:t xml:space="preserve"> Authority</w:t>
      </w:r>
      <w:r>
        <w:rPr>
          <w:snapToGrid w:val="0"/>
        </w:rPr>
        <w:t>, to fulfil such conditions and comply with such other requirements as are necessary for obtaining the grants, assistance and benefits referred to in subparagraph (i);</w:t>
      </w:r>
    </w:p>
    <w:p>
      <w:pPr>
        <w:pStyle w:val="Indenta"/>
        <w:rPr>
          <w:snapToGrid w:val="0"/>
        </w:rPr>
      </w:pPr>
      <w:r>
        <w:rPr>
          <w:snapToGrid w:val="0"/>
        </w:rPr>
        <w:tab/>
        <w:t>(b)</w:t>
      </w:r>
      <w:r>
        <w:rPr>
          <w:snapToGrid w:val="0"/>
        </w:rPr>
        <w:tab/>
        <w:t>the</w:t>
      </w:r>
      <w:r>
        <w:t xml:space="preserve"> Authority</w:t>
      </w:r>
      <w:r>
        <w:rPr>
          <w:snapToGrid w:val="0"/>
        </w:rPr>
        <w:t>, on behalf of the State, shall maintain any account necessary to comply with conditions imposed by, and fulfil objects and purposes set out in, a Commonwealth Housing Act or in a Housing Agreement and may pay moneys into, expend and advance moneys from, and generally operate any such account so as to comply with those conditions and fulfil those objects and purposes.</w:t>
      </w:r>
    </w:p>
    <w:p>
      <w:pPr>
        <w:pStyle w:val="Footnotesection"/>
      </w:pPr>
      <w:bookmarkStart w:id="456" w:name="_Toc417967493"/>
      <w:bookmarkStart w:id="457" w:name="_Toc519921943"/>
      <w:bookmarkStart w:id="458" w:name="_Toc131396761"/>
      <w:r>
        <w:tab/>
        <w:t>[Section 49 inserted by No. 28 of 2006 s. 332.]</w:t>
      </w:r>
    </w:p>
    <w:p>
      <w:pPr>
        <w:pStyle w:val="Heading5"/>
        <w:rPr>
          <w:snapToGrid w:val="0"/>
        </w:rPr>
      </w:pPr>
      <w:bookmarkStart w:id="459" w:name="_Toc202173161"/>
      <w:r>
        <w:rPr>
          <w:rStyle w:val="CharSectno"/>
        </w:rPr>
        <w:t>50</w:t>
      </w:r>
      <w:r>
        <w:rPr>
          <w:snapToGrid w:val="0"/>
        </w:rPr>
        <w:t>.</w:t>
      </w:r>
      <w:r>
        <w:rPr>
          <w:snapToGrid w:val="0"/>
        </w:rPr>
        <w:tab/>
        <w:t>Housing assistance under agreements</w:t>
      </w:r>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Without limiting the generality of section 49 the Minister and the</w:t>
      </w:r>
      <w:r>
        <w:t xml:space="preserve"> Authority</w:t>
      </w:r>
      <w:r>
        <w:rPr>
          <w:snapToGrid w:val="0"/>
        </w:rPr>
        <w:t>, subject to the Minister, are hereby respectively authorised to administer any Housing Agreement for and on behalf of the State.</w:t>
      </w:r>
    </w:p>
    <w:p>
      <w:pPr>
        <w:pStyle w:val="Subsection"/>
        <w:rPr>
          <w:snapToGrid w:val="0"/>
        </w:rPr>
      </w:pPr>
      <w:r>
        <w:rPr>
          <w:snapToGrid w:val="0"/>
        </w:rPr>
        <w:tab/>
        <w:t>(2)</w:t>
      </w:r>
      <w:r>
        <w:rPr>
          <w:snapToGrid w:val="0"/>
        </w:rPr>
        <w:tab/>
        <w:t>The authority conferred by subsection (1) extends to the doing of any act or thing before the coming into operation of a Housing Agreement but in anticipation of and for the eventual purposes of that agreement.</w:t>
      </w:r>
    </w:p>
    <w:p>
      <w:pPr>
        <w:pStyle w:val="Subsection"/>
        <w:rPr>
          <w:snapToGrid w:val="0"/>
        </w:rPr>
      </w:pPr>
      <w:r>
        <w:rPr>
          <w:snapToGrid w:val="0"/>
        </w:rPr>
        <w:tab/>
        <w:t>(3)</w:t>
      </w:r>
      <w:r>
        <w:rPr>
          <w:snapToGrid w:val="0"/>
        </w:rPr>
        <w:tab/>
        <w:t xml:space="preserve">Subject to section 51, for the purposes of the administration of any Housing Agreement all the powers, functions, duties, authorities and responsibilities of the </w:t>
      </w:r>
      <w:r>
        <w:t>Authority</w:t>
      </w:r>
      <w:r>
        <w:rPr>
          <w:snapToGrid w:val="0"/>
        </w:rPr>
        <w:t xml:space="preserve"> as provided in this Act </w:t>
      </w:r>
      <w:r>
        <w:t xml:space="preserve">or the </w:t>
      </w:r>
      <w:r>
        <w:rPr>
          <w:i/>
        </w:rPr>
        <w:t>Government Employees’ Housing Act 1964</w:t>
      </w:r>
      <w:r>
        <w:rPr>
          <w:iCs/>
        </w:rPr>
        <w:t xml:space="preserve"> </w:t>
      </w:r>
      <w:r>
        <w:rPr>
          <w:snapToGrid w:val="0"/>
        </w:rPr>
        <w:t>shall apply and extend to the</w:t>
      </w:r>
      <w:r>
        <w:t xml:space="preserve"> Authority</w:t>
      </w:r>
      <w:r>
        <w:rPr>
          <w:snapToGrid w:val="0"/>
        </w:rPr>
        <w:t>, and all the provisions of those Acts, so far as they are applicable or can with necessary adaptations and modifications be made applicable, shall apply in all respects and for all purposes in relation to projects for housing purposes provided for and mentioned in that agreement and undertaken by the State pursuant to that agreement.</w:t>
      </w:r>
    </w:p>
    <w:p>
      <w:pPr>
        <w:pStyle w:val="Footnotesection"/>
      </w:pPr>
      <w:r>
        <w:tab/>
        <w:t>[Section 50 amended by No. 28 of 2006 s. 329 and 332.]</w:t>
      </w:r>
    </w:p>
    <w:p>
      <w:pPr>
        <w:pStyle w:val="Heading5"/>
        <w:rPr>
          <w:snapToGrid w:val="0"/>
        </w:rPr>
      </w:pPr>
      <w:bookmarkStart w:id="460" w:name="_Toc417967494"/>
      <w:bookmarkStart w:id="461" w:name="_Toc519921944"/>
      <w:bookmarkStart w:id="462" w:name="_Toc131396762"/>
      <w:bookmarkStart w:id="463" w:name="_Toc202173162"/>
      <w:r>
        <w:rPr>
          <w:rStyle w:val="CharSectno"/>
        </w:rPr>
        <w:t>51</w:t>
      </w:r>
      <w:r>
        <w:rPr>
          <w:snapToGrid w:val="0"/>
        </w:rPr>
        <w:t>.</w:t>
      </w:r>
      <w:r>
        <w:rPr>
          <w:snapToGrid w:val="0"/>
        </w:rPr>
        <w:tab/>
        <w:t>Regulations as to administration of agreements</w:t>
      </w:r>
      <w:bookmarkEnd w:id="460"/>
      <w:bookmarkEnd w:id="461"/>
      <w:bookmarkEnd w:id="462"/>
      <w:bookmarkEnd w:id="463"/>
      <w:r>
        <w:rPr>
          <w:snapToGrid w:val="0"/>
        </w:rPr>
        <w:t xml:space="preserve"> </w:t>
      </w:r>
    </w:p>
    <w:p>
      <w:pPr>
        <w:pStyle w:val="Subsection"/>
        <w:rPr>
          <w:snapToGrid w:val="0"/>
        </w:rPr>
      </w:pPr>
      <w:r>
        <w:rPr>
          <w:snapToGrid w:val="0"/>
        </w:rPr>
        <w:tab/>
        <w:t>(1)</w:t>
      </w:r>
      <w:r>
        <w:rPr>
          <w:snapToGrid w:val="0"/>
        </w:rPr>
        <w:tab/>
        <w:t>Where any act, matter or thing required or authorised by any provision of a Housing Agreement to be done by or on behalf of the State for housing purposes cannot conveniently be done under the provisions of this Act, the Governor may make regulations for authorising the doing of such act, matter or thing.</w:t>
      </w:r>
    </w:p>
    <w:p>
      <w:pPr>
        <w:pStyle w:val="Subsection"/>
        <w:rPr>
          <w:snapToGrid w:val="0"/>
        </w:rPr>
      </w:pPr>
      <w:r>
        <w:rPr>
          <w:snapToGrid w:val="0"/>
        </w:rPr>
        <w:tab/>
        <w:t>(2)</w:t>
      </w:r>
      <w:r>
        <w:rPr>
          <w:snapToGrid w:val="0"/>
        </w:rPr>
        <w:tab/>
        <w:t>Regulations made under subsection (1) shall be valid and have effect notwithstanding that they are inconsistent with or repugnant to a provision contained elsewhere in this Act.</w:t>
      </w:r>
    </w:p>
    <w:p>
      <w:pPr>
        <w:pStyle w:val="Heading3"/>
        <w:rPr>
          <w:snapToGrid w:val="0"/>
        </w:rPr>
      </w:pPr>
      <w:bookmarkStart w:id="464" w:name="_Toc116712893"/>
      <w:bookmarkStart w:id="465" w:name="_Toc116811310"/>
      <w:bookmarkStart w:id="466" w:name="_Toc131396763"/>
      <w:bookmarkStart w:id="467" w:name="_Toc139275324"/>
      <w:bookmarkStart w:id="468" w:name="_Toc139691353"/>
      <w:bookmarkStart w:id="469" w:name="_Toc141767955"/>
      <w:bookmarkStart w:id="470" w:name="_Toc141770705"/>
      <w:bookmarkStart w:id="471" w:name="_Toc143395805"/>
      <w:bookmarkStart w:id="472" w:name="_Toc143568999"/>
      <w:bookmarkStart w:id="473" w:name="_Toc143569104"/>
      <w:bookmarkStart w:id="474" w:name="_Toc143592659"/>
      <w:bookmarkStart w:id="475" w:name="_Toc144543111"/>
      <w:bookmarkStart w:id="476" w:name="_Toc155597335"/>
      <w:bookmarkStart w:id="477" w:name="_Toc157914656"/>
      <w:bookmarkStart w:id="478" w:name="_Toc196124077"/>
      <w:bookmarkStart w:id="479" w:name="_Toc202173163"/>
      <w:r>
        <w:rPr>
          <w:rStyle w:val="CharDivNo"/>
        </w:rPr>
        <w:t>Division 2</w:t>
      </w:r>
      <w:r>
        <w:rPr>
          <w:snapToGrid w:val="0"/>
        </w:rPr>
        <w:t> — </w:t>
      </w:r>
      <w:r>
        <w:rPr>
          <w:rStyle w:val="CharDivText"/>
        </w:rPr>
        <w:t>Agreements with lending institutions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r>
        <w:rPr>
          <w:rStyle w:val="CharDivText"/>
        </w:rPr>
        <w:t xml:space="preserve"> </w:t>
      </w:r>
    </w:p>
    <w:p>
      <w:pPr>
        <w:pStyle w:val="Heading5"/>
        <w:rPr>
          <w:snapToGrid w:val="0"/>
        </w:rPr>
      </w:pPr>
      <w:bookmarkStart w:id="480" w:name="_Toc417967495"/>
      <w:bookmarkStart w:id="481" w:name="_Toc519921945"/>
      <w:bookmarkStart w:id="482" w:name="_Toc131396764"/>
      <w:bookmarkStart w:id="483" w:name="_Toc202173164"/>
      <w:r>
        <w:rPr>
          <w:rStyle w:val="CharSectno"/>
        </w:rPr>
        <w:t>52</w:t>
      </w:r>
      <w:r>
        <w:rPr>
          <w:snapToGrid w:val="0"/>
        </w:rPr>
        <w:t>.</w:t>
      </w:r>
      <w:r>
        <w:rPr>
          <w:snapToGrid w:val="0"/>
        </w:rPr>
        <w:tab/>
        <w:t>Definitions and effect</w:t>
      </w:r>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home finance moneys</w:t>
      </w:r>
      <w:r>
        <w:t xml:space="preserve"> means — </w:t>
      </w:r>
    </w:p>
    <w:p>
      <w:pPr>
        <w:pStyle w:val="Defpara"/>
      </w:pPr>
      <w:r>
        <w:tab/>
        <w:t>(a)</w:t>
      </w:r>
      <w:r>
        <w:tab/>
        <w:t>any moneys made available to the State by the Commonwealth pursuant to a Commonwealth Housing Act or a Housing Agreement for the purpose of providing finance to assist persons to erect or purchase homes for themselves and their families (if any); or</w:t>
      </w:r>
    </w:p>
    <w:p>
      <w:pPr>
        <w:pStyle w:val="Defpara"/>
      </w:pPr>
      <w:r>
        <w:tab/>
        <w:t>(b)</w:t>
      </w:r>
      <w:r>
        <w:tab/>
        <w:t>any moneys set aside by the Authority, out of any funds available to it, for the purpose of providing finance to assist persons to erect or purchase homes for themselves and their families (if any);</w:t>
      </w:r>
    </w:p>
    <w:p>
      <w:pPr>
        <w:pStyle w:val="Defstart"/>
      </w:pPr>
      <w:r>
        <w:rPr>
          <w:b/>
        </w:rPr>
        <w:tab/>
      </w:r>
      <w:r>
        <w:rPr>
          <w:rStyle w:val="CharDefText"/>
        </w:rPr>
        <w:t>instrument of constitution</w:t>
      </w:r>
      <w:r>
        <w:t xml:space="preserve"> means the Act or other instrument by which, a lending institution is constituted and by authority of, or subject to, which, the institution carries on its business, and includes rules, local laws, by</w:t>
      </w:r>
      <w:r>
        <w:noBreakHyphen/>
        <w:t>laws, regulations, and other subordinate authorisations effective under the Act or other instrument;</w:t>
      </w:r>
    </w:p>
    <w:p>
      <w:pPr>
        <w:pStyle w:val="Defstart"/>
      </w:pPr>
      <w:r>
        <w:rPr>
          <w:b/>
        </w:rPr>
        <w:tab/>
      </w:r>
      <w:r>
        <w:rPr>
          <w:rStyle w:val="CharDefText"/>
        </w:rPr>
        <w:t>lending institution</w:t>
      </w:r>
      <w:r>
        <w:t xml:space="preserve"> means — </w:t>
      </w:r>
    </w:p>
    <w:p>
      <w:pPr>
        <w:pStyle w:val="Defpara"/>
      </w:pPr>
      <w:r>
        <w:tab/>
        <w:t>(a)</w:t>
      </w:r>
      <w:r>
        <w:tab/>
        <w:t>a society registered under the</w:t>
      </w:r>
      <w:r>
        <w:rPr>
          <w:i/>
        </w:rPr>
        <w:t xml:space="preserve"> Housing Societies Act 1976</w:t>
      </w:r>
      <w:r>
        <w:t>;</w:t>
      </w:r>
    </w:p>
    <w:p>
      <w:pPr>
        <w:pStyle w:val="Defpara"/>
      </w:pPr>
      <w:r>
        <w:tab/>
        <w:t>(b)</w:t>
      </w:r>
      <w:r>
        <w:tab/>
        <w:t>a lending authority of the State; or</w:t>
      </w:r>
    </w:p>
    <w:p>
      <w:pPr>
        <w:pStyle w:val="Defpara"/>
      </w:pPr>
      <w:r>
        <w:tab/>
        <w:t>(c)</w:t>
      </w:r>
      <w:r>
        <w:tab/>
        <w:t>a body approved by the Minister as a body to which loans may be made under this Division;</w:t>
      </w:r>
    </w:p>
    <w:p>
      <w:pPr>
        <w:pStyle w:val="Defstart"/>
      </w:pPr>
      <w:r>
        <w:rPr>
          <w:b/>
        </w:rPr>
        <w:tab/>
      </w:r>
      <w:r>
        <w:rPr>
          <w:rStyle w:val="CharDefText"/>
        </w:rPr>
        <w:t>loan agreement</w:t>
      </w:r>
      <w:r>
        <w:t xml:space="preserve"> means an agreement between the State and a lending institution in relation to a loan from home finance moneys for on</w:t>
      </w:r>
      <w:r>
        <w:noBreakHyphen/>
        <w:t xml:space="preserve">lending by the institution to assist borrowers to erect or purchase homes for themselves and their families (if any), and the terms </w:t>
      </w:r>
      <w:r>
        <w:rPr>
          <w:rStyle w:val="CharDefText"/>
        </w:rPr>
        <w:t>Commonwealth Housing Act</w:t>
      </w:r>
      <w:r>
        <w:t xml:space="preserve"> and </w:t>
      </w:r>
      <w:r>
        <w:rPr>
          <w:rStyle w:val="CharDefText"/>
        </w:rPr>
        <w:t>Housing Agreement</w:t>
      </w:r>
      <w:r>
        <w:t xml:space="preserve"> have the meanings respectively given to them in Division 1.</w:t>
      </w:r>
    </w:p>
    <w:p>
      <w:pPr>
        <w:pStyle w:val="Subsection"/>
        <w:spacing w:before="120"/>
        <w:rPr>
          <w:snapToGrid w:val="0"/>
          <w:spacing w:val="-4"/>
        </w:rPr>
      </w:pPr>
      <w:r>
        <w:rPr>
          <w:snapToGrid w:val="0"/>
          <w:spacing w:val="-4"/>
        </w:rPr>
        <w:tab/>
        <w:t>(2)</w:t>
      </w:r>
      <w:r>
        <w:rPr>
          <w:snapToGrid w:val="0"/>
          <w:spacing w:val="-4"/>
        </w:rPr>
        <w:tab/>
        <w:t>Nothing in this Division authorises the making of a loan from home finance moneys referred to in paragraph (a) of the definition of that term in subsection (1) other than to an institution to which such a loan may be made under the terms of the relevant Commonwealth Housing Act or Housing Agreement.</w:t>
      </w:r>
    </w:p>
    <w:p>
      <w:pPr>
        <w:pStyle w:val="Footnotesection"/>
      </w:pPr>
      <w:r>
        <w:tab/>
        <w:t xml:space="preserve">[Section 52 amended by No. 14 of 1996 s. 4; No. 10 of 1998 s. 9(2); No. 26 of 1999 s. 87; No. 12 of 2001 s. 51; No. 28 of 2006 s. 332.] </w:t>
      </w:r>
    </w:p>
    <w:p>
      <w:pPr>
        <w:pStyle w:val="Heading5"/>
        <w:rPr>
          <w:snapToGrid w:val="0"/>
        </w:rPr>
      </w:pPr>
      <w:bookmarkStart w:id="484" w:name="_Toc417967496"/>
      <w:bookmarkStart w:id="485" w:name="_Toc519921946"/>
      <w:bookmarkStart w:id="486" w:name="_Toc131396765"/>
      <w:bookmarkStart w:id="487" w:name="_Toc202173165"/>
      <w:r>
        <w:rPr>
          <w:rStyle w:val="CharSectno"/>
        </w:rPr>
        <w:t>53</w:t>
      </w:r>
      <w:r>
        <w:rPr>
          <w:snapToGrid w:val="0"/>
        </w:rPr>
        <w:t>.</w:t>
      </w:r>
      <w:r>
        <w:rPr>
          <w:snapToGrid w:val="0"/>
        </w:rPr>
        <w:tab/>
        <w:t>Power to make loan agreements</w:t>
      </w:r>
      <w:bookmarkEnd w:id="484"/>
      <w:bookmarkEnd w:id="485"/>
      <w:bookmarkEnd w:id="486"/>
      <w:bookmarkEnd w:id="487"/>
      <w:r>
        <w:rPr>
          <w:snapToGrid w:val="0"/>
        </w:rPr>
        <w:t xml:space="preserve"> </w:t>
      </w:r>
    </w:p>
    <w:p>
      <w:pPr>
        <w:pStyle w:val="Subsection"/>
        <w:spacing w:before="120"/>
        <w:rPr>
          <w:snapToGrid w:val="0"/>
        </w:rPr>
      </w:pPr>
      <w:r>
        <w:rPr>
          <w:snapToGrid w:val="0"/>
        </w:rPr>
        <w:tab/>
      </w:r>
      <w:r>
        <w:rPr>
          <w:snapToGrid w:val="0"/>
        </w:rPr>
        <w:tab/>
        <w:t>Power to enter into and to carry out loan agreements with the State is conferred by this Act on a lending institution, notwithstanding that the power is not conferred by the instrument of constitution of the lending institution, and notwithstanding any provision of the instrument of constitution to the contrary.</w:t>
      </w:r>
    </w:p>
    <w:p>
      <w:pPr>
        <w:pStyle w:val="Heading5"/>
        <w:rPr>
          <w:snapToGrid w:val="0"/>
        </w:rPr>
      </w:pPr>
      <w:bookmarkStart w:id="488" w:name="_Toc417967497"/>
      <w:bookmarkStart w:id="489" w:name="_Toc519921947"/>
      <w:bookmarkStart w:id="490" w:name="_Toc131396766"/>
      <w:bookmarkStart w:id="491" w:name="_Toc202173166"/>
      <w:r>
        <w:rPr>
          <w:rStyle w:val="CharSectno"/>
        </w:rPr>
        <w:t>54</w:t>
      </w:r>
      <w:r>
        <w:rPr>
          <w:snapToGrid w:val="0"/>
        </w:rPr>
        <w:t>.</w:t>
      </w:r>
      <w:r>
        <w:rPr>
          <w:snapToGrid w:val="0"/>
        </w:rPr>
        <w:tab/>
        <w:t>Terms and conditions of agreement</w:t>
      </w:r>
      <w:bookmarkEnd w:id="488"/>
      <w:bookmarkEnd w:id="489"/>
      <w:bookmarkEnd w:id="490"/>
      <w:bookmarkEnd w:id="491"/>
      <w:r>
        <w:rPr>
          <w:snapToGrid w:val="0"/>
        </w:rPr>
        <w:t xml:space="preserve"> </w:t>
      </w:r>
    </w:p>
    <w:p>
      <w:pPr>
        <w:pStyle w:val="Subsection"/>
        <w:rPr>
          <w:snapToGrid w:val="0"/>
        </w:rPr>
      </w:pPr>
      <w:r>
        <w:rPr>
          <w:snapToGrid w:val="0"/>
        </w:rPr>
        <w:tab/>
        <w:t>(1)</w:t>
      </w:r>
      <w:r>
        <w:rPr>
          <w:snapToGrid w:val="0"/>
        </w:rPr>
        <w:tab/>
        <w:t>The State and a lending institution may agree to the inclusion in a loan agreement of such terms and conditions as they think fit, but the provisions of section 55 apply to, and are included by virtue of this section in, every loan agreement entered into before or after the coming into operation of this Act, whether those provisions are or are not expressly included by the agreement in it, or are expressly excluded by the agreement from it.</w:t>
      </w:r>
    </w:p>
    <w:p>
      <w:pPr>
        <w:pStyle w:val="Subsection"/>
        <w:rPr>
          <w:snapToGrid w:val="0"/>
        </w:rPr>
      </w:pPr>
      <w:r>
        <w:rPr>
          <w:snapToGrid w:val="0"/>
        </w:rPr>
        <w:tab/>
        <w:t>(2)</w:t>
      </w:r>
      <w:r>
        <w:rPr>
          <w:snapToGrid w:val="0"/>
        </w:rPr>
        <w:tab/>
        <w:t>Without limiting the generality of subsection (1), the conditions which may be included in a loan agreement include conditions — </w:t>
      </w:r>
    </w:p>
    <w:p>
      <w:pPr>
        <w:pStyle w:val="Indenta"/>
        <w:rPr>
          <w:snapToGrid w:val="0"/>
        </w:rPr>
      </w:pPr>
      <w:r>
        <w:rPr>
          <w:snapToGrid w:val="0"/>
        </w:rPr>
        <w:tab/>
        <w:t>(a)</w:t>
      </w:r>
      <w:r>
        <w:rPr>
          <w:snapToGrid w:val="0"/>
        </w:rPr>
        <w:tab/>
        <w:t>fixing or limiting the rate of interest payable by borrowers in respect of moneys advanced to them by the lending institution;</w:t>
      </w:r>
    </w:p>
    <w:p>
      <w:pPr>
        <w:pStyle w:val="Indenta"/>
        <w:rPr>
          <w:snapToGrid w:val="0"/>
        </w:rPr>
      </w:pPr>
      <w:r>
        <w:rPr>
          <w:snapToGrid w:val="0"/>
        </w:rPr>
        <w:tab/>
        <w:t>(b)</w:t>
      </w:r>
      <w:r>
        <w:rPr>
          <w:snapToGrid w:val="0"/>
        </w:rPr>
        <w:tab/>
        <w:t>fixing or limiting the term or period of years for which any advance may be made to a borrower by the lending institution;</w:t>
      </w:r>
    </w:p>
    <w:p>
      <w:pPr>
        <w:pStyle w:val="Indenta"/>
        <w:rPr>
          <w:snapToGrid w:val="0"/>
        </w:rPr>
      </w:pPr>
      <w:r>
        <w:rPr>
          <w:snapToGrid w:val="0"/>
        </w:rPr>
        <w:tab/>
        <w:t>(c)</w:t>
      </w:r>
      <w:r>
        <w:rPr>
          <w:snapToGrid w:val="0"/>
        </w:rPr>
        <w:tab/>
        <w:t>prohibiting the lending institution from making any advance to a borrower where the value of the house, or of the house and land, in respect of which the advance is sought, exceeds the amounts respectively determined from time to time by the Minister; and</w:t>
      </w:r>
    </w:p>
    <w:p>
      <w:pPr>
        <w:pStyle w:val="Indenta"/>
        <w:rPr>
          <w:snapToGrid w:val="0"/>
        </w:rPr>
      </w:pPr>
      <w:r>
        <w:rPr>
          <w:snapToGrid w:val="0"/>
        </w:rPr>
        <w:tab/>
        <w:t>(d)</w:t>
      </w:r>
      <w:r>
        <w:rPr>
          <w:snapToGrid w:val="0"/>
        </w:rPr>
        <w:tab/>
        <w:t>prohibiting the lending institution from making any advance to a borrower whose income exceeds the amount determined from time to time by the Minister.</w:t>
      </w:r>
    </w:p>
    <w:p>
      <w:pPr>
        <w:pStyle w:val="Heading5"/>
        <w:rPr>
          <w:snapToGrid w:val="0"/>
        </w:rPr>
      </w:pPr>
      <w:bookmarkStart w:id="492" w:name="_Toc417967498"/>
      <w:bookmarkStart w:id="493" w:name="_Toc519921948"/>
      <w:bookmarkStart w:id="494" w:name="_Toc131396767"/>
      <w:bookmarkStart w:id="495" w:name="_Toc202173167"/>
      <w:r>
        <w:rPr>
          <w:rStyle w:val="CharSectno"/>
        </w:rPr>
        <w:t>55</w:t>
      </w:r>
      <w:r>
        <w:rPr>
          <w:snapToGrid w:val="0"/>
        </w:rPr>
        <w:t>.</w:t>
      </w:r>
      <w:r>
        <w:rPr>
          <w:snapToGrid w:val="0"/>
        </w:rPr>
        <w:tab/>
        <w:t>Floating security and charge</w:t>
      </w:r>
      <w:bookmarkEnd w:id="492"/>
      <w:bookmarkEnd w:id="493"/>
      <w:bookmarkEnd w:id="494"/>
      <w:bookmarkEnd w:id="495"/>
      <w:r>
        <w:rPr>
          <w:snapToGrid w:val="0"/>
        </w:rPr>
        <w:t xml:space="preserve"> </w:t>
      </w:r>
    </w:p>
    <w:p>
      <w:pPr>
        <w:pStyle w:val="Subsection"/>
        <w:rPr>
          <w:snapToGrid w:val="0"/>
        </w:rPr>
      </w:pPr>
      <w:r>
        <w:rPr>
          <w:snapToGrid w:val="0"/>
        </w:rPr>
        <w:tab/>
        <w:t>(1)</w:t>
      </w:r>
      <w:r>
        <w:rPr>
          <w:snapToGrid w:val="0"/>
        </w:rPr>
        <w:tab/>
        <w:t>Subject to sections 56 and 57 where a lending institution makes a loan agreement the State has, by virtue of this Act and notwithstanding the provisions of any other Act or delegated legislation, or of the instrument of constitution of the lending institution, as floating security for the due observance by the lending institution of the terms and conditions of the loan agreement, a floating charge on the whole of the undertaking and other property and assets, present and future, of the lending institution.</w:t>
      </w:r>
    </w:p>
    <w:p>
      <w:pPr>
        <w:pStyle w:val="Subsection"/>
        <w:spacing w:before="120"/>
        <w:rPr>
          <w:snapToGrid w:val="0"/>
        </w:rPr>
      </w:pPr>
      <w:r>
        <w:rPr>
          <w:snapToGrid w:val="0"/>
        </w:rPr>
        <w:tab/>
        <w:t>(2)</w:t>
      </w:r>
      <w:r>
        <w:rPr>
          <w:snapToGrid w:val="0"/>
        </w:rPr>
        <w:tab/>
        <w:t>A floating charge created by this section has priority to all other charges, whether they arose or were created before, or arise or are created after the coming into operation of this Act.</w:t>
      </w:r>
    </w:p>
    <w:p>
      <w:pPr>
        <w:pStyle w:val="Subsection"/>
        <w:spacing w:before="120"/>
        <w:rPr>
          <w:snapToGrid w:val="0"/>
        </w:rPr>
      </w:pPr>
      <w:r>
        <w:rPr>
          <w:snapToGrid w:val="0"/>
        </w:rPr>
        <w:tab/>
        <w:t>(3)</w:t>
      </w:r>
      <w:r>
        <w:rPr>
          <w:snapToGrid w:val="0"/>
        </w:rPr>
        <w:tab/>
        <w:t>Any amount owing under a loan agreement by a lending institution to the State is a debt owing to the Crown.</w:t>
      </w:r>
    </w:p>
    <w:p>
      <w:pPr>
        <w:pStyle w:val="Subsection"/>
        <w:spacing w:before="120"/>
      </w:pPr>
      <w:r>
        <w:tab/>
        <w:t>(4)</w:t>
      </w:r>
      <w:r>
        <w:tab/>
        <w:t xml:space="preserve">The floating security and charge and the debt owing to the Crown are declared to be </w:t>
      </w:r>
      <w:r>
        <w:rPr>
          <w:snapToGrid w:val="0"/>
        </w:rPr>
        <w:t xml:space="preserve">excluded matters for the purposes of section 5F of the </w:t>
      </w:r>
      <w:r>
        <w:rPr>
          <w:i/>
          <w:snapToGrid w:val="0"/>
        </w:rPr>
        <w:t>Corporations Act 2001</w:t>
      </w:r>
      <w:r>
        <w:rPr>
          <w:snapToGrid w:val="0"/>
        </w:rPr>
        <w:t xml:space="preserve"> of the Commonwealth in relation to Chapter 5 of that Act, to the extent to which subsections (1), (2) and (3) of this section provide for them in a way that would be inconsistent with that Chapter but for this declaration and section 5F of that Act.</w:t>
      </w:r>
    </w:p>
    <w:p>
      <w:pPr>
        <w:pStyle w:val="Subsection"/>
        <w:spacing w:before="120"/>
        <w:rPr>
          <w:snapToGrid w:val="0"/>
        </w:rPr>
      </w:pPr>
      <w:r>
        <w:rPr>
          <w:snapToGrid w:val="0"/>
        </w:rPr>
        <w:tab/>
        <w:t>(5)</w:t>
      </w:r>
      <w:r>
        <w:rPr>
          <w:snapToGrid w:val="0"/>
        </w:rPr>
        <w:tab/>
        <w:t>Unless and until proceedings are commenced for winding up of the lending institution,</w:t>
      </w:r>
    </w:p>
    <w:p>
      <w:pPr>
        <w:pStyle w:val="Indenta"/>
        <w:rPr>
          <w:snapToGrid w:val="0"/>
        </w:rPr>
      </w:pPr>
      <w:r>
        <w:rPr>
          <w:snapToGrid w:val="0"/>
        </w:rPr>
        <w:tab/>
      </w:r>
      <w:r>
        <w:rPr>
          <w:snapToGrid w:val="0"/>
        </w:rPr>
        <w:tab/>
        <w:t>whether under</w:t>
      </w:r>
      <w:r>
        <w:t xml:space="preserve"> Chapter 5 of the </w:t>
      </w:r>
      <w:r>
        <w:rPr>
          <w:i/>
        </w:rPr>
        <w:t>Corporations Act 2001</w:t>
      </w:r>
      <w:r>
        <w:t xml:space="preserve"> of the Commonwealth</w:t>
      </w:r>
      <w:r>
        <w:rPr>
          <w:snapToGrid w:val="0"/>
        </w:rPr>
        <w:t>; or on termination of the lending institution</w:t>
      </w:r>
      <w:r>
        <w:t xml:space="preserve"> in the case of a housing society</w:t>
      </w:r>
      <w:r>
        <w:rPr>
          <w:snapToGrid w:val="0"/>
        </w:rPr>
        <w:t>; or by such other procedure as is provided for the winding up of the lending institution; or</w:t>
      </w:r>
    </w:p>
    <w:p>
      <w:pPr>
        <w:pStyle w:val="Subsection"/>
        <w:spacing w:before="120"/>
        <w:rPr>
          <w:snapToGrid w:val="0"/>
        </w:rPr>
      </w:pPr>
      <w:r>
        <w:rPr>
          <w:snapToGrid w:val="0"/>
        </w:rPr>
        <w:tab/>
      </w:r>
      <w:r>
        <w:rPr>
          <w:snapToGrid w:val="0"/>
        </w:rPr>
        <w:tab/>
        <w:t>unless and until the State,</w:t>
      </w:r>
    </w:p>
    <w:p>
      <w:pPr>
        <w:pStyle w:val="Indenta"/>
        <w:rPr>
          <w:snapToGrid w:val="0"/>
        </w:rPr>
      </w:pPr>
      <w:r>
        <w:rPr>
          <w:snapToGrid w:val="0"/>
        </w:rPr>
        <w:tab/>
      </w:r>
      <w:r>
        <w:rPr>
          <w:snapToGrid w:val="0"/>
        </w:rPr>
        <w:tab/>
        <w:t>pursuant to the provisions, if any, of the loan agreement in respect of which the security and charge exist, directs otherwise,</w:t>
      </w:r>
    </w:p>
    <w:p>
      <w:pPr>
        <w:pStyle w:val="Subsection"/>
        <w:spacing w:before="120"/>
        <w:rPr>
          <w:snapToGrid w:val="0"/>
        </w:rPr>
      </w:pPr>
      <w:r>
        <w:rPr>
          <w:snapToGrid w:val="0"/>
        </w:rPr>
        <w:tab/>
      </w:r>
      <w:r>
        <w:rPr>
          <w:snapToGrid w:val="0"/>
        </w:rPr>
        <w:tab/>
        <w:t>the floating security and charge created by this section do not in any way preclude the lending institution from, or limit the lending institution in, carrying on business in the ordinary course as if the security did not exist and the charge had not been created.</w:t>
      </w:r>
    </w:p>
    <w:p>
      <w:pPr>
        <w:pStyle w:val="Footnotesection"/>
      </w:pPr>
      <w:r>
        <w:tab/>
        <w:t xml:space="preserve">[Section 55 amended by No. 10 of 1982 s. 28; No. 12 of 2001 s. 49; No. 20 of 2003 s. 30.] </w:t>
      </w:r>
    </w:p>
    <w:p>
      <w:pPr>
        <w:pStyle w:val="Heading5"/>
        <w:spacing w:before="240"/>
        <w:rPr>
          <w:snapToGrid w:val="0"/>
        </w:rPr>
      </w:pPr>
      <w:bookmarkStart w:id="496" w:name="_Toc417967499"/>
      <w:bookmarkStart w:id="497" w:name="_Toc519921949"/>
      <w:bookmarkStart w:id="498" w:name="_Toc131396768"/>
      <w:bookmarkStart w:id="499" w:name="_Toc202173168"/>
      <w:r>
        <w:rPr>
          <w:rStyle w:val="CharSectno"/>
        </w:rPr>
        <w:t>56</w:t>
      </w:r>
      <w:r>
        <w:rPr>
          <w:snapToGrid w:val="0"/>
        </w:rPr>
        <w:t>.</w:t>
      </w:r>
      <w:r>
        <w:rPr>
          <w:snapToGrid w:val="0"/>
        </w:rPr>
        <w:tab/>
        <w:t>Lending institution may give securities</w:t>
      </w:r>
      <w:bookmarkEnd w:id="496"/>
      <w:bookmarkEnd w:id="497"/>
      <w:bookmarkEnd w:id="498"/>
      <w:bookmarkEnd w:id="499"/>
      <w:r>
        <w:rPr>
          <w:snapToGrid w:val="0"/>
        </w:rPr>
        <w:t xml:space="preserve"> </w:t>
      </w:r>
    </w:p>
    <w:p>
      <w:pPr>
        <w:pStyle w:val="Subsection"/>
        <w:spacing w:before="180"/>
        <w:rPr>
          <w:snapToGrid w:val="0"/>
        </w:rPr>
      </w:pPr>
      <w:r>
        <w:rPr>
          <w:snapToGrid w:val="0"/>
        </w:rPr>
        <w:tab/>
        <w:t>(1)</w:t>
      </w:r>
      <w:r>
        <w:rPr>
          <w:snapToGrid w:val="0"/>
        </w:rPr>
        <w:tab/>
        <w:t>Where a lending institution makes or has made a loan agreement, it may, with the consent of the Treasurer and the Minister, execute such securities over so much of its property and assets both real and personal as create a charge thereon and which in the opinion of the Treasurer secure the due observance by the lending institution of the terms and conditions of the loan agreement.</w:t>
      </w:r>
    </w:p>
    <w:p>
      <w:pPr>
        <w:pStyle w:val="Subsection"/>
        <w:spacing w:before="180"/>
        <w:rPr>
          <w:snapToGrid w:val="0"/>
        </w:rPr>
      </w:pPr>
      <w:r>
        <w:rPr>
          <w:snapToGrid w:val="0"/>
        </w:rPr>
        <w:tab/>
        <w:t>(2)</w:t>
      </w:r>
      <w:r>
        <w:rPr>
          <w:snapToGrid w:val="0"/>
        </w:rPr>
        <w:tab/>
        <w:t xml:space="preserve">Where a lending institution makes or has made a loan agreement and, pursuant to subsection (1), executes in relation to that agreement such securities as are referred to in that subsection — </w:t>
      </w:r>
    </w:p>
    <w:p>
      <w:pPr>
        <w:pStyle w:val="Indenta"/>
        <w:rPr>
          <w:snapToGrid w:val="0"/>
        </w:rPr>
      </w:pPr>
      <w:r>
        <w:rPr>
          <w:snapToGrid w:val="0"/>
        </w:rPr>
        <w:tab/>
        <w:t>(a)</w:t>
      </w:r>
      <w:r>
        <w:rPr>
          <w:snapToGrid w:val="0"/>
        </w:rPr>
        <w:tab/>
        <w:t>the provisions of section 55 do not have effect or cease to have effect, as the case requires, so as to create any floating charge or security by virtue of the making of that agreement; and</w:t>
      </w:r>
    </w:p>
    <w:p>
      <w:pPr>
        <w:pStyle w:val="Indenta"/>
        <w:rPr>
          <w:snapToGrid w:val="0"/>
        </w:rPr>
      </w:pPr>
      <w:r>
        <w:rPr>
          <w:snapToGrid w:val="0"/>
        </w:rPr>
        <w:tab/>
        <w:t>(b)</w:t>
      </w:r>
      <w:r>
        <w:rPr>
          <w:snapToGrid w:val="0"/>
        </w:rPr>
        <w:tab/>
        <w:t>the Treasurer may, on the recommendation of the Minister, from time to time release from the charge such securities as are, in his opinion, no longer necessary to secure the due observance by the lending institution of the terms and conditions of the loan agreement.</w:t>
      </w:r>
    </w:p>
    <w:p>
      <w:pPr>
        <w:pStyle w:val="Subsection"/>
        <w:spacing w:before="180"/>
        <w:rPr>
          <w:snapToGrid w:val="0"/>
        </w:rPr>
      </w:pPr>
      <w:r>
        <w:rPr>
          <w:snapToGrid w:val="0"/>
        </w:rPr>
        <w:tab/>
        <w:t>(3)</w:t>
      </w:r>
      <w:r>
        <w:rPr>
          <w:snapToGrid w:val="0"/>
        </w:rPr>
        <w:tab/>
        <w:t>Any securities referred to in subsection (1) shall be, notwithstanding the provisions of any other Act and notwithstanding the existence on the property and assets of any other charge or encumbrance, by virtue of this subsection, a first charge on so much of the property and assets of the lending institution as is from time to time the subject of those securities.</w:t>
      </w:r>
    </w:p>
    <w:p>
      <w:pPr>
        <w:pStyle w:val="Heading5"/>
        <w:rPr>
          <w:snapToGrid w:val="0"/>
        </w:rPr>
      </w:pPr>
      <w:bookmarkStart w:id="500" w:name="_Toc417967500"/>
      <w:bookmarkStart w:id="501" w:name="_Toc519921950"/>
      <w:bookmarkStart w:id="502" w:name="_Toc131396769"/>
      <w:bookmarkStart w:id="503" w:name="_Toc202173169"/>
      <w:r>
        <w:rPr>
          <w:rStyle w:val="CharSectno"/>
        </w:rPr>
        <w:t>57</w:t>
      </w:r>
      <w:r>
        <w:rPr>
          <w:snapToGrid w:val="0"/>
        </w:rPr>
        <w:t>.</w:t>
      </w:r>
      <w:r>
        <w:rPr>
          <w:snapToGrid w:val="0"/>
        </w:rPr>
        <w:tab/>
        <w:t>Property and assets of lending institution may be released</w:t>
      </w:r>
      <w:bookmarkEnd w:id="500"/>
      <w:bookmarkEnd w:id="501"/>
      <w:bookmarkEnd w:id="502"/>
      <w:bookmarkEnd w:id="503"/>
      <w:r>
        <w:rPr>
          <w:snapToGrid w:val="0"/>
        </w:rPr>
        <w:t xml:space="preserve"> </w:t>
      </w:r>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a lending institution has, at any time before or after the coming into operation of this Act, made a loan agreement; and </w:t>
      </w:r>
    </w:p>
    <w:p>
      <w:pPr>
        <w:pStyle w:val="Indenta"/>
        <w:rPr>
          <w:snapToGrid w:val="0"/>
        </w:rPr>
      </w:pPr>
      <w:r>
        <w:rPr>
          <w:snapToGrid w:val="0"/>
        </w:rPr>
        <w:tab/>
        <w:t>(b)</w:t>
      </w:r>
      <w:r>
        <w:rPr>
          <w:snapToGrid w:val="0"/>
        </w:rPr>
        <w:tab/>
        <w:t>the lending institution has not, in relation to that loan agreement, executed securities of the kind described in section 56(1),</w:t>
      </w:r>
    </w:p>
    <w:p>
      <w:pPr>
        <w:pStyle w:val="Subsection"/>
        <w:spacing w:before="120"/>
        <w:rPr>
          <w:snapToGrid w:val="0"/>
        </w:rPr>
      </w:pPr>
      <w:r>
        <w:rPr>
          <w:snapToGrid w:val="0"/>
        </w:rPr>
        <w:tab/>
      </w:r>
      <w:r>
        <w:rPr>
          <w:snapToGrid w:val="0"/>
        </w:rPr>
        <w:tab/>
        <w:t>the Treasurer may, at the request of the lending institution and on the recommendation of the Minister, release from the floating charge and security created by section 55 on the making of the loan agreement, such of the property and assets of the lending institution as are, in his opinion, no longer necessary to secure the due observance by the lending institution of the terms and conditions of the loan agreement.</w:t>
      </w:r>
    </w:p>
    <w:p>
      <w:pPr>
        <w:pStyle w:val="Heading5"/>
        <w:rPr>
          <w:snapToGrid w:val="0"/>
        </w:rPr>
      </w:pPr>
      <w:bookmarkStart w:id="504" w:name="_Toc417967501"/>
      <w:bookmarkStart w:id="505" w:name="_Toc519921951"/>
      <w:bookmarkStart w:id="506" w:name="_Toc131396770"/>
      <w:bookmarkStart w:id="507" w:name="_Toc202173170"/>
      <w:r>
        <w:rPr>
          <w:rStyle w:val="CharSectno"/>
        </w:rPr>
        <w:t>58</w:t>
      </w:r>
      <w:r>
        <w:rPr>
          <w:snapToGrid w:val="0"/>
        </w:rPr>
        <w:t>.</w:t>
      </w:r>
      <w:r>
        <w:rPr>
          <w:snapToGrid w:val="0"/>
        </w:rPr>
        <w:tab/>
        <w:t>Power of inspection of affairs of lending institution</w:t>
      </w:r>
      <w:bookmarkEnd w:id="504"/>
      <w:bookmarkEnd w:id="505"/>
      <w:bookmarkEnd w:id="506"/>
      <w:bookmarkEnd w:id="507"/>
      <w:r>
        <w:rPr>
          <w:snapToGrid w:val="0"/>
        </w:rPr>
        <w:t xml:space="preserve"> </w:t>
      </w:r>
    </w:p>
    <w:p>
      <w:pPr>
        <w:pStyle w:val="Subsection"/>
        <w:spacing w:before="120"/>
        <w:rPr>
          <w:snapToGrid w:val="0"/>
        </w:rPr>
      </w:pPr>
      <w:r>
        <w:rPr>
          <w:snapToGrid w:val="0"/>
        </w:rPr>
        <w:tab/>
        <w:t>(1)</w:t>
      </w:r>
      <w:r>
        <w:rPr>
          <w:snapToGrid w:val="0"/>
        </w:rPr>
        <w:tab/>
        <w:t>Where a lending institution is a party to a loan agreement the appropriate Minister of the State may, whenever he thinks fit, appoint a person to examine the affairs of the lending institution and to report to the Minister on the result of the examination.</w:t>
      </w:r>
    </w:p>
    <w:p>
      <w:pPr>
        <w:pStyle w:val="Subsection"/>
        <w:spacing w:before="120"/>
        <w:rPr>
          <w:snapToGrid w:val="0"/>
        </w:rPr>
      </w:pPr>
      <w:r>
        <w:rPr>
          <w:snapToGrid w:val="0"/>
        </w:rPr>
        <w:tab/>
        <w:t>(2)</w:t>
      </w:r>
      <w:r>
        <w:rPr>
          <w:snapToGrid w:val="0"/>
        </w:rPr>
        <w:tab/>
        <w:t xml:space="preserve">For the purpose of enabling him to make the examination, a person so appointed has, and if necessary may exercise, the powers conferred on a Royal Commission by the </w:t>
      </w:r>
      <w:r>
        <w:rPr>
          <w:i/>
          <w:snapToGrid w:val="0"/>
        </w:rPr>
        <w:t>Royal Commissions Act 1968</w:t>
      </w:r>
      <w:r>
        <w:rPr>
          <w:snapToGrid w:val="0"/>
        </w:rPr>
        <w:t>.</w:t>
      </w:r>
    </w:p>
    <w:p>
      <w:pPr>
        <w:pStyle w:val="Subsection"/>
        <w:spacing w:before="120"/>
        <w:rPr>
          <w:snapToGrid w:val="0"/>
        </w:rPr>
      </w:pPr>
      <w:r>
        <w:rPr>
          <w:snapToGrid w:val="0"/>
        </w:rPr>
        <w:tab/>
        <w:t>(3)</w:t>
      </w:r>
      <w:r>
        <w:rPr>
          <w:snapToGrid w:val="0"/>
        </w:rPr>
        <w:tab/>
        <w:t>An appointment in writing purporting to have been made under this section and purporting to have been signed by a Minister is sufficient authority for a person so appointed to exercise the functions and powers of examination.</w:t>
      </w:r>
    </w:p>
    <w:p>
      <w:pPr>
        <w:pStyle w:val="Heading5"/>
        <w:rPr>
          <w:snapToGrid w:val="0"/>
        </w:rPr>
      </w:pPr>
      <w:bookmarkStart w:id="508" w:name="_Toc417967502"/>
      <w:bookmarkStart w:id="509" w:name="_Toc519921952"/>
      <w:bookmarkStart w:id="510" w:name="_Toc131396771"/>
      <w:bookmarkStart w:id="511" w:name="_Toc202173171"/>
      <w:r>
        <w:rPr>
          <w:rStyle w:val="CharSectno"/>
        </w:rPr>
        <w:t>59</w:t>
      </w:r>
      <w:r>
        <w:rPr>
          <w:snapToGrid w:val="0"/>
        </w:rPr>
        <w:t>.</w:t>
      </w:r>
      <w:r>
        <w:rPr>
          <w:snapToGrid w:val="0"/>
        </w:rPr>
        <w:tab/>
        <w:t>Special powers of lending institutions to make advances of moneys, other than by way of mortgage</w:t>
      </w:r>
      <w:bookmarkEnd w:id="508"/>
      <w:bookmarkEnd w:id="509"/>
      <w:bookmarkEnd w:id="510"/>
      <w:bookmarkEnd w:id="511"/>
      <w:r>
        <w:rPr>
          <w:snapToGrid w:val="0"/>
        </w:rPr>
        <w:t xml:space="preserve"> </w:t>
      </w:r>
    </w:p>
    <w:p>
      <w:pPr>
        <w:pStyle w:val="Subsection"/>
        <w:spacing w:before="120"/>
        <w:rPr>
          <w:snapToGrid w:val="0"/>
        </w:rPr>
      </w:pPr>
      <w:r>
        <w:rPr>
          <w:snapToGrid w:val="0"/>
        </w:rPr>
        <w:tab/>
      </w:r>
      <w:r>
        <w:rPr>
          <w:snapToGrid w:val="0"/>
        </w:rPr>
        <w:tab/>
        <w:t>Notwithstanding anything to the contrary contained in any Act or delegated legislation or the instrument of constitution of a lending institution, the lending institution may make advances to a borrower other than upon security of freehold or leasehold property by way of mortgage where — </w:t>
      </w:r>
    </w:p>
    <w:p>
      <w:pPr>
        <w:pStyle w:val="Indenta"/>
        <w:rPr>
          <w:snapToGrid w:val="0"/>
        </w:rPr>
      </w:pPr>
      <w:r>
        <w:rPr>
          <w:snapToGrid w:val="0"/>
        </w:rPr>
        <w:tab/>
        <w:t>(a)</w:t>
      </w:r>
      <w:r>
        <w:rPr>
          <w:snapToGrid w:val="0"/>
        </w:rPr>
        <w:tab/>
        <w:t>the moneys being advanced to the borrower have been loaned to the lending institution under a loan agreement; and</w:t>
      </w:r>
    </w:p>
    <w:p>
      <w:pPr>
        <w:pStyle w:val="Indenta"/>
        <w:rPr>
          <w:snapToGrid w:val="0"/>
        </w:rPr>
      </w:pPr>
      <w:r>
        <w:rPr>
          <w:snapToGrid w:val="0"/>
        </w:rPr>
        <w:tab/>
        <w:t>(b)</w:t>
      </w:r>
      <w:r>
        <w:rPr>
          <w:snapToGrid w:val="0"/>
        </w:rPr>
        <w:tab/>
        <w:t>the moneys being advanced to the borrower will be used by him to purchase a house erected upon, or to erect a house upon, land which at the time the advance is made is held by the</w:t>
      </w:r>
      <w:r>
        <w:t xml:space="preserve"> Authority</w:t>
      </w:r>
      <w:r>
        <w:rPr>
          <w:snapToGrid w:val="0"/>
        </w:rPr>
        <w:t>.</w:t>
      </w:r>
    </w:p>
    <w:p>
      <w:pPr>
        <w:pStyle w:val="Footnotesection"/>
      </w:pPr>
      <w:r>
        <w:tab/>
        <w:t>[Section 59 amended by No. 28 of 2006 s. 332.]</w:t>
      </w:r>
    </w:p>
    <w:p>
      <w:pPr>
        <w:pStyle w:val="Heading2"/>
      </w:pPr>
      <w:bookmarkStart w:id="512" w:name="_Toc116712902"/>
      <w:bookmarkStart w:id="513" w:name="_Toc116811319"/>
      <w:bookmarkStart w:id="514" w:name="_Toc131396772"/>
      <w:bookmarkStart w:id="515" w:name="_Toc139275333"/>
      <w:bookmarkStart w:id="516" w:name="_Toc139691362"/>
      <w:bookmarkStart w:id="517" w:name="_Toc141767964"/>
      <w:bookmarkStart w:id="518" w:name="_Toc141770714"/>
      <w:bookmarkStart w:id="519" w:name="_Toc143395814"/>
      <w:bookmarkStart w:id="520" w:name="_Toc143569008"/>
      <w:bookmarkStart w:id="521" w:name="_Toc143569113"/>
      <w:bookmarkStart w:id="522" w:name="_Toc143592668"/>
      <w:bookmarkStart w:id="523" w:name="_Toc144543120"/>
      <w:bookmarkStart w:id="524" w:name="_Toc155597344"/>
      <w:bookmarkStart w:id="525" w:name="_Toc157914665"/>
      <w:bookmarkStart w:id="526" w:name="_Toc196124086"/>
      <w:bookmarkStart w:id="527" w:name="_Toc202173172"/>
      <w:r>
        <w:rPr>
          <w:rStyle w:val="CharPartNo"/>
        </w:rPr>
        <w:t>Part VI</w:t>
      </w:r>
      <w:r>
        <w:rPr>
          <w:rStyle w:val="CharDivNo"/>
        </w:rPr>
        <w:t> </w:t>
      </w:r>
      <w:r>
        <w:t>—</w:t>
      </w:r>
      <w:r>
        <w:rPr>
          <w:rStyle w:val="CharDivText"/>
        </w:rPr>
        <w:t> </w:t>
      </w:r>
      <w:r>
        <w:rPr>
          <w:rStyle w:val="CharPartText"/>
        </w:rPr>
        <w:t>Specialized housing and community facilities</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Heading5"/>
        <w:rPr>
          <w:snapToGrid w:val="0"/>
        </w:rPr>
      </w:pPr>
      <w:bookmarkStart w:id="528" w:name="_Toc417967503"/>
      <w:bookmarkStart w:id="529" w:name="_Toc519921953"/>
      <w:bookmarkStart w:id="530" w:name="_Toc131396773"/>
      <w:bookmarkStart w:id="531" w:name="_Toc202173173"/>
      <w:r>
        <w:rPr>
          <w:rStyle w:val="CharSectno"/>
        </w:rPr>
        <w:t>60</w:t>
      </w:r>
      <w:r>
        <w:rPr>
          <w:snapToGrid w:val="0"/>
        </w:rPr>
        <w:t>.</w:t>
      </w:r>
      <w:r>
        <w:rPr>
          <w:snapToGrid w:val="0"/>
        </w:rPr>
        <w:tab/>
      </w:r>
      <w:r>
        <w:t>Authority</w:t>
      </w:r>
      <w:r>
        <w:rPr>
          <w:snapToGrid w:val="0"/>
        </w:rPr>
        <w:t xml:space="preserve"> may provide specialized housing</w:t>
      </w:r>
      <w:bookmarkEnd w:id="528"/>
      <w:bookmarkEnd w:id="529"/>
      <w:bookmarkEnd w:id="530"/>
      <w:bookmarkEnd w:id="531"/>
      <w:r>
        <w:rPr>
          <w:snapToGrid w:val="0"/>
        </w:rPr>
        <w:t xml:space="preserve"> </w:t>
      </w:r>
    </w:p>
    <w:p>
      <w:pPr>
        <w:pStyle w:val="Subsection"/>
        <w:rPr>
          <w:snapToGrid w:val="0"/>
        </w:rPr>
      </w:pPr>
      <w:r>
        <w:rPr>
          <w:snapToGrid w:val="0"/>
        </w:rPr>
        <w:tab/>
        <w:t>(1)</w:t>
      </w:r>
      <w:r>
        <w:rPr>
          <w:snapToGrid w:val="0"/>
        </w:rPr>
        <w:tab/>
        <w:t xml:space="preserve">For the purposes of this Act the </w:t>
      </w:r>
      <w:r>
        <w:t>Authority</w:t>
      </w:r>
      <w:r>
        <w:rPr>
          <w:snapToGrid w:val="0"/>
        </w:rPr>
        <w:t xml:space="preserve"> may — </w:t>
      </w:r>
    </w:p>
    <w:p>
      <w:pPr>
        <w:pStyle w:val="Indenta"/>
        <w:rPr>
          <w:snapToGrid w:val="0"/>
        </w:rPr>
      </w:pPr>
      <w:r>
        <w:rPr>
          <w:snapToGrid w:val="0"/>
        </w:rPr>
        <w:tab/>
        <w:t>(a)</w:t>
      </w:r>
      <w:r>
        <w:rPr>
          <w:snapToGrid w:val="0"/>
        </w:rPr>
        <w:tab/>
        <w:t>erect, acquire or take leases of, and furnish and equip specialized housing for the purpose of housing persons, including students and aged and infirm persons, whose housing requirements are not, in the opinion of the</w:t>
      </w:r>
      <w:r>
        <w:t xml:space="preserve"> Authority</w:t>
      </w:r>
      <w:r>
        <w:rPr>
          <w:snapToGrid w:val="0"/>
        </w:rPr>
        <w:t>, otherwise adequately provided for under the provisions of this Act;</w:t>
      </w:r>
    </w:p>
    <w:p>
      <w:pPr>
        <w:pStyle w:val="Indenta"/>
        <w:rPr>
          <w:snapToGrid w:val="0"/>
        </w:rPr>
      </w:pPr>
      <w:r>
        <w:rPr>
          <w:snapToGrid w:val="0"/>
        </w:rPr>
        <w:tab/>
        <w:t>(b)</w:t>
      </w:r>
      <w:r>
        <w:rPr>
          <w:snapToGrid w:val="0"/>
        </w:rPr>
        <w:tab/>
        <w:t xml:space="preserve">let or lease residential units in specialized housing to persons at such rentals, on such terms for such periods and subject to such covenants and conditions as the </w:t>
      </w:r>
      <w:r>
        <w:t>Authority</w:t>
      </w:r>
      <w:r>
        <w:rPr>
          <w:snapToGrid w:val="0"/>
        </w:rPr>
        <w:t xml:space="preserve"> considers fit and proper;</w:t>
      </w:r>
    </w:p>
    <w:p>
      <w:pPr>
        <w:pStyle w:val="Indenta"/>
        <w:rPr>
          <w:snapToGrid w:val="0"/>
        </w:rPr>
      </w:pPr>
      <w:r>
        <w:rPr>
          <w:snapToGrid w:val="0"/>
        </w:rPr>
        <w:tab/>
        <w:t>(c)</w:t>
      </w:r>
      <w:r>
        <w:rPr>
          <w:snapToGrid w:val="0"/>
        </w:rPr>
        <w:tab/>
        <w:t>provide, in relation to specialized housing, such amenities and facilities, separate or communal as, in the opinion of the</w:t>
      </w:r>
      <w:r>
        <w:t xml:space="preserve"> Authority</w:t>
      </w:r>
      <w:r>
        <w:rPr>
          <w:snapToGrid w:val="0"/>
        </w:rPr>
        <w:t>, are necessary or desirable for the comfort, health and convenience, or will serve a beneficial purpose in connection with the requirements of the persons to whom residential units in specialized housing are let or leased;</w:t>
      </w:r>
    </w:p>
    <w:p>
      <w:pPr>
        <w:pStyle w:val="Indenta"/>
        <w:rPr>
          <w:snapToGrid w:val="0"/>
        </w:rPr>
      </w:pPr>
      <w:r>
        <w:rPr>
          <w:snapToGrid w:val="0"/>
        </w:rPr>
        <w:tab/>
        <w:t>(d)</w:t>
      </w:r>
      <w:r>
        <w:rPr>
          <w:snapToGrid w:val="0"/>
        </w:rPr>
        <w:tab/>
        <w:t>provide for the proper conduct, management, control and supervision of specialized housing, including the provision of canteens and dining rooms and the employment of caretakers, supervisors and other persons necessary for the proper conduct, management, control and supervision of specialized housing;</w:t>
      </w:r>
    </w:p>
    <w:p>
      <w:pPr>
        <w:pStyle w:val="Indenta"/>
        <w:rPr>
          <w:snapToGrid w:val="0"/>
        </w:rPr>
      </w:pPr>
      <w:r>
        <w:rPr>
          <w:snapToGrid w:val="0"/>
        </w:rPr>
        <w:tab/>
        <w:t>(e)</w:t>
      </w:r>
      <w:r>
        <w:rPr>
          <w:snapToGrid w:val="0"/>
        </w:rPr>
        <w:tab/>
        <w:t>enter into arrangements with a local government or with any person approved by the Minister under which the local government or person shall undertake the conduct, management, control and supervision of specialized housing.</w:t>
      </w:r>
    </w:p>
    <w:p>
      <w:pPr>
        <w:pStyle w:val="Subsection"/>
        <w:rPr>
          <w:snapToGrid w:val="0"/>
        </w:rPr>
      </w:pPr>
      <w:r>
        <w:rPr>
          <w:snapToGrid w:val="0"/>
        </w:rPr>
        <w:tab/>
        <w:t>(2)</w:t>
      </w:r>
      <w:r>
        <w:rPr>
          <w:snapToGrid w:val="0"/>
        </w:rPr>
        <w:tab/>
        <w:t xml:space="preserve">In subsection (1) </w:t>
      </w:r>
      <w:r>
        <w:rPr>
          <w:rStyle w:val="CharDefText"/>
        </w:rPr>
        <w:t>specialized housing</w:t>
      </w:r>
      <w:r>
        <w:rPr>
          <w:snapToGrid w:val="0"/>
        </w:rPr>
        <w:t xml:space="preserve"> means a building or group of buildings which contains a number of separate residential units suitable for the housing of persons including students and aged and infirm persons and which is designed so as to provide living amenities and facilities available for use in common by persons residing in those residential units.</w:t>
      </w:r>
    </w:p>
    <w:p>
      <w:pPr>
        <w:pStyle w:val="Footnotesection"/>
      </w:pPr>
      <w:r>
        <w:tab/>
        <w:t xml:space="preserve">[Section 60 amended by No. 14 of 1996 s. 4; No. 28 of 2006 s. 332.] </w:t>
      </w:r>
    </w:p>
    <w:p>
      <w:pPr>
        <w:pStyle w:val="Heading5"/>
        <w:rPr>
          <w:snapToGrid w:val="0"/>
        </w:rPr>
      </w:pPr>
      <w:bookmarkStart w:id="532" w:name="_Toc417967504"/>
      <w:bookmarkStart w:id="533" w:name="_Toc519921954"/>
      <w:bookmarkStart w:id="534" w:name="_Toc131396774"/>
      <w:bookmarkStart w:id="535" w:name="_Toc202173174"/>
      <w:r>
        <w:rPr>
          <w:rStyle w:val="CharSectno"/>
        </w:rPr>
        <w:t>61</w:t>
      </w:r>
      <w:r>
        <w:rPr>
          <w:snapToGrid w:val="0"/>
        </w:rPr>
        <w:t>.</w:t>
      </w:r>
      <w:r>
        <w:rPr>
          <w:snapToGrid w:val="0"/>
        </w:rPr>
        <w:tab/>
        <w:t>Community facilities</w:t>
      </w:r>
      <w:bookmarkEnd w:id="532"/>
      <w:bookmarkEnd w:id="533"/>
      <w:bookmarkEnd w:id="534"/>
      <w:bookmarkEnd w:id="535"/>
      <w:r>
        <w:rPr>
          <w:snapToGrid w:val="0"/>
        </w:rPr>
        <w:t xml:space="preserve"> </w:t>
      </w:r>
    </w:p>
    <w:p>
      <w:pPr>
        <w:pStyle w:val="Subsection"/>
        <w:rPr>
          <w:snapToGrid w:val="0"/>
        </w:rPr>
      </w:pPr>
      <w:r>
        <w:rPr>
          <w:snapToGrid w:val="0"/>
        </w:rPr>
        <w:tab/>
        <w:t>(1)</w:t>
      </w:r>
      <w:r>
        <w:rPr>
          <w:snapToGrid w:val="0"/>
        </w:rPr>
        <w:tab/>
        <w:t xml:space="preserve">In order to promote the establishment and growth of a community in any area and to meet health, social, educational, and recreational needs of the members of that community the </w:t>
      </w:r>
      <w:r>
        <w:t>Authority</w:t>
      </w:r>
      <w:r>
        <w:rPr>
          <w:snapToGrid w:val="0"/>
        </w:rPr>
        <w:t xml:space="preserve"> may, with the consent of the Minister, acquire land, or set aside land held by the</w:t>
      </w:r>
      <w:r>
        <w:t xml:space="preserve"> Authority</w:t>
      </w:r>
      <w:r>
        <w:rPr>
          <w:snapToGrid w:val="0"/>
        </w:rPr>
        <w:t>, for the purpose of providing, or providing sites for, community facilities and amenities and may, with the consent of the Minister — </w:t>
      </w:r>
    </w:p>
    <w:p>
      <w:pPr>
        <w:pStyle w:val="Indenta"/>
        <w:rPr>
          <w:snapToGrid w:val="0"/>
        </w:rPr>
      </w:pPr>
      <w:r>
        <w:rPr>
          <w:snapToGrid w:val="0"/>
        </w:rPr>
        <w:tab/>
        <w:t>(a)</w:t>
      </w:r>
      <w:r>
        <w:rPr>
          <w:snapToGrid w:val="0"/>
        </w:rPr>
        <w:tab/>
        <w:t xml:space="preserve">erect on the land, and furnish and equip, any buildings that the </w:t>
      </w:r>
      <w:r>
        <w:t>Authority</w:t>
      </w:r>
      <w:r>
        <w:rPr>
          <w:snapToGrid w:val="0"/>
        </w:rPr>
        <w:t xml:space="preserve"> considers necessary or desirable having regard to the purpose for which the land was acquired or set aside or enter into arrangements with a public authority, or approved person for the erection, furnishing and equipping of such a building;</w:t>
      </w:r>
    </w:p>
    <w:p>
      <w:pPr>
        <w:pStyle w:val="Indenta"/>
        <w:rPr>
          <w:snapToGrid w:val="0"/>
        </w:rPr>
      </w:pPr>
      <w:r>
        <w:rPr>
          <w:snapToGrid w:val="0"/>
        </w:rPr>
        <w:tab/>
        <w:t>(b)</w:t>
      </w:r>
      <w:r>
        <w:rPr>
          <w:snapToGrid w:val="0"/>
        </w:rPr>
        <w:tab/>
        <w:t>enter into arrangements with a public authority or approved person for the conduct, management, control, maintenance and supervision of the land and any building erected on the land and health, social, educational and recreational activities to be carried on on the land or in a building erected on the land;</w:t>
      </w:r>
    </w:p>
    <w:p>
      <w:pPr>
        <w:pStyle w:val="Indenta"/>
        <w:rPr>
          <w:snapToGrid w:val="0"/>
        </w:rPr>
      </w:pPr>
      <w:r>
        <w:rPr>
          <w:snapToGrid w:val="0"/>
        </w:rPr>
        <w:tab/>
        <w:t>(c)</w:t>
      </w:r>
      <w:r>
        <w:rPr>
          <w:snapToGrid w:val="0"/>
        </w:rPr>
        <w:tab/>
        <w:t>sell, let or lease any of the land, or let or lease any building erected on the land, for the purpose for which the land was acquired or set aside;</w:t>
      </w:r>
    </w:p>
    <w:p>
      <w:pPr>
        <w:pStyle w:val="Indenta"/>
        <w:rPr>
          <w:snapToGrid w:val="0"/>
        </w:rPr>
      </w:pPr>
      <w:r>
        <w:rPr>
          <w:snapToGrid w:val="0"/>
        </w:rPr>
        <w:tab/>
        <w:t>(d)</w:t>
      </w:r>
      <w:r>
        <w:rPr>
          <w:snapToGrid w:val="0"/>
        </w:rPr>
        <w:tab/>
        <w:t>surrender any of the land to Her Majesty for the purpose for which it was acquired or set aside.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approved person</w:t>
      </w:r>
      <w:r>
        <w:t xml:space="preserve"> means a person approved by the Minister;</w:t>
      </w:r>
    </w:p>
    <w:p>
      <w:pPr>
        <w:pStyle w:val="Defstart"/>
      </w:pPr>
      <w:r>
        <w:rPr>
          <w:b/>
        </w:rPr>
        <w:tab/>
      </w:r>
      <w:r>
        <w:rPr>
          <w:rStyle w:val="CharDefText"/>
        </w:rPr>
        <w:t>community facilities and amenities</w:t>
      </w:r>
      <w:r>
        <w:t xml:space="preserve"> includes gardens, parks, public open spaces, places of recreation, shops, offices, theatres, religious buildings, infant health centres, pre</w:t>
      </w:r>
      <w:r>
        <w:noBreakHyphen/>
        <w:t>school centres and care centres for children, meeting halls, schools, kindergartens, club and meeting rooms, libraries, swimming and bathing facilities, health centres, hospitals and other public utilities, and business or social facilities.</w:t>
      </w:r>
    </w:p>
    <w:p>
      <w:pPr>
        <w:pStyle w:val="Subsection"/>
        <w:rPr>
          <w:snapToGrid w:val="0"/>
        </w:rPr>
      </w:pPr>
      <w:r>
        <w:rPr>
          <w:snapToGrid w:val="0"/>
        </w:rPr>
        <w:tab/>
        <w:t>(3)</w:t>
      </w:r>
      <w:r>
        <w:rPr>
          <w:snapToGrid w:val="0"/>
        </w:rPr>
        <w:tab/>
        <w:t xml:space="preserve">The Minister shall not give his consent to the exercise by the </w:t>
      </w:r>
      <w:r>
        <w:t>Authority</w:t>
      </w:r>
      <w:r>
        <w:rPr>
          <w:snapToGrid w:val="0"/>
        </w:rPr>
        <w:t xml:space="preserve"> of its powers under subsection (1) to erect, furnish and equip any building unless he is satisfied that an opportunity has been given to the private sector to erect, furnish and equip the building and that that sector is not willing to erect, furnish and equip the building or is not willing to do so otherwise than on terms that are unsuitable.</w:t>
      </w:r>
    </w:p>
    <w:p>
      <w:pPr>
        <w:pStyle w:val="Footnotesection"/>
      </w:pPr>
      <w:r>
        <w:tab/>
        <w:t>[Section 61 amended by No. 28 of 2006 s. 332.]</w:t>
      </w:r>
    </w:p>
    <w:p>
      <w:pPr>
        <w:pStyle w:val="Heading2"/>
      </w:pPr>
      <w:bookmarkStart w:id="536" w:name="_Toc116712905"/>
      <w:bookmarkStart w:id="537" w:name="_Toc116811322"/>
      <w:bookmarkStart w:id="538" w:name="_Toc131396775"/>
      <w:bookmarkStart w:id="539" w:name="_Toc139275336"/>
      <w:bookmarkStart w:id="540" w:name="_Toc139691365"/>
      <w:bookmarkStart w:id="541" w:name="_Toc141767967"/>
      <w:bookmarkStart w:id="542" w:name="_Toc141770717"/>
      <w:bookmarkStart w:id="543" w:name="_Toc143395817"/>
      <w:bookmarkStart w:id="544" w:name="_Toc143569011"/>
      <w:bookmarkStart w:id="545" w:name="_Toc143569116"/>
      <w:bookmarkStart w:id="546" w:name="_Toc143592671"/>
      <w:bookmarkStart w:id="547" w:name="_Toc144543123"/>
      <w:bookmarkStart w:id="548" w:name="_Toc155597347"/>
      <w:bookmarkStart w:id="549" w:name="_Toc157914668"/>
      <w:bookmarkStart w:id="550" w:name="_Toc196124089"/>
      <w:bookmarkStart w:id="551" w:name="_Toc202173175"/>
      <w:r>
        <w:rPr>
          <w:rStyle w:val="CharPartNo"/>
        </w:rPr>
        <w:t>Part VII</w:t>
      </w:r>
      <w:r>
        <w:rPr>
          <w:rStyle w:val="CharDivNo"/>
        </w:rPr>
        <w:t> </w:t>
      </w:r>
      <w:r>
        <w:t>—</w:t>
      </w:r>
      <w:r>
        <w:rPr>
          <w:rStyle w:val="CharDivText"/>
        </w:rPr>
        <w:t> </w:t>
      </w:r>
      <w:r>
        <w:rPr>
          <w:rStyle w:val="CharPartText"/>
        </w:rPr>
        <w:t>Finance</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r>
        <w:rPr>
          <w:rStyle w:val="CharPartText"/>
        </w:rPr>
        <w:t xml:space="preserve"> </w:t>
      </w:r>
    </w:p>
    <w:p>
      <w:pPr>
        <w:pStyle w:val="Heading5"/>
        <w:rPr>
          <w:snapToGrid w:val="0"/>
        </w:rPr>
      </w:pPr>
      <w:bookmarkStart w:id="552" w:name="_Toc417967505"/>
      <w:bookmarkStart w:id="553" w:name="_Toc519921955"/>
      <w:bookmarkStart w:id="554" w:name="_Toc131396776"/>
      <w:bookmarkStart w:id="555" w:name="_Toc202173176"/>
      <w:r>
        <w:rPr>
          <w:rStyle w:val="CharSectno"/>
        </w:rPr>
        <w:t>62</w:t>
      </w:r>
      <w:r>
        <w:rPr>
          <w:snapToGrid w:val="0"/>
        </w:rPr>
        <w:t>.</w:t>
      </w:r>
      <w:r>
        <w:rPr>
          <w:snapToGrid w:val="0"/>
        </w:rPr>
        <w:tab/>
        <w:t>Funds</w:t>
      </w:r>
      <w:bookmarkEnd w:id="552"/>
      <w:bookmarkEnd w:id="553"/>
      <w:bookmarkEnd w:id="554"/>
      <w:bookmarkEnd w:id="555"/>
      <w:r>
        <w:rPr>
          <w:snapToGrid w:val="0"/>
        </w:rPr>
        <w:t xml:space="preserve"> </w:t>
      </w:r>
    </w:p>
    <w:p>
      <w:pPr>
        <w:pStyle w:val="Subsection"/>
        <w:spacing w:before="180"/>
        <w:rPr>
          <w:snapToGrid w:val="0"/>
        </w:rPr>
      </w:pPr>
      <w:r>
        <w:rPr>
          <w:snapToGrid w:val="0"/>
        </w:rPr>
        <w:tab/>
        <w:t>(1)</w:t>
      </w:r>
      <w:r>
        <w:rPr>
          <w:snapToGrid w:val="0"/>
        </w:rPr>
        <w:tab/>
        <w:t xml:space="preserve">The funds necessary for the effectual execution of this Act shall be such moneys as are from time to time appropriated by Parliament and such moneys as the </w:t>
      </w:r>
      <w:r>
        <w:t>Authority</w:t>
      </w:r>
      <w:r>
        <w:rPr>
          <w:snapToGrid w:val="0"/>
        </w:rPr>
        <w:t xml:space="preserve"> may borrow or lawfully receive under and subject to the provisions of this Act.</w:t>
      </w:r>
    </w:p>
    <w:p>
      <w:pPr>
        <w:pStyle w:val="Subsection"/>
      </w:pPr>
      <w:r>
        <w:tab/>
        <w:t>(2)</w:t>
      </w:r>
      <w:r>
        <w:tab/>
        <w:t xml:space="preserve">All such moneys are — </w:t>
      </w:r>
    </w:p>
    <w:p>
      <w:pPr>
        <w:pStyle w:val="Indenta"/>
      </w:pPr>
      <w:r>
        <w:tab/>
        <w:t>(a)</w:t>
      </w:r>
      <w:r>
        <w:tab/>
        <w:t xml:space="preserve">to be credited to an agency special purpose account called The State Housing Commission Account </w:t>
      </w:r>
      <w:r>
        <w:rPr>
          <w:bCs/>
        </w:rPr>
        <w:t xml:space="preserve">established under section 16 </w:t>
      </w:r>
      <w:r>
        <w:t xml:space="preserve">of the </w:t>
      </w:r>
      <w:r>
        <w:rPr>
          <w:i/>
          <w:iCs/>
        </w:rPr>
        <w:t>Financial Management Act 2006</w:t>
      </w:r>
      <w:r>
        <w:t>; and</w:t>
      </w:r>
    </w:p>
    <w:p>
      <w:pPr>
        <w:pStyle w:val="Indenta"/>
      </w:pPr>
      <w:r>
        <w:tab/>
        <w:t>(b)</w:t>
      </w:r>
      <w:r>
        <w:tab/>
        <w:t>to be applied to the purposes of this Act.</w:t>
      </w:r>
    </w:p>
    <w:p>
      <w:pPr>
        <w:pStyle w:val="Subsection"/>
        <w:spacing w:before="180"/>
        <w:rPr>
          <w:snapToGrid w:val="0"/>
        </w:rPr>
      </w:pPr>
      <w:r>
        <w:rPr>
          <w:snapToGrid w:val="0"/>
        </w:rPr>
        <w:tab/>
        <w:t>(3)</w:t>
      </w:r>
      <w:r>
        <w:rPr>
          <w:snapToGrid w:val="0"/>
        </w:rPr>
        <w:tab/>
        <w:t>Subsection (2) does not affect the operation of any provision of a Commonwealth Housing Act or a Housing Agreement, within the meaning of Part V of this Act, requiring separate accounts to be kept in respect of moneys received and transactions entered into in accordance with that Act or Agreement.</w:t>
      </w:r>
    </w:p>
    <w:p>
      <w:pPr>
        <w:pStyle w:val="Subsection"/>
        <w:spacing w:before="180"/>
        <w:rPr>
          <w:snapToGrid w:val="0"/>
        </w:rPr>
      </w:pPr>
      <w:r>
        <w:rPr>
          <w:snapToGrid w:val="0"/>
        </w:rPr>
        <w:tab/>
        <w:t>(4)</w:t>
      </w:r>
      <w:r>
        <w:rPr>
          <w:snapToGrid w:val="0"/>
        </w:rPr>
        <w:tab/>
        <w:t xml:space="preserve">The interest on and contributions, at a rate to be fixed by the Treasurer, to the sinking fund for the redemption of moneys appropriated by Parliament to the purposes of this Act from the Consolidated Account shall be paid by the </w:t>
      </w:r>
      <w:r>
        <w:t>Authority</w:t>
      </w:r>
      <w:r>
        <w:rPr>
          <w:snapToGrid w:val="0"/>
        </w:rPr>
        <w:t xml:space="preserve"> to the Treasurer from the Account half</w:t>
      </w:r>
      <w:r>
        <w:rPr>
          <w:snapToGrid w:val="0"/>
        </w:rPr>
        <w:noBreakHyphen/>
        <w:t>yearly and shall be applied by the Treasurer to recoup the Consolidated Account in respect of such interest and contributions.</w:t>
      </w:r>
    </w:p>
    <w:p>
      <w:pPr>
        <w:pStyle w:val="Subsection"/>
        <w:spacing w:before="180"/>
        <w:rPr>
          <w:snapToGrid w:val="0"/>
        </w:rPr>
      </w:pPr>
      <w:r>
        <w:rPr>
          <w:snapToGrid w:val="0"/>
        </w:rPr>
        <w:tab/>
        <w:t>(5)</w:t>
      </w:r>
      <w:r>
        <w:rPr>
          <w:snapToGrid w:val="0"/>
        </w:rPr>
        <w:tab/>
        <w:t xml:space="preserve">Where a sinking fund is created for the redemption of moneys borrowed by the </w:t>
      </w:r>
      <w:r>
        <w:t>Authority</w:t>
      </w:r>
      <w:r>
        <w:rPr>
          <w:snapToGrid w:val="0"/>
        </w:rPr>
        <w:t xml:space="preserve"> under section 63, the </w:t>
      </w:r>
      <w:r>
        <w:t>Authority</w:t>
      </w:r>
      <w:r>
        <w:rPr>
          <w:snapToGrid w:val="0"/>
        </w:rPr>
        <w:t xml:space="preserve"> shall, from moneys standing to the credit of the Account —</w:t>
      </w:r>
    </w:p>
    <w:p>
      <w:pPr>
        <w:pStyle w:val="Indenta"/>
        <w:rPr>
          <w:snapToGrid w:val="0"/>
        </w:rPr>
      </w:pPr>
      <w:r>
        <w:rPr>
          <w:snapToGrid w:val="0"/>
        </w:rPr>
        <w:tab/>
        <w:t>(a)</w:t>
      </w:r>
      <w:r>
        <w:rPr>
          <w:snapToGrid w:val="0"/>
        </w:rPr>
        <w:tab/>
        <w:t>pay the interest on those moneys; and</w:t>
      </w:r>
    </w:p>
    <w:p>
      <w:pPr>
        <w:pStyle w:val="Indenta"/>
        <w:rPr>
          <w:snapToGrid w:val="0"/>
        </w:rPr>
      </w:pPr>
      <w:r>
        <w:rPr>
          <w:snapToGrid w:val="0"/>
        </w:rPr>
        <w:tab/>
        <w:t>(b)</w:t>
      </w:r>
      <w:r>
        <w:rPr>
          <w:snapToGrid w:val="0"/>
        </w:rPr>
        <w:tab/>
        <w:t>set aside contributions to that sinking fund at a rate to be fixed by the Treasurer.</w:t>
      </w:r>
    </w:p>
    <w:p>
      <w:pPr>
        <w:pStyle w:val="Subsection"/>
        <w:keepLines/>
        <w:rPr>
          <w:snapToGrid w:val="0"/>
        </w:rPr>
      </w:pPr>
      <w:r>
        <w:rPr>
          <w:snapToGrid w:val="0"/>
        </w:rPr>
        <w:tab/>
        <w:t>(6)</w:t>
      </w:r>
      <w:r>
        <w:rPr>
          <w:snapToGrid w:val="0"/>
        </w:rPr>
        <w:tab/>
        <w:t xml:space="preserve">Where moneys borrowed by the </w:t>
      </w:r>
      <w:r>
        <w:t>Authority</w:t>
      </w:r>
      <w:r>
        <w:rPr>
          <w:snapToGrid w:val="0"/>
        </w:rPr>
        <w:t xml:space="preserve"> under section 63 are repayable by instalments, periodical instalments of principal and interest shall be paid by the </w:t>
      </w:r>
      <w:r>
        <w:t>Authority</w:t>
      </w:r>
      <w:r>
        <w:rPr>
          <w:snapToGrid w:val="0"/>
        </w:rPr>
        <w:t xml:space="preserve"> from moneys standing to the credit of the Account.</w:t>
      </w:r>
    </w:p>
    <w:p>
      <w:pPr>
        <w:pStyle w:val="Subsection"/>
        <w:rPr>
          <w:snapToGrid w:val="0"/>
        </w:rPr>
      </w:pPr>
      <w:r>
        <w:rPr>
          <w:snapToGrid w:val="0"/>
        </w:rPr>
        <w:tab/>
        <w:t>(7)</w:t>
      </w:r>
      <w:r>
        <w:rPr>
          <w:snapToGrid w:val="0"/>
        </w:rPr>
        <w:tab/>
        <w:t xml:space="preserve">Moneys to the credit of a sinking fund created for the purpose of the redemption of moneys borrowed by the </w:t>
      </w:r>
      <w:r>
        <w:t>Authority</w:t>
      </w:r>
      <w:r>
        <w:rPr>
          <w:snapToGrid w:val="0"/>
        </w:rPr>
        <w:t xml:space="preserve"> under section 63 shall, until such time as they are required for that purpose, be invested by the Treasurer in such securities as he may think fit.</w:t>
      </w:r>
    </w:p>
    <w:p>
      <w:pPr>
        <w:pStyle w:val="Subsection"/>
        <w:rPr>
          <w:snapToGrid w:val="0"/>
        </w:rPr>
      </w:pPr>
      <w:r>
        <w:rPr>
          <w:snapToGrid w:val="0"/>
        </w:rPr>
        <w:tab/>
        <w:t>(8)</w:t>
      </w:r>
      <w:r>
        <w:rPr>
          <w:snapToGrid w:val="0"/>
        </w:rPr>
        <w:tab/>
        <w:t xml:space="preserve">Moneys to the credit of the Account not immediately required for the purposes of this Act may be invested by the Treasurer on behalf of the </w:t>
      </w:r>
      <w:r>
        <w:t>Authority</w:t>
      </w:r>
      <w:r>
        <w:rPr>
          <w:snapToGrid w:val="0"/>
        </w:rPr>
        <w:t xml:space="preserve"> in such securities as he may think fit.</w:t>
      </w:r>
    </w:p>
    <w:p>
      <w:pPr>
        <w:pStyle w:val="Footnotesection"/>
      </w:pPr>
      <w:r>
        <w:tab/>
        <w:t>[Section 62 amended by No. 6 of 1993 s. 11 and 14(3); No. 49 of 1996 s. 64; No. 28 of 2006 s. 330 and 332; No. 77 of 2006 s. 4 and 17]</w:t>
      </w:r>
    </w:p>
    <w:p>
      <w:pPr>
        <w:pStyle w:val="Heading5"/>
        <w:rPr>
          <w:snapToGrid w:val="0"/>
        </w:rPr>
      </w:pPr>
      <w:bookmarkStart w:id="556" w:name="_Toc417967506"/>
      <w:bookmarkStart w:id="557" w:name="_Toc519921956"/>
      <w:bookmarkStart w:id="558" w:name="_Toc131396777"/>
      <w:bookmarkStart w:id="559" w:name="_Toc202173177"/>
      <w:r>
        <w:rPr>
          <w:rStyle w:val="CharSectno"/>
        </w:rPr>
        <w:t>63</w:t>
      </w:r>
      <w:r>
        <w:rPr>
          <w:snapToGrid w:val="0"/>
        </w:rPr>
        <w:t>.</w:t>
      </w:r>
      <w:r>
        <w:rPr>
          <w:snapToGrid w:val="0"/>
        </w:rPr>
        <w:tab/>
        <w:t>Power to raise money</w:t>
      </w:r>
      <w:bookmarkEnd w:id="556"/>
      <w:bookmarkEnd w:id="557"/>
      <w:bookmarkEnd w:id="558"/>
      <w:bookmarkEnd w:id="559"/>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from time to time, with the approval of the Governor, given on the recommendation of the Minister and the Treasurer — </w:t>
      </w:r>
    </w:p>
    <w:p>
      <w:pPr>
        <w:pStyle w:val="Indenta"/>
        <w:rPr>
          <w:snapToGrid w:val="0"/>
        </w:rPr>
      </w:pPr>
      <w:r>
        <w:rPr>
          <w:snapToGrid w:val="0"/>
        </w:rPr>
        <w:tab/>
        <w:t>(a)</w:t>
      </w:r>
      <w:r>
        <w:rPr>
          <w:snapToGrid w:val="0"/>
        </w:rPr>
        <w:tab/>
        <w:t xml:space="preserve">borrow and reborrow moneys by the creation and issue and sale of debentures and of inscribed stock for the purpose of raising the funds of the </w:t>
      </w:r>
      <w:r>
        <w:t>Authority</w:t>
      </w:r>
      <w:r>
        <w:rPr>
          <w:snapToGrid w:val="0"/>
        </w:rPr>
        <w:t xml:space="preserve"> for the effectual execution of this Act;</w:t>
      </w:r>
    </w:p>
    <w:p>
      <w:pPr>
        <w:pStyle w:val="Indenta"/>
        <w:rPr>
          <w:snapToGrid w:val="0"/>
        </w:rPr>
      </w:pPr>
      <w:r>
        <w:rPr>
          <w:snapToGrid w:val="0"/>
        </w:rPr>
        <w:tab/>
        <w:t>(b)</w:t>
      </w:r>
      <w:r>
        <w:rPr>
          <w:snapToGrid w:val="0"/>
        </w:rPr>
        <w:tab/>
        <w:t xml:space="preserve">create and issue debentures and inscribed stock in exchange for the debentures issued in respect of moneys previously borrowed by the </w:t>
      </w:r>
      <w:r>
        <w:t>Authority</w:t>
      </w:r>
      <w:r>
        <w:rPr>
          <w:snapToGrid w:val="0"/>
        </w:rPr>
        <w:t xml:space="preserve"> and not repaid;</w:t>
      </w:r>
    </w:p>
    <w:p>
      <w:pPr>
        <w:pStyle w:val="Indenta"/>
        <w:rPr>
          <w:snapToGrid w:val="0"/>
        </w:rPr>
      </w:pPr>
      <w:r>
        <w:rPr>
          <w:snapToGrid w:val="0"/>
        </w:rPr>
        <w:tab/>
        <w:t>(c)</w:t>
      </w:r>
      <w:r>
        <w:rPr>
          <w:snapToGrid w:val="0"/>
        </w:rPr>
        <w:tab/>
        <w:t>create and issue and sell any debentures and inscribed stock for the purpose of raising money for redeeming any outstanding loans and paying any expenses incurred in the creation and issue of debentures and inscribed stock and otherwise carrying out the provisions of this Act;</w:t>
      </w:r>
    </w:p>
    <w:p>
      <w:pPr>
        <w:pStyle w:val="Indenta"/>
        <w:rPr>
          <w:snapToGrid w:val="0"/>
        </w:rPr>
      </w:pPr>
      <w:r>
        <w:rPr>
          <w:snapToGrid w:val="0"/>
        </w:rPr>
        <w:tab/>
        <w:t>(d)</w:t>
      </w:r>
      <w:r>
        <w:rPr>
          <w:snapToGrid w:val="0"/>
        </w:rPr>
        <w:tab/>
        <w:t>effect any conversion authorised by this section either by arrangement with the holders of existing debentures or registered owners of inscribed stock, or by the purchase of the debentures or inscribed stock out of moneys raised by the sale of debentures and inscribed stock, or partly in one way and partly in the other.</w:t>
      </w:r>
    </w:p>
    <w:p>
      <w:pPr>
        <w:pStyle w:val="Subsection"/>
        <w:rPr>
          <w:snapToGrid w:val="0"/>
        </w:rPr>
      </w:pPr>
      <w:r>
        <w:rPr>
          <w:snapToGrid w:val="0"/>
        </w:rPr>
        <w:tab/>
        <w:t>(2)</w:t>
      </w:r>
      <w:r>
        <w:rPr>
          <w:snapToGrid w:val="0"/>
        </w:rPr>
        <w:tab/>
        <w:t xml:space="preserve">The Minister and the Treasurer shall not make a recommendation under subsection (1) unless a proposal showing the term and particulars of the proposed loan, the rate of interest to be paid thereon, the manner in which the loan is to be repaid and the purposes to which the moneys borrowed are to be applied has been submitted to them by the </w:t>
      </w:r>
      <w:r>
        <w:t>Authority</w:t>
      </w:r>
      <w:r>
        <w:rPr>
          <w:snapToGrid w:val="0"/>
        </w:rPr>
        <w:t xml:space="preserve"> and approved by them.</w:t>
      </w:r>
    </w:p>
    <w:p>
      <w:pPr>
        <w:pStyle w:val="Subsection"/>
        <w:rPr>
          <w:snapToGrid w:val="0"/>
        </w:rPr>
      </w:pPr>
      <w:r>
        <w:rPr>
          <w:snapToGrid w:val="0"/>
        </w:rPr>
        <w:tab/>
        <w:t>(3)</w:t>
      </w:r>
      <w:r>
        <w:rPr>
          <w:snapToGrid w:val="0"/>
        </w:rPr>
        <w:tab/>
        <w:t xml:space="preserve">Any moneys borrowed by the </w:t>
      </w:r>
      <w:r>
        <w:t>Authority</w:t>
      </w:r>
      <w:r>
        <w:rPr>
          <w:snapToGrid w:val="0"/>
        </w:rPr>
        <w:t xml:space="preserve"> under this section —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 </w:t>
      </w:r>
    </w:p>
    <w:p>
      <w:pPr>
        <w:pStyle w:val="Indenti"/>
        <w:rPr>
          <w:snapToGrid w:val="0"/>
        </w:rPr>
      </w:pPr>
      <w:r>
        <w:rPr>
          <w:snapToGrid w:val="0"/>
        </w:rPr>
        <w:tab/>
        <w:t>(i)</w:t>
      </w:r>
      <w:r>
        <w:rPr>
          <w:snapToGrid w:val="0"/>
        </w:rPr>
        <w:tab/>
        <w:t>by the creation and issue of debentures;</w:t>
      </w:r>
    </w:p>
    <w:p>
      <w:pPr>
        <w:pStyle w:val="Indenti"/>
        <w:rPr>
          <w:snapToGrid w:val="0"/>
        </w:rPr>
      </w:pPr>
      <w:r>
        <w:rPr>
          <w:snapToGrid w:val="0"/>
        </w:rPr>
        <w:tab/>
        <w:t>(ii)</w:t>
      </w:r>
      <w:r>
        <w:rPr>
          <w:snapToGrid w:val="0"/>
        </w:rPr>
        <w:tab/>
        <w:t>by the creation and issue of inscribed stock; or</w:t>
      </w:r>
    </w:p>
    <w:p>
      <w:pPr>
        <w:pStyle w:val="Indenti"/>
        <w:rPr>
          <w:snapToGrid w:val="0"/>
        </w:rPr>
      </w:pPr>
      <w:r>
        <w:rPr>
          <w:snapToGrid w:val="0"/>
        </w:rPr>
        <w:tab/>
        <w:t>(iii)</w:t>
      </w:r>
      <w:r>
        <w:rPr>
          <w:snapToGrid w:val="0"/>
        </w:rPr>
        <w:tab/>
        <w:t>partly as provided by subparagraph (i) and partly as provided by subparagraph (ii).</w:t>
      </w:r>
    </w:p>
    <w:p>
      <w:pPr>
        <w:pStyle w:val="Subsection"/>
        <w:rPr>
          <w:snapToGrid w:val="0"/>
        </w:rPr>
      </w:pPr>
      <w:r>
        <w:rPr>
          <w:snapToGrid w:val="0"/>
        </w:rPr>
        <w:tab/>
        <w:t>(4)</w:t>
      </w:r>
      <w:r>
        <w:rPr>
          <w:snapToGrid w:val="0"/>
        </w:rPr>
        <w:tab/>
        <w:t xml:space="preserve">For the purpose of making provision to repay either the whole or any part of any loan raised by the </w:t>
      </w:r>
      <w:r>
        <w:t>Authority</w:t>
      </w:r>
      <w:r>
        <w:rPr>
          <w:snapToGrid w:val="0"/>
        </w:rPr>
        <w:t xml:space="preserve"> under this section the </w:t>
      </w:r>
      <w:r>
        <w:t>Authority</w:t>
      </w:r>
      <w:r>
        <w:rPr>
          <w:snapToGrid w:val="0"/>
        </w:rPr>
        <w:t xml:space="preserve"> may, under and subject to this section, borrow the moneys necessary for that purpose before the loan or part of it becomes repayable.</w:t>
      </w:r>
    </w:p>
    <w:p>
      <w:pPr>
        <w:pStyle w:val="Subsection"/>
        <w:rPr>
          <w:snapToGrid w:val="0"/>
        </w:rPr>
      </w:pPr>
      <w:r>
        <w:rPr>
          <w:snapToGrid w:val="0"/>
        </w:rPr>
        <w:tab/>
        <w:t>(5)</w:t>
      </w:r>
      <w:r>
        <w:rPr>
          <w:snapToGrid w:val="0"/>
        </w:rPr>
        <w:tab/>
        <w:t xml:space="preserve">The due repayment of all moneys borrowed by the </w:t>
      </w:r>
      <w:r>
        <w:t>Authority</w:t>
      </w:r>
      <w:r>
        <w:rPr>
          <w:snapToGrid w:val="0"/>
        </w:rPr>
        <w:t xml:space="preserve"> under this section and the payment of all interest thereon are hereby guaranteed by the Government of the State.</w:t>
      </w:r>
    </w:p>
    <w:p>
      <w:pPr>
        <w:pStyle w:val="Subsection"/>
        <w:rPr>
          <w:snapToGrid w:val="0"/>
        </w:rPr>
      </w:pPr>
      <w:r>
        <w:rPr>
          <w:snapToGrid w:val="0"/>
        </w:rPr>
        <w:tab/>
        <w:t>(6)</w:t>
      </w:r>
      <w:r>
        <w:rPr>
          <w:snapToGrid w:val="0"/>
        </w:rPr>
        <w:tab/>
        <w:t xml:space="preserve">Any sums required by the Treasurer for fulfilling any guarantee given by this Act shall be charged to the Consolidated Account which is hereby to the necessary extent appropriated accordingly, and any sums received or recovered by the Treasurer from the </w:t>
      </w:r>
      <w:r>
        <w:t>Authority</w:t>
      </w:r>
      <w:r>
        <w:rPr>
          <w:snapToGrid w:val="0"/>
        </w:rPr>
        <w:t xml:space="preserve"> or otherwise in respect of a sum so charged by the Treasurer shall be credited to the Consolidated Account.</w:t>
      </w:r>
    </w:p>
    <w:p>
      <w:pPr>
        <w:pStyle w:val="Footnotesection"/>
      </w:pPr>
      <w:r>
        <w:tab/>
        <w:t xml:space="preserve">[Section 63 amended by No. 98 of 1985 s. 3; No. 6 of 1993 s. 11; No. 49 of 1996 s. 64; No. 28 of 2006 s. 332; No. 77 of 2006 s. 4.] </w:t>
      </w:r>
    </w:p>
    <w:p>
      <w:pPr>
        <w:pStyle w:val="Heading5"/>
        <w:rPr>
          <w:snapToGrid w:val="0"/>
        </w:rPr>
      </w:pPr>
      <w:bookmarkStart w:id="560" w:name="_Toc417967507"/>
      <w:bookmarkStart w:id="561" w:name="_Toc519921957"/>
      <w:bookmarkStart w:id="562" w:name="_Toc131396778"/>
      <w:bookmarkStart w:id="563" w:name="_Toc202173178"/>
      <w:r>
        <w:rPr>
          <w:rStyle w:val="CharSectno"/>
        </w:rPr>
        <w:t>64</w:t>
      </w:r>
      <w:r>
        <w:rPr>
          <w:snapToGrid w:val="0"/>
        </w:rPr>
        <w:t>.</w:t>
      </w:r>
      <w:r>
        <w:rPr>
          <w:snapToGrid w:val="0"/>
        </w:rPr>
        <w:tab/>
        <w:t>Provisions as to debentures and inscribed stock</w:t>
      </w:r>
      <w:bookmarkEnd w:id="560"/>
      <w:bookmarkEnd w:id="561"/>
      <w:bookmarkEnd w:id="562"/>
      <w:bookmarkEnd w:id="563"/>
      <w:r>
        <w:rPr>
          <w:snapToGrid w:val="0"/>
        </w:rPr>
        <w:t xml:space="preserve"> </w:t>
      </w:r>
    </w:p>
    <w:p>
      <w:pPr>
        <w:pStyle w:val="Subsection"/>
        <w:rPr>
          <w:snapToGrid w:val="0"/>
        </w:rPr>
      </w:pPr>
      <w:r>
        <w:rPr>
          <w:snapToGrid w:val="0"/>
        </w:rPr>
        <w:tab/>
        <w:t>(1)</w:t>
      </w:r>
      <w:r>
        <w:rPr>
          <w:snapToGrid w:val="0"/>
        </w:rPr>
        <w:tab/>
        <w:t xml:space="preserve">Debentures or inscribed stock shall not be issued by the </w:t>
      </w:r>
      <w:r>
        <w:t>Authority</w:t>
      </w:r>
      <w:r>
        <w:rPr>
          <w:snapToGrid w:val="0"/>
        </w:rPr>
        <w:t xml:space="preserve"> otherwise than — </w:t>
      </w:r>
    </w:p>
    <w:p>
      <w:pPr>
        <w:pStyle w:val="Indenta"/>
        <w:rPr>
          <w:snapToGrid w:val="0"/>
        </w:rPr>
      </w:pPr>
      <w:r>
        <w:rPr>
          <w:snapToGrid w:val="0"/>
        </w:rPr>
        <w:tab/>
        <w:t>(a)</w:t>
      </w:r>
      <w:r>
        <w:rPr>
          <w:snapToGrid w:val="0"/>
        </w:rPr>
        <w:tab/>
        <w:t>in a form authorised by the Treasurer; or</w:t>
      </w:r>
    </w:p>
    <w:p>
      <w:pPr>
        <w:pStyle w:val="Indenta"/>
        <w:rPr>
          <w:snapToGrid w:val="0"/>
        </w:rPr>
      </w:pPr>
      <w:r>
        <w:rPr>
          <w:snapToGrid w:val="0"/>
        </w:rPr>
        <w:tab/>
        <w:t>(b)</w:t>
      </w:r>
      <w:r>
        <w:rPr>
          <w:snapToGrid w:val="0"/>
        </w:rPr>
        <w:tab/>
        <w:t>as may be prescribed.</w:t>
      </w:r>
    </w:p>
    <w:p>
      <w:pPr>
        <w:pStyle w:val="Subsection"/>
        <w:rPr>
          <w:snapToGrid w:val="0"/>
        </w:rPr>
      </w:pPr>
      <w:r>
        <w:rPr>
          <w:snapToGrid w:val="0"/>
        </w:rPr>
        <w:tab/>
        <w:t>(2)</w:t>
      </w:r>
      <w:r>
        <w:rPr>
          <w:snapToGrid w:val="0"/>
        </w:rPr>
        <w:tab/>
        <w:t>Interest secured by any debenture is payable half yearly or on such other dates as are specified in the debenture at the rate and in the manner therein specified.</w:t>
      </w:r>
    </w:p>
    <w:p>
      <w:pPr>
        <w:pStyle w:val="Subsection"/>
        <w:rPr>
          <w:snapToGrid w:val="0"/>
        </w:rPr>
      </w:pPr>
      <w:r>
        <w:rPr>
          <w:snapToGrid w:val="0"/>
        </w:rPr>
        <w:tab/>
        <w:t>(3)</w:t>
      </w:r>
      <w:r>
        <w:rPr>
          <w:snapToGrid w:val="0"/>
        </w:rPr>
        <w:tab/>
        <w:t xml:space="preserve">No notice of any trust, express, implied or constructive, shall be received by the </w:t>
      </w:r>
      <w:r>
        <w:t>Authority</w:t>
      </w:r>
      <w:r>
        <w:rPr>
          <w:snapToGrid w:val="0"/>
        </w:rPr>
        <w:t xml:space="preserve"> or by an officer of the </w:t>
      </w:r>
      <w:r>
        <w:t>Authority</w:t>
      </w:r>
      <w:r>
        <w:rPr>
          <w:snapToGrid w:val="0"/>
        </w:rPr>
        <w:t xml:space="preserve"> in relation to a debenture or any inscribed stock issued pursuant to this Act, and the </w:t>
      </w:r>
      <w:r>
        <w:t>Authority</w:t>
      </w:r>
      <w:r>
        <w:rPr>
          <w:snapToGrid w:val="0"/>
        </w:rPr>
        <w:t xml:space="preserve"> or the officer is not bound to see to the execution of any trust to which a debenture or inscribed stock may be subject.</w:t>
      </w:r>
    </w:p>
    <w:p>
      <w:pPr>
        <w:pStyle w:val="Subsection"/>
        <w:rPr>
          <w:snapToGrid w:val="0"/>
        </w:rPr>
      </w:pPr>
      <w:r>
        <w:rPr>
          <w:snapToGrid w:val="0"/>
        </w:rPr>
        <w:tab/>
        <w:t>(4)</w:t>
      </w:r>
      <w:r>
        <w:rPr>
          <w:snapToGrid w:val="0"/>
        </w:rPr>
        <w:tab/>
        <w:t xml:space="preserve">A person advancing money to the </w:t>
      </w:r>
      <w:r>
        <w:t>Authority</w:t>
      </w:r>
      <w:r>
        <w:rPr>
          <w:snapToGrid w:val="0"/>
        </w:rPr>
        <w:t xml:space="preserve"> and receiving in consideration of the advance a debenture or inscribed stock issued under this Act is not bound to inquire into the application of the money advanced and is not in any way responsible for the non</w:t>
      </w:r>
      <w:r>
        <w:rPr>
          <w:snapToGrid w:val="0"/>
        </w:rPr>
        <w:noBreakHyphen/>
        <w:t>application or misapplication thereof.</w:t>
      </w:r>
    </w:p>
    <w:p>
      <w:pPr>
        <w:pStyle w:val="Subsection"/>
        <w:rPr>
          <w:snapToGrid w:val="0"/>
        </w:rPr>
      </w:pPr>
      <w:r>
        <w:rPr>
          <w:snapToGrid w:val="0"/>
        </w:rPr>
        <w:tab/>
        <w:t>(5)</w:t>
      </w:r>
      <w:r>
        <w:rPr>
          <w:snapToGrid w:val="0"/>
        </w:rPr>
        <w:tab/>
        <w:t xml:space="preserve">The </w:t>
      </w:r>
      <w:r>
        <w:t>Authority</w:t>
      </w:r>
      <w:r>
        <w:rPr>
          <w:snapToGrid w:val="0"/>
        </w:rPr>
        <w:t xml:space="preserve"> may pay brokerage in relation to any loan in respect of which a debenture or inscribed stock is issued.</w:t>
      </w:r>
    </w:p>
    <w:p>
      <w:pPr>
        <w:pStyle w:val="Subsection"/>
        <w:rPr>
          <w:snapToGrid w:val="0"/>
        </w:rPr>
      </w:pPr>
      <w:r>
        <w:rPr>
          <w:snapToGrid w:val="0"/>
        </w:rPr>
        <w:tab/>
        <w:t>(6)</w:t>
      </w:r>
      <w:r>
        <w:rPr>
          <w:snapToGrid w:val="0"/>
        </w:rPr>
        <w:tab/>
        <w:t xml:space="preserve">The </w:t>
      </w:r>
      <w:r>
        <w:t>Authority</w:t>
      </w:r>
      <w:r>
        <w:rPr>
          <w:snapToGrid w:val="0"/>
        </w:rPr>
        <w:t xml:space="preserve"> shall cause a register of debentures to be kept and within a reasonable time after the issue of a debenture shall cause to be made an entry in the register specifying the date, terms and amount of the debenture and, in the case of a debenture other than a bearer debenture, the holder of the debenture.</w:t>
      </w:r>
    </w:p>
    <w:p>
      <w:pPr>
        <w:pStyle w:val="Subsection"/>
        <w:rPr>
          <w:snapToGrid w:val="0"/>
        </w:rPr>
      </w:pPr>
      <w:r>
        <w:rPr>
          <w:snapToGrid w:val="0"/>
        </w:rPr>
        <w:tab/>
        <w:t>(7)</w:t>
      </w:r>
      <w:r>
        <w:rPr>
          <w:snapToGrid w:val="0"/>
        </w:rPr>
        <w:tab/>
        <w:t>Regulations made under this Act may make provision for the creation and issue of inscribed stock and in relation to the transfer or transmission of, and dealings in, inscribed stock.</w:t>
      </w:r>
    </w:p>
    <w:p>
      <w:pPr>
        <w:pStyle w:val="Footnotesection"/>
      </w:pPr>
      <w:r>
        <w:tab/>
        <w:t xml:space="preserve">[Section 64 inserted by No. 62 of 1983 s. 5; amended by No. 28 of 2006 s. 332.] </w:t>
      </w:r>
    </w:p>
    <w:p>
      <w:pPr>
        <w:pStyle w:val="Heading5"/>
        <w:rPr>
          <w:snapToGrid w:val="0"/>
        </w:rPr>
      </w:pPr>
      <w:bookmarkStart w:id="564" w:name="_Toc417967508"/>
      <w:bookmarkStart w:id="565" w:name="_Toc519921958"/>
      <w:bookmarkStart w:id="566" w:name="_Toc131396779"/>
      <w:bookmarkStart w:id="567" w:name="_Toc202173179"/>
      <w:r>
        <w:rPr>
          <w:rStyle w:val="CharSectno"/>
        </w:rPr>
        <w:t>65</w:t>
      </w:r>
      <w:r>
        <w:rPr>
          <w:snapToGrid w:val="0"/>
        </w:rPr>
        <w:t>.</w:t>
      </w:r>
      <w:r>
        <w:rPr>
          <w:snapToGrid w:val="0"/>
        </w:rPr>
        <w:tab/>
        <w:t xml:space="preserve">Application of </w:t>
      </w:r>
      <w:bookmarkEnd w:id="564"/>
      <w:bookmarkEnd w:id="565"/>
      <w:bookmarkEnd w:id="566"/>
      <w:r>
        <w:rPr>
          <w:i/>
          <w:iCs/>
        </w:rPr>
        <w:t>Financial Management Act 2006</w:t>
      </w:r>
      <w:r>
        <w:t xml:space="preserve"> and </w:t>
      </w:r>
      <w:r>
        <w:rPr>
          <w:i/>
          <w:iCs/>
        </w:rPr>
        <w:t>Auditor General Act 2006</w:t>
      </w:r>
      <w:bookmarkEnd w:id="567"/>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statutory authorities apply to and in respect of the </w:t>
      </w:r>
      <w:r>
        <w:t>Authority</w:t>
      </w:r>
      <w:r>
        <w:rPr>
          <w:snapToGrid w:val="0"/>
        </w:rPr>
        <w:t xml:space="preserve"> and its operations.</w:t>
      </w:r>
    </w:p>
    <w:p>
      <w:pPr>
        <w:pStyle w:val="Footnotesection"/>
      </w:pPr>
      <w:r>
        <w:tab/>
        <w:t xml:space="preserve">[Section 65 inserted by No. 98 of 1985 s. 3; amended by No. 28 of 2006 s. 332; No. 77 of 2006 s. 17.] </w:t>
      </w:r>
    </w:p>
    <w:p>
      <w:pPr>
        <w:pStyle w:val="Ednotesection"/>
      </w:pPr>
      <w:r>
        <w:t>[</w:t>
      </w:r>
      <w:r>
        <w:rPr>
          <w:b/>
        </w:rPr>
        <w:t>66</w:t>
      </w:r>
      <w:r>
        <w:rPr>
          <w:b/>
        </w:rPr>
        <w:noBreakHyphen/>
        <w:t>67.</w:t>
      </w:r>
      <w:r>
        <w:t xml:space="preserve"> </w:t>
      </w:r>
      <w:r>
        <w:tab/>
        <w:t xml:space="preserve">Deleted by No. 98 of 1985 s. 3.] </w:t>
      </w:r>
    </w:p>
    <w:p>
      <w:pPr>
        <w:pStyle w:val="Heading2"/>
      </w:pPr>
      <w:bookmarkStart w:id="568" w:name="_Toc116712910"/>
      <w:bookmarkStart w:id="569" w:name="_Toc116811327"/>
      <w:bookmarkStart w:id="570" w:name="_Toc131396780"/>
      <w:bookmarkStart w:id="571" w:name="_Toc139275341"/>
      <w:bookmarkStart w:id="572" w:name="_Toc139691370"/>
      <w:bookmarkStart w:id="573" w:name="_Toc141767972"/>
      <w:bookmarkStart w:id="574" w:name="_Toc141770722"/>
      <w:bookmarkStart w:id="575" w:name="_Toc143395822"/>
      <w:bookmarkStart w:id="576" w:name="_Toc143569016"/>
      <w:bookmarkStart w:id="577" w:name="_Toc143569121"/>
      <w:bookmarkStart w:id="578" w:name="_Toc143592676"/>
      <w:bookmarkStart w:id="579" w:name="_Toc144543128"/>
      <w:bookmarkStart w:id="580" w:name="_Toc155597352"/>
      <w:bookmarkStart w:id="581" w:name="_Toc157914673"/>
      <w:bookmarkStart w:id="582" w:name="_Toc196124094"/>
      <w:bookmarkStart w:id="583" w:name="_Toc202173180"/>
      <w:r>
        <w:rPr>
          <w:rStyle w:val="CharPartNo"/>
        </w:rPr>
        <w:t>Part VIII</w:t>
      </w:r>
      <w:r>
        <w:rPr>
          <w:rStyle w:val="CharDivNo"/>
        </w:rPr>
        <w:t> </w:t>
      </w:r>
      <w:r>
        <w:t>—</w:t>
      </w:r>
      <w:r>
        <w:rPr>
          <w:rStyle w:val="CharDivText"/>
        </w:rPr>
        <w:t> </w:t>
      </w:r>
      <w:r>
        <w:rPr>
          <w:rStyle w:val="CharPartText"/>
        </w:rPr>
        <w:t>Miscellaneous</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r>
        <w:rPr>
          <w:rStyle w:val="CharPartText"/>
        </w:rPr>
        <w:t xml:space="preserve"> </w:t>
      </w:r>
    </w:p>
    <w:p>
      <w:pPr>
        <w:pStyle w:val="Heading5"/>
        <w:rPr>
          <w:snapToGrid w:val="0"/>
        </w:rPr>
      </w:pPr>
      <w:bookmarkStart w:id="584" w:name="_Toc417967509"/>
      <w:bookmarkStart w:id="585" w:name="_Toc519921959"/>
      <w:bookmarkStart w:id="586" w:name="_Toc131396781"/>
      <w:bookmarkStart w:id="587" w:name="_Toc202173181"/>
      <w:r>
        <w:rPr>
          <w:rStyle w:val="CharSectno"/>
        </w:rPr>
        <w:t>68</w:t>
      </w:r>
      <w:r>
        <w:rPr>
          <w:snapToGrid w:val="0"/>
        </w:rPr>
        <w:t>.</w:t>
      </w:r>
      <w:r>
        <w:rPr>
          <w:snapToGrid w:val="0"/>
        </w:rPr>
        <w:tab/>
        <w:t>Power to extend time</w:t>
      </w:r>
      <w:bookmarkEnd w:id="584"/>
      <w:bookmarkEnd w:id="585"/>
      <w:bookmarkEnd w:id="586"/>
      <w:bookmarkEnd w:id="587"/>
      <w:r>
        <w:rPr>
          <w:snapToGrid w:val="0"/>
        </w:rPr>
        <w:t xml:space="preserve"> </w:t>
      </w:r>
    </w:p>
    <w:p>
      <w:pPr>
        <w:pStyle w:val="Subsection"/>
        <w:rPr>
          <w:snapToGrid w:val="0"/>
        </w:rPr>
      </w:pPr>
      <w:r>
        <w:rPr>
          <w:snapToGrid w:val="0"/>
        </w:rPr>
        <w:tab/>
      </w:r>
      <w:r>
        <w:rPr>
          <w:snapToGrid w:val="0"/>
        </w:rPr>
        <w:tab/>
        <w:t xml:space="preserve">The </w:t>
      </w:r>
      <w:r>
        <w:t>Authority</w:t>
      </w:r>
      <w:r>
        <w:rPr>
          <w:snapToGrid w:val="0"/>
        </w:rPr>
        <w:t xml:space="preserve"> may, in cases of hardship, extend the due date for the payment of any moneys payable to the </w:t>
      </w:r>
      <w:r>
        <w:t>Authority</w:t>
      </w:r>
      <w:r>
        <w:rPr>
          <w:snapToGrid w:val="0"/>
        </w:rPr>
        <w:t xml:space="preserve"> by a purchaser, tenant, mortgagor or other debtor, for such time, and upon such terms and conditions, as the </w:t>
      </w:r>
      <w:r>
        <w:t>Authority</w:t>
      </w:r>
      <w:r>
        <w:rPr>
          <w:snapToGrid w:val="0"/>
        </w:rPr>
        <w:t xml:space="preserve"> with the approval of the Minister may determine.</w:t>
      </w:r>
    </w:p>
    <w:p>
      <w:pPr>
        <w:pStyle w:val="Footnotesection"/>
      </w:pPr>
      <w:r>
        <w:tab/>
        <w:t>[Section 68 amended by No. 28 of 2006 s. 332.]</w:t>
      </w:r>
    </w:p>
    <w:p>
      <w:pPr>
        <w:pStyle w:val="Heading5"/>
      </w:pPr>
      <w:bookmarkStart w:id="588" w:name="_Toc138751141"/>
      <w:bookmarkStart w:id="589" w:name="_Toc139166882"/>
      <w:bookmarkStart w:id="590" w:name="_Toc202173182"/>
      <w:bookmarkStart w:id="591" w:name="_Toc417967511"/>
      <w:bookmarkStart w:id="592" w:name="_Toc519921961"/>
      <w:bookmarkStart w:id="593" w:name="_Toc131396783"/>
      <w:r>
        <w:rPr>
          <w:rStyle w:val="CharSectno"/>
        </w:rPr>
        <w:t>69</w:t>
      </w:r>
      <w:r>
        <w:t>.</w:t>
      </w:r>
      <w:r>
        <w:tab/>
        <w:t>Protection from personal liability</w:t>
      </w:r>
      <w:bookmarkEnd w:id="588"/>
      <w:bookmarkEnd w:id="589"/>
      <w:bookmarkEnd w:id="590"/>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Footnotesection"/>
      </w:pPr>
      <w:r>
        <w:tab/>
        <w:t>[Section 69 inserted by No. 28 of 2006 s. 331.]</w:t>
      </w:r>
    </w:p>
    <w:p>
      <w:pPr>
        <w:pStyle w:val="Heading5"/>
        <w:rPr>
          <w:snapToGrid w:val="0"/>
        </w:rPr>
      </w:pPr>
      <w:bookmarkStart w:id="594" w:name="_Toc202173183"/>
      <w:r>
        <w:rPr>
          <w:rStyle w:val="CharSectno"/>
        </w:rPr>
        <w:t>70</w:t>
      </w:r>
      <w:r>
        <w:rPr>
          <w:snapToGrid w:val="0"/>
        </w:rPr>
        <w:t>.</w:t>
      </w:r>
      <w:r>
        <w:rPr>
          <w:snapToGrid w:val="0"/>
        </w:rPr>
        <w:tab/>
        <w:t>Regulations generally</w:t>
      </w:r>
      <w:bookmarkEnd w:id="591"/>
      <w:bookmarkEnd w:id="592"/>
      <w:bookmarkEnd w:id="593"/>
      <w:bookmarkEnd w:id="594"/>
      <w:r>
        <w:rPr>
          <w:snapToGrid w:val="0"/>
        </w:rPr>
        <w:t xml:space="preserve"> </w:t>
      </w:r>
    </w:p>
    <w:p>
      <w:pPr>
        <w:pStyle w:val="Subsection"/>
        <w:rPr>
          <w:snapToGrid w:val="0"/>
        </w:rPr>
      </w:pPr>
      <w:r>
        <w:rPr>
          <w:snapToGrid w:val="0"/>
        </w:rPr>
        <w:tab/>
        <w:t>(1)</w:t>
      </w:r>
      <w:r>
        <w:rPr>
          <w:snapToGrid w:val="0"/>
        </w:rPr>
        <w:tab/>
        <w:t xml:space="preserve">The Governor may make such regulations, not inconsistent with this Act, as he considers necessary or convenient for giving effect to the objects and purposes of this Act or for facilitating the operation of this Act and of the </w:t>
      </w:r>
      <w:r>
        <w:t>Authority</w:t>
      </w:r>
      <w:r>
        <w:rPr>
          <w:snapToGrid w:val="0"/>
        </w:rPr>
        <w:t xml:space="preserve"> under this Act.</w:t>
      </w:r>
    </w:p>
    <w:p>
      <w:pPr>
        <w:pStyle w:val="Subsection"/>
        <w:keepNext/>
        <w:rPr>
          <w:snapToGrid w:val="0"/>
        </w:rPr>
      </w:pPr>
      <w:r>
        <w:rPr>
          <w:snapToGrid w:val="0"/>
        </w:rPr>
        <w:tab/>
        <w:t>(2)</w:t>
      </w:r>
      <w:r>
        <w:rPr>
          <w:snapToGrid w:val="0"/>
        </w:rPr>
        <w:tab/>
        <w:t>A regulation may be made under this Act — </w:t>
      </w:r>
    </w:p>
    <w:p>
      <w:pPr>
        <w:pStyle w:val="Indenta"/>
        <w:rPr>
          <w:snapToGrid w:val="0"/>
        </w:rPr>
      </w:pPr>
      <w:r>
        <w:rPr>
          <w:snapToGrid w:val="0"/>
        </w:rPr>
        <w:tab/>
        <w:t>(a)</w:t>
      </w:r>
      <w:r>
        <w:rPr>
          <w:snapToGrid w:val="0"/>
        </w:rPr>
        <w:tab/>
        <w:t>so as to apply generally or in a particular class of case, or particular classes of cases, at all times or at a specified time or specified times;</w:t>
      </w:r>
    </w:p>
    <w:p>
      <w:pPr>
        <w:pStyle w:val="Indenta"/>
        <w:rPr>
          <w:snapToGrid w:val="0"/>
        </w:rPr>
      </w:pPr>
      <w:r>
        <w:rPr>
          <w:snapToGrid w:val="0"/>
        </w:rPr>
        <w:tab/>
        <w:t>(b)</w:t>
      </w:r>
      <w:r>
        <w:rPr>
          <w:snapToGrid w:val="0"/>
        </w:rPr>
        <w:tab/>
        <w:t xml:space="preserve">so as to require a matter affected by it to be in accordance with a specified requirement, or as approved by, or to the satisfaction of, the </w:t>
      </w:r>
      <w:r>
        <w:t>Authority</w:t>
      </w:r>
      <w:r>
        <w:rPr>
          <w:snapToGrid w:val="0"/>
        </w:rPr>
        <w:t xml:space="preserve"> or a specified person or body, or class of person or body, and so as to delegate to or confer upon the </w:t>
      </w:r>
      <w:r>
        <w:t>Authority</w:t>
      </w:r>
      <w:r>
        <w:rPr>
          <w:snapToGrid w:val="0"/>
        </w:rPr>
        <w:t xml:space="preserve"> or a specified person or body, or class of person or body, a discretionary authority;</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or a class or classes of persons or things may be exempted from any provisions of the regulations either wholly or to such extent as is specified;</w:t>
      </w:r>
    </w:p>
    <w:p>
      <w:pPr>
        <w:pStyle w:val="Indenta"/>
        <w:rPr>
          <w:snapToGrid w:val="0"/>
        </w:rPr>
      </w:pPr>
      <w:r>
        <w:rPr>
          <w:snapToGrid w:val="0"/>
        </w:rPr>
        <w:tab/>
        <w:t>(d)</w:t>
      </w:r>
      <w:r>
        <w:rPr>
          <w:snapToGrid w:val="0"/>
        </w:rPr>
        <w:tab/>
        <w:t>so as to impose a penalty not exceeding $100 for a breach of any regulation.</w:t>
      </w:r>
    </w:p>
    <w:p>
      <w:pPr>
        <w:pStyle w:val="Footnotesection"/>
      </w:pPr>
      <w:r>
        <w:tab/>
        <w:t>[Section 70 amended by No. 28 of 2006 s. 332.]</w:t>
      </w:r>
    </w:p>
    <w:p>
      <w:pPr>
        <w:pStyle w:val="Heading5"/>
        <w:rPr>
          <w:snapToGrid w:val="0"/>
        </w:rPr>
      </w:pPr>
      <w:bookmarkStart w:id="595" w:name="_Toc417967512"/>
      <w:bookmarkStart w:id="596" w:name="_Toc519921962"/>
      <w:bookmarkStart w:id="597" w:name="_Toc131396784"/>
      <w:bookmarkStart w:id="598" w:name="_Toc202173184"/>
      <w:r>
        <w:rPr>
          <w:rStyle w:val="CharSectno"/>
        </w:rPr>
        <w:t>71</w:t>
      </w:r>
      <w:r>
        <w:rPr>
          <w:snapToGrid w:val="0"/>
        </w:rPr>
        <w:t>.</w:t>
      </w:r>
      <w:r>
        <w:rPr>
          <w:snapToGrid w:val="0"/>
        </w:rPr>
        <w:tab/>
        <w:t>Regulations as to fees</w:t>
      </w:r>
      <w:bookmarkEnd w:id="595"/>
      <w:bookmarkEnd w:id="596"/>
      <w:bookmarkEnd w:id="597"/>
      <w:bookmarkEnd w:id="598"/>
      <w:r>
        <w:rPr>
          <w:snapToGrid w:val="0"/>
        </w:rPr>
        <w:t xml:space="preserve"> </w:t>
      </w:r>
    </w:p>
    <w:p>
      <w:pPr>
        <w:pStyle w:val="Subsection"/>
        <w:rPr>
          <w:snapToGrid w:val="0"/>
        </w:rPr>
      </w:pPr>
      <w:r>
        <w:rPr>
          <w:snapToGrid w:val="0"/>
        </w:rPr>
        <w:tab/>
      </w:r>
      <w:r>
        <w:rPr>
          <w:snapToGrid w:val="0"/>
        </w:rPr>
        <w:tab/>
        <w:t>Without limiting the generality of section 70 the Governor may make regulations prescribing the fees to be paid — </w:t>
      </w:r>
    </w:p>
    <w:p>
      <w:pPr>
        <w:pStyle w:val="Indenta"/>
        <w:rPr>
          <w:snapToGrid w:val="0"/>
        </w:rPr>
      </w:pPr>
      <w:r>
        <w:rPr>
          <w:snapToGrid w:val="0"/>
        </w:rPr>
        <w:tab/>
        <w:t>(a)</w:t>
      </w:r>
      <w:r>
        <w:rPr>
          <w:snapToGrid w:val="0"/>
        </w:rPr>
        <w:tab/>
        <w:t>in respect of applications made under this Act;</w:t>
      </w:r>
    </w:p>
    <w:p>
      <w:pPr>
        <w:pStyle w:val="Indenta"/>
        <w:rPr>
          <w:snapToGrid w:val="0"/>
        </w:rPr>
      </w:pPr>
      <w:r>
        <w:rPr>
          <w:snapToGrid w:val="0"/>
        </w:rPr>
        <w:tab/>
        <w:t>(b)</w:t>
      </w:r>
      <w:r>
        <w:rPr>
          <w:snapToGrid w:val="0"/>
        </w:rPr>
        <w:tab/>
        <w:t>for any valuation, inspection, report, plan or specification prepared or made for the purposes of this Act;</w:t>
      </w:r>
    </w:p>
    <w:p>
      <w:pPr>
        <w:pStyle w:val="Indenta"/>
        <w:rPr>
          <w:snapToGrid w:val="0"/>
        </w:rPr>
      </w:pPr>
      <w:r>
        <w:rPr>
          <w:snapToGrid w:val="0"/>
        </w:rPr>
        <w:tab/>
        <w:t>(c)</w:t>
      </w:r>
      <w:r>
        <w:rPr>
          <w:snapToGrid w:val="0"/>
        </w:rPr>
        <w:tab/>
        <w:t xml:space="preserve">for the preparation by the </w:t>
      </w:r>
      <w:r>
        <w:t>Authority</w:t>
      </w:r>
      <w:r>
        <w:rPr>
          <w:snapToGrid w:val="0"/>
        </w:rPr>
        <w:t xml:space="preserve"> of tenancy agreements, contracts of sale, transfers, mortgages, discharges, releases and other instruments for the purposes of this Act;</w:t>
      </w:r>
    </w:p>
    <w:p>
      <w:pPr>
        <w:pStyle w:val="Indenta"/>
        <w:rPr>
          <w:snapToGrid w:val="0"/>
        </w:rPr>
      </w:pPr>
      <w:r>
        <w:rPr>
          <w:snapToGrid w:val="0"/>
        </w:rPr>
        <w:tab/>
        <w:t>(d)</w:t>
      </w:r>
      <w:r>
        <w:rPr>
          <w:snapToGrid w:val="0"/>
        </w:rPr>
        <w:tab/>
        <w:t xml:space="preserve">for the production by the </w:t>
      </w:r>
      <w:r>
        <w:t>Authority</w:t>
      </w:r>
      <w:r>
        <w:rPr>
          <w:snapToGrid w:val="0"/>
        </w:rPr>
        <w:t xml:space="preserve"> of documents of title to property and other instruments;</w:t>
      </w:r>
    </w:p>
    <w:p>
      <w:pPr>
        <w:pStyle w:val="Indenta"/>
        <w:rPr>
          <w:snapToGrid w:val="0"/>
        </w:rPr>
      </w:pPr>
      <w:r>
        <w:rPr>
          <w:snapToGrid w:val="0"/>
        </w:rPr>
        <w:tab/>
        <w:t>(e)</w:t>
      </w:r>
      <w:r>
        <w:rPr>
          <w:snapToGrid w:val="0"/>
        </w:rPr>
        <w:tab/>
        <w:t>for or with respect to the management, use, control, regulation and inspection of houses and other buildings and land maintained or caused to be maintained by the</w:t>
      </w:r>
      <w:r>
        <w:t xml:space="preserve"> Authority</w:t>
      </w:r>
      <w:r>
        <w:rPr>
          <w:snapToGrid w:val="0"/>
        </w:rPr>
        <w:t>,</w:t>
      </w:r>
    </w:p>
    <w:p>
      <w:pPr>
        <w:pStyle w:val="Subsection"/>
        <w:rPr>
          <w:snapToGrid w:val="0"/>
        </w:rPr>
      </w:pPr>
      <w:r>
        <w:rPr>
          <w:snapToGrid w:val="0"/>
        </w:rPr>
        <w:tab/>
      </w:r>
      <w:r>
        <w:rPr>
          <w:snapToGrid w:val="0"/>
        </w:rPr>
        <w:tab/>
        <w:t>and providing for the payment and recovery of such fees.</w:t>
      </w:r>
    </w:p>
    <w:p>
      <w:pPr>
        <w:pStyle w:val="Footnotesection"/>
      </w:pPr>
      <w:r>
        <w:tab/>
        <w:t>[Section 71 amended by No. 28 of 2006 s. 332.]</w:t>
      </w:r>
    </w:p>
    <w:p>
      <w:pPr>
        <w:pStyle w:val="Heading5"/>
        <w:rPr>
          <w:snapToGrid w:val="0"/>
        </w:rPr>
      </w:pPr>
      <w:bookmarkStart w:id="599" w:name="_Toc417967513"/>
      <w:bookmarkStart w:id="600" w:name="_Toc519921963"/>
      <w:bookmarkStart w:id="601" w:name="_Toc131396785"/>
      <w:bookmarkStart w:id="602" w:name="_Toc202173185"/>
      <w:r>
        <w:rPr>
          <w:rStyle w:val="CharSectno"/>
        </w:rPr>
        <w:t>72</w:t>
      </w:r>
      <w:r>
        <w:rPr>
          <w:snapToGrid w:val="0"/>
        </w:rPr>
        <w:t>.</w:t>
      </w:r>
      <w:r>
        <w:rPr>
          <w:snapToGrid w:val="0"/>
        </w:rPr>
        <w:tab/>
        <w:t>Payment of fees and duties</w:t>
      </w:r>
      <w:bookmarkEnd w:id="599"/>
      <w:bookmarkEnd w:id="600"/>
      <w:bookmarkEnd w:id="601"/>
      <w:bookmarkEnd w:id="602"/>
      <w:r>
        <w:rPr>
          <w:snapToGrid w:val="0"/>
        </w:rPr>
        <w:t xml:space="preserve"> </w:t>
      </w:r>
    </w:p>
    <w:p>
      <w:pPr>
        <w:pStyle w:val="Subsection"/>
        <w:rPr>
          <w:snapToGrid w:val="0"/>
        </w:rPr>
      </w:pPr>
      <w:r>
        <w:rPr>
          <w:snapToGrid w:val="0"/>
        </w:rPr>
        <w:tab/>
      </w:r>
      <w:r>
        <w:rPr>
          <w:snapToGrid w:val="0"/>
        </w:rPr>
        <w:tab/>
        <w:t xml:space="preserve">The </w:t>
      </w:r>
      <w:r>
        <w:t>Authority</w:t>
      </w:r>
      <w:r>
        <w:rPr>
          <w:snapToGrid w:val="0"/>
        </w:rPr>
        <w:t xml:space="preserve"> may pay registration fees and </w:t>
      </w:r>
      <w:r>
        <w:t xml:space="preserve">duty under the </w:t>
      </w:r>
      <w:r>
        <w:rPr>
          <w:i/>
          <w:iCs/>
        </w:rPr>
        <w:t>Duties Act 2008</w:t>
      </w:r>
      <w:r>
        <w:t xml:space="preserve"> </w:t>
      </w:r>
      <w:r>
        <w:rPr>
          <w:snapToGrid w:val="0"/>
        </w:rPr>
        <w:t>in relation to a sale made under Division 4 of Part III or a loan made under Division 1 of Part IV on behalf of the person to whom the sale or loan is made and may recover the amount so paid from him.</w:t>
      </w:r>
    </w:p>
    <w:p>
      <w:pPr>
        <w:pStyle w:val="Footnotesection"/>
      </w:pPr>
      <w:bookmarkStart w:id="603" w:name="_Toc417967514"/>
      <w:bookmarkStart w:id="604" w:name="_Toc519921964"/>
      <w:bookmarkStart w:id="605" w:name="_Toc131396786"/>
      <w:r>
        <w:tab/>
        <w:t>[Section 72 amended by No. 28 of 2006 s. 332; No. 12 of 2008 s. 52.]</w:t>
      </w:r>
    </w:p>
    <w:p>
      <w:pPr>
        <w:pStyle w:val="Heading5"/>
        <w:rPr>
          <w:snapToGrid w:val="0"/>
        </w:rPr>
      </w:pPr>
      <w:bookmarkStart w:id="606" w:name="_Toc202173186"/>
      <w:r>
        <w:rPr>
          <w:rStyle w:val="CharSectno"/>
        </w:rPr>
        <w:t>73</w:t>
      </w:r>
      <w:r>
        <w:rPr>
          <w:snapToGrid w:val="0"/>
        </w:rPr>
        <w:t>.</w:t>
      </w:r>
      <w:r>
        <w:rPr>
          <w:snapToGrid w:val="0"/>
        </w:rPr>
        <w:tab/>
        <w:t>Addition of certain amounts to balance of contract price or loan</w:t>
      </w:r>
      <w:bookmarkEnd w:id="603"/>
      <w:bookmarkEnd w:id="604"/>
      <w:bookmarkEnd w:id="605"/>
      <w:bookmarkEnd w:id="606"/>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add to the balance owing under a contract of sale under Division 4 of Part III or under a loan under Division 1 of Part IV — </w:t>
      </w:r>
    </w:p>
    <w:p>
      <w:pPr>
        <w:pStyle w:val="Indenta"/>
        <w:rPr>
          <w:snapToGrid w:val="0"/>
        </w:rPr>
      </w:pPr>
      <w:r>
        <w:rPr>
          <w:snapToGrid w:val="0"/>
        </w:rPr>
        <w:tab/>
        <w:t>(a)</w:t>
      </w:r>
      <w:r>
        <w:rPr>
          <w:snapToGrid w:val="0"/>
        </w:rPr>
        <w:tab/>
        <w:t xml:space="preserve">any amount payable to the </w:t>
      </w:r>
      <w:r>
        <w:t>Authority</w:t>
      </w:r>
      <w:r>
        <w:rPr>
          <w:snapToGrid w:val="0"/>
        </w:rPr>
        <w:t xml:space="preserve"> by the person to whom the sale or loan was made in respect of application, valuation, document preparation and other fees and expenses in connection with the sale or loan;</w:t>
      </w:r>
    </w:p>
    <w:p>
      <w:pPr>
        <w:pStyle w:val="Indenta"/>
        <w:rPr>
          <w:snapToGrid w:val="0"/>
        </w:rPr>
      </w:pPr>
      <w:r>
        <w:rPr>
          <w:snapToGrid w:val="0"/>
        </w:rPr>
        <w:tab/>
        <w:t>(b)</w:t>
      </w:r>
      <w:r>
        <w:rPr>
          <w:snapToGrid w:val="0"/>
        </w:rPr>
        <w:tab/>
        <w:t xml:space="preserve">any amount paid by the </w:t>
      </w:r>
      <w:r>
        <w:t>Authority</w:t>
      </w:r>
      <w:r>
        <w:rPr>
          <w:snapToGrid w:val="0"/>
        </w:rPr>
        <w:t xml:space="preserve"> pursuant to section 72 in relation to the sale or loan.</w:t>
      </w:r>
    </w:p>
    <w:p>
      <w:pPr>
        <w:pStyle w:val="Subsection"/>
        <w:rPr>
          <w:snapToGrid w:val="0"/>
        </w:rPr>
      </w:pPr>
      <w:r>
        <w:rPr>
          <w:snapToGrid w:val="0"/>
        </w:rPr>
        <w:tab/>
        <w:t>(2)</w:t>
      </w:r>
      <w:r>
        <w:rPr>
          <w:snapToGrid w:val="0"/>
        </w:rPr>
        <w:tab/>
        <w:t>An amount may be added pursuant to subsection (1) to the balance owing under a contract of sale or loan notwithstanding that the total amount so owing will thereby exceed the sum determined pursuant to section 34 or 40, whichever is applicable, in respect of a contract of sale or loan of that kind.</w:t>
      </w:r>
    </w:p>
    <w:p>
      <w:pPr>
        <w:pStyle w:val="Footnotesection"/>
      </w:pPr>
      <w:bookmarkStart w:id="607" w:name="_Toc116712917"/>
      <w:bookmarkStart w:id="608" w:name="_Toc116811334"/>
      <w:bookmarkStart w:id="609" w:name="_Toc131396787"/>
      <w:r>
        <w:tab/>
        <w:t>[Section 73 amended by No. 28 of 2006 s. 332.]</w:t>
      </w:r>
    </w:p>
    <w:p>
      <w:pPr>
        <w:pStyle w:val="Heading2"/>
      </w:pPr>
      <w:bookmarkStart w:id="610" w:name="_Toc139275349"/>
      <w:bookmarkStart w:id="611" w:name="_Toc139691377"/>
      <w:bookmarkStart w:id="612" w:name="_Toc141767979"/>
      <w:bookmarkStart w:id="613" w:name="_Toc141770729"/>
      <w:bookmarkStart w:id="614" w:name="_Toc143395829"/>
      <w:bookmarkStart w:id="615" w:name="_Toc143569023"/>
      <w:bookmarkStart w:id="616" w:name="_Toc143569128"/>
      <w:bookmarkStart w:id="617" w:name="_Toc143592683"/>
      <w:bookmarkStart w:id="618" w:name="_Toc144543135"/>
      <w:bookmarkStart w:id="619" w:name="_Toc155597359"/>
      <w:bookmarkStart w:id="620" w:name="_Toc157914680"/>
      <w:bookmarkStart w:id="621" w:name="_Toc196124101"/>
      <w:bookmarkStart w:id="622" w:name="_Toc202173187"/>
      <w:r>
        <w:rPr>
          <w:rStyle w:val="CharPartNo"/>
        </w:rPr>
        <w:t>Part IX</w:t>
      </w:r>
      <w:r>
        <w:rPr>
          <w:rStyle w:val="CharDivNo"/>
        </w:rPr>
        <w:t> </w:t>
      </w:r>
      <w:r>
        <w:t>—</w:t>
      </w:r>
      <w:r>
        <w:rPr>
          <w:rStyle w:val="CharDivText"/>
        </w:rPr>
        <w:t> </w:t>
      </w:r>
      <w:r>
        <w:rPr>
          <w:rStyle w:val="CharPartText"/>
        </w:rPr>
        <w:t>Saving and transitional provisions</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r>
        <w:rPr>
          <w:rStyle w:val="CharPartText"/>
        </w:rPr>
        <w:t xml:space="preserve"> </w:t>
      </w:r>
    </w:p>
    <w:p>
      <w:pPr>
        <w:pStyle w:val="Heading5"/>
        <w:rPr>
          <w:snapToGrid w:val="0"/>
        </w:rPr>
      </w:pPr>
      <w:bookmarkStart w:id="623" w:name="_Toc417967515"/>
      <w:bookmarkStart w:id="624" w:name="_Toc519921965"/>
      <w:bookmarkStart w:id="625" w:name="_Toc131396788"/>
      <w:bookmarkStart w:id="626" w:name="_Toc202173188"/>
      <w:r>
        <w:rPr>
          <w:rStyle w:val="CharSectno"/>
        </w:rPr>
        <w:t>74</w:t>
      </w:r>
      <w:r>
        <w:rPr>
          <w:snapToGrid w:val="0"/>
        </w:rPr>
        <w:t>.</w:t>
      </w:r>
      <w:r>
        <w:rPr>
          <w:snapToGrid w:val="0"/>
        </w:rPr>
        <w:tab/>
        <w:t>Continuity of status and operation</w:t>
      </w:r>
      <w:bookmarkEnd w:id="623"/>
      <w:bookmarkEnd w:id="624"/>
      <w:bookmarkEnd w:id="625"/>
      <w:bookmarkEnd w:id="626"/>
      <w:r>
        <w:rPr>
          <w:snapToGrid w:val="0"/>
        </w:rPr>
        <w:t xml:space="preserve"> </w:t>
      </w:r>
    </w:p>
    <w:p>
      <w:pPr>
        <w:pStyle w:val="Subsection"/>
        <w:rPr>
          <w:snapToGrid w:val="0"/>
        </w:rPr>
      </w:pPr>
      <w:r>
        <w:rPr>
          <w:snapToGrid w:val="0"/>
        </w:rPr>
        <w:tab/>
      </w:r>
      <w:r>
        <w:rPr>
          <w:snapToGrid w:val="0"/>
        </w:rPr>
        <w:tab/>
        <w:t>Unless the contrary intention appears in this Act —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would have had if that Act had not been repealed;</w:t>
      </w:r>
    </w:p>
    <w:p>
      <w:pPr>
        <w:pStyle w:val="Indenta"/>
        <w:rPr>
          <w:snapToGrid w:val="0"/>
        </w:rPr>
      </w:pPr>
      <w:r>
        <w:rPr>
          <w:snapToGrid w:val="0"/>
        </w:rPr>
        <w:tab/>
        <w:t>(b)</w:t>
      </w:r>
      <w:r>
        <w:rPr>
          <w:snapToGrid w:val="0"/>
        </w:rPr>
        <w:tab/>
        <w:t>in particular and without affecting the generality of paragraph (a), the repeal effected by section 3 shall not disturb the continuity of status, operation or effect of any appointment, notice, certificate, contract, agreement, debenture, charge, security, tenancy agreement, authorisation, consent, approval, refusal, declaration, determination, recommendation, request, appeal, register, guarantee, deposit, insurance policy, appraisement, re</w:t>
      </w:r>
      <w:r>
        <w:rPr>
          <w:snapToGrid w:val="0"/>
        </w:rPr>
        <w:noBreakHyphen/>
        <w:t>appraisement, valuation, delegation, estate, interest, notification, confirmation, validation, extension of time, proceeding, liability or right made, given, entered into, issued, granted, effected, maintained, lodged, incurred or acquired or existing or continuing by or under the repealed Act before the coming into operation of this Act.</w:t>
      </w:r>
    </w:p>
    <w:p>
      <w:pPr>
        <w:pStyle w:val="Heading5"/>
        <w:rPr>
          <w:snapToGrid w:val="0"/>
        </w:rPr>
      </w:pPr>
      <w:bookmarkStart w:id="627" w:name="_Toc417967516"/>
      <w:bookmarkStart w:id="628" w:name="_Toc519921966"/>
      <w:bookmarkStart w:id="629" w:name="_Toc131396789"/>
      <w:bookmarkStart w:id="630" w:name="_Toc202173189"/>
      <w:r>
        <w:rPr>
          <w:rStyle w:val="CharSectno"/>
        </w:rPr>
        <w:t>75</w:t>
      </w:r>
      <w:r>
        <w:rPr>
          <w:snapToGrid w:val="0"/>
        </w:rPr>
        <w:t>.</w:t>
      </w:r>
      <w:r>
        <w:rPr>
          <w:snapToGrid w:val="0"/>
        </w:rPr>
        <w:tab/>
        <w:t>Membership of Commission</w:t>
      </w:r>
      <w:bookmarkEnd w:id="627"/>
      <w:bookmarkEnd w:id="628"/>
      <w:bookmarkEnd w:id="629"/>
      <w:bookmarkEnd w:id="630"/>
      <w:r>
        <w:rPr>
          <w:snapToGrid w:val="0"/>
        </w:rPr>
        <w:t xml:space="preserve"> </w:t>
      </w:r>
    </w:p>
    <w:p>
      <w:pPr>
        <w:pStyle w:val="Subsection"/>
        <w:rPr>
          <w:snapToGrid w:val="0"/>
        </w:rPr>
      </w:pPr>
      <w:r>
        <w:rPr>
          <w:snapToGrid w:val="0"/>
        </w:rPr>
        <w:tab/>
      </w:r>
      <w:r>
        <w:rPr>
          <w:snapToGrid w:val="0"/>
        </w:rPr>
        <w:tab/>
        <w:t>Notwithstanding section 74 a person holding office as a member of the Commission under section 9(1)(b) of the repealed Act immediately before the coming into operation of this Act shall, by virtue of the coming into operation of this Act, vacate that office but, subject to this Act, such a person shall be eligible for reappointment as a member of the Commission as constituted under this Act.</w:t>
      </w:r>
    </w:p>
    <w:p>
      <w:pPr>
        <w:pStyle w:val="Heading5"/>
        <w:rPr>
          <w:snapToGrid w:val="0"/>
        </w:rPr>
      </w:pPr>
      <w:bookmarkStart w:id="631" w:name="_Toc417967517"/>
      <w:bookmarkStart w:id="632" w:name="_Toc519921967"/>
      <w:bookmarkStart w:id="633" w:name="_Toc131396790"/>
      <w:bookmarkStart w:id="634" w:name="_Toc202173190"/>
      <w:r>
        <w:rPr>
          <w:rStyle w:val="CharSectno"/>
        </w:rPr>
        <w:t>76</w:t>
      </w:r>
      <w:r>
        <w:rPr>
          <w:snapToGrid w:val="0"/>
        </w:rPr>
        <w:t>.</w:t>
      </w:r>
      <w:r>
        <w:rPr>
          <w:snapToGrid w:val="0"/>
        </w:rPr>
        <w:tab/>
        <w:t>Continuation of provisions relating to earlier Acts and bodies</w:t>
      </w:r>
      <w:bookmarkEnd w:id="631"/>
      <w:bookmarkEnd w:id="632"/>
      <w:bookmarkEnd w:id="633"/>
      <w:bookmarkEnd w:id="634"/>
      <w:r>
        <w:rPr>
          <w:snapToGrid w:val="0"/>
        </w:rPr>
        <w:t xml:space="preserve"> </w:t>
      </w:r>
    </w:p>
    <w:p>
      <w:pPr>
        <w:pStyle w:val="Subsection"/>
        <w:rPr>
          <w:snapToGrid w:val="0"/>
        </w:rPr>
      </w:pPr>
      <w:r>
        <w:rPr>
          <w:snapToGrid w:val="0"/>
        </w:rPr>
        <w:tab/>
      </w:r>
      <w:r>
        <w:rPr>
          <w:snapToGrid w:val="0"/>
        </w:rPr>
        <w:tab/>
        <w:t>Without limiting the generality of section 74 and notwithstanding section 3 — </w:t>
      </w:r>
    </w:p>
    <w:p>
      <w:pPr>
        <w:pStyle w:val="Indenta"/>
        <w:rPr>
          <w:snapToGrid w:val="0"/>
        </w:rPr>
      </w:pPr>
      <w:r>
        <w:rPr>
          <w:snapToGrid w:val="0"/>
        </w:rPr>
        <w:tab/>
        <w:t>(a)</w:t>
      </w:r>
      <w:r>
        <w:rPr>
          <w:snapToGrid w:val="0"/>
        </w:rPr>
        <w:tab/>
        <w:t>the provisions of subsections (3) and (4) of section 16 of the repealed Act shall continue to apply to and in respect of advances referred to in subsection (3) of that section;</w:t>
      </w:r>
    </w:p>
    <w:p>
      <w:pPr>
        <w:pStyle w:val="Indenta"/>
        <w:rPr>
          <w:snapToGrid w:val="0"/>
        </w:rPr>
      </w:pPr>
      <w:r>
        <w:rPr>
          <w:snapToGrid w:val="0"/>
        </w:rPr>
        <w:tab/>
        <w:t>(b)</w:t>
      </w:r>
      <w:r>
        <w:rPr>
          <w:snapToGrid w:val="0"/>
        </w:rPr>
        <w:tab/>
        <w:t>the Commission shall continue to have the powers, functions and duties conferred or imposed on it by subsections (1) and (2) of section 21A of the repealed Act and the provisions of subsection (3) of that section continue to apply to the exercise of those powers and functions and the carrying out of those duties.</w:t>
      </w:r>
    </w:p>
    <w:p>
      <w:pPr>
        <w:pStyle w:val="Heading5"/>
        <w:rPr>
          <w:snapToGrid w:val="0"/>
        </w:rPr>
      </w:pPr>
      <w:bookmarkStart w:id="635" w:name="_Toc417967518"/>
      <w:bookmarkStart w:id="636" w:name="_Toc519921968"/>
      <w:bookmarkStart w:id="637" w:name="_Toc131396791"/>
      <w:bookmarkStart w:id="638" w:name="_Toc202173191"/>
      <w:r>
        <w:rPr>
          <w:rStyle w:val="CharSectno"/>
        </w:rPr>
        <w:t>77</w:t>
      </w:r>
      <w:r>
        <w:rPr>
          <w:snapToGrid w:val="0"/>
        </w:rPr>
        <w:t>.</w:t>
      </w:r>
      <w:r>
        <w:rPr>
          <w:snapToGrid w:val="0"/>
        </w:rPr>
        <w:tab/>
        <w:t>Contracts of sale, mortgages and tenancies</w:t>
      </w:r>
      <w:bookmarkEnd w:id="635"/>
      <w:bookmarkEnd w:id="636"/>
      <w:bookmarkEnd w:id="637"/>
      <w:bookmarkEnd w:id="638"/>
      <w:r>
        <w:rPr>
          <w:snapToGrid w:val="0"/>
        </w:rPr>
        <w:t xml:space="preserve"> </w:t>
      </w:r>
    </w:p>
    <w:p>
      <w:pPr>
        <w:pStyle w:val="Subsection"/>
        <w:rPr>
          <w:snapToGrid w:val="0"/>
        </w:rPr>
      </w:pPr>
      <w:r>
        <w:rPr>
          <w:snapToGrid w:val="0"/>
        </w:rPr>
        <w:tab/>
      </w:r>
      <w:r>
        <w:rPr>
          <w:snapToGrid w:val="0"/>
        </w:rPr>
        <w:tab/>
        <w:t>Contracts of sale, mortgages and tenancy agreements entered into under the repealed Act and subsisting at the coming into operation of this Act shall be deemed to be contracts of sale, mortgages and tenancy agreements, respectively, pursuant to this Act but — </w:t>
      </w:r>
    </w:p>
    <w:p>
      <w:pPr>
        <w:pStyle w:val="Indenta"/>
        <w:rPr>
          <w:snapToGrid w:val="0"/>
        </w:rPr>
      </w:pPr>
      <w:r>
        <w:rPr>
          <w:snapToGrid w:val="0"/>
        </w:rPr>
        <w:tab/>
        <w:t>(a)</w:t>
      </w:r>
      <w:r>
        <w:rPr>
          <w:snapToGrid w:val="0"/>
        </w:rPr>
        <w:tab/>
        <w:t>the amount of the moneys, including interest (if any), owing under such a contract of sale or mortgage and the times at which and amounts in which those moneys shall be paid or repaid;</w:t>
      </w:r>
    </w:p>
    <w:p>
      <w:pPr>
        <w:pStyle w:val="Indenta"/>
        <w:rPr>
          <w:snapToGrid w:val="0"/>
        </w:rPr>
      </w:pPr>
      <w:r>
        <w:rPr>
          <w:snapToGrid w:val="0"/>
        </w:rPr>
        <w:tab/>
        <w:t>(b)</w:t>
      </w:r>
      <w:r>
        <w:rPr>
          <w:snapToGrid w:val="0"/>
        </w:rPr>
        <w:tab/>
        <w:t>the rents and other amounts (if any) payable under such a tenancy agreement; and</w:t>
      </w:r>
    </w:p>
    <w:p>
      <w:pPr>
        <w:pStyle w:val="Indenta"/>
        <w:rPr>
          <w:snapToGrid w:val="0"/>
        </w:rPr>
      </w:pPr>
      <w:r>
        <w:rPr>
          <w:snapToGrid w:val="0"/>
        </w:rPr>
        <w:tab/>
        <w:t>(c)</w:t>
      </w:r>
      <w:r>
        <w:rPr>
          <w:snapToGrid w:val="0"/>
        </w:rPr>
        <w:tab/>
        <w:t>the proceedings that may be taken by, and the other rights, remedies and obligations of, the Commission and the other party or parties to such a contract of sale, mortgage or tenancy agreement,</w:t>
      </w:r>
    </w:p>
    <w:p>
      <w:pPr>
        <w:pStyle w:val="Subsection"/>
        <w:rPr>
          <w:snapToGrid w:val="0"/>
        </w:rPr>
      </w:pPr>
      <w:r>
        <w:rPr>
          <w:snapToGrid w:val="0"/>
        </w:rPr>
        <w:tab/>
      </w:r>
      <w:r>
        <w:rPr>
          <w:snapToGrid w:val="0"/>
        </w:rPr>
        <w:tab/>
        <w:t>shall be determined in accordance with the provisions of the contract of sale, mortgage or tenancy agreement and of the repealed Act and the regulations thereunder.</w:t>
      </w:r>
    </w:p>
    <w:p>
      <w:pPr>
        <w:pStyle w:val="Heading5"/>
        <w:rPr>
          <w:snapToGrid w:val="0"/>
        </w:rPr>
      </w:pPr>
      <w:bookmarkStart w:id="639" w:name="_Toc417967519"/>
      <w:bookmarkStart w:id="640" w:name="_Toc519921969"/>
      <w:bookmarkStart w:id="641" w:name="_Toc131396792"/>
      <w:bookmarkStart w:id="642" w:name="_Toc202173192"/>
      <w:r>
        <w:rPr>
          <w:rStyle w:val="CharSectno"/>
        </w:rPr>
        <w:t>78</w:t>
      </w:r>
      <w:r>
        <w:rPr>
          <w:snapToGrid w:val="0"/>
        </w:rPr>
        <w:t>.</w:t>
      </w:r>
      <w:r>
        <w:rPr>
          <w:snapToGrid w:val="0"/>
        </w:rPr>
        <w:tab/>
        <w:t>Perpetual leases</w:t>
      </w:r>
      <w:bookmarkEnd w:id="639"/>
      <w:bookmarkEnd w:id="640"/>
      <w:bookmarkEnd w:id="641"/>
      <w:bookmarkEnd w:id="642"/>
      <w:r>
        <w:rPr>
          <w:snapToGrid w:val="0"/>
        </w:rPr>
        <w:t xml:space="preserve"> </w:t>
      </w:r>
    </w:p>
    <w:p>
      <w:pPr>
        <w:pStyle w:val="Subsection"/>
        <w:rPr>
          <w:snapToGrid w:val="0"/>
        </w:rPr>
      </w:pPr>
      <w:r>
        <w:rPr>
          <w:snapToGrid w:val="0"/>
        </w:rPr>
        <w:tab/>
      </w:r>
      <w:r>
        <w:rPr>
          <w:snapToGrid w:val="0"/>
        </w:rPr>
        <w:tab/>
        <w:t>Notwithstanding section 3 the provisions of the repealed Act and the regulations thereunder shall continue to apply to and in relation to perpetual leases granted under Part V of the repealed Act and subsisting at the coming into operation of this Act.</w:t>
      </w:r>
    </w:p>
    <w:p>
      <w:pPr>
        <w:pStyle w:val="Heading5"/>
        <w:rPr>
          <w:snapToGrid w:val="0"/>
        </w:rPr>
      </w:pPr>
      <w:bookmarkStart w:id="643" w:name="_Toc417967520"/>
      <w:bookmarkStart w:id="644" w:name="_Toc519921970"/>
      <w:bookmarkStart w:id="645" w:name="_Toc131396793"/>
      <w:bookmarkStart w:id="646" w:name="_Toc202173193"/>
      <w:r>
        <w:rPr>
          <w:rStyle w:val="CharSectno"/>
        </w:rPr>
        <w:t>79</w:t>
      </w:r>
      <w:r>
        <w:rPr>
          <w:snapToGrid w:val="0"/>
        </w:rPr>
        <w:t>.</w:t>
      </w:r>
      <w:r>
        <w:rPr>
          <w:snapToGrid w:val="0"/>
        </w:rPr>
        <w:tab/>
        <w:t>References</w:t>
      </w:r>
      <w:bookmarkEnd w:id="643"/>
      <w:bookmarkEnd w:id="644"/>
      <w:bookmarkEnd w:id="645"/>
      <w:bookmarkEnd w:id="646"/>
      <w:r>
        <w:rPr>
          <w:snapToGrid w:val="0"/>
        </w:rPr>
        <w:t xml:space="preserve"> </w:t>
      </w:r>
    </w:p>
    <w:p>
      <w:pPr>
        <w:pStyle w:val="Subsection"/>
        <w:rPr>
          <w:snapToGrid w:val="0"/>
        </w:rPr>
      </w:pPr>
      <w:r>
        <w:rPr>
          <w:snapToGrid w:val="0"/>
        </w:rPr>
        <w:tab/>
      </w:r>
      <w:r>
        <w:rPr>
          <w:snapToGrid w:val="0"/>
        </w:rPr>
        <w:tab/>
        <w:t>Where in any Act, regulation, rule, local law, by</w:t>
      </w:r>
      <w:r>
        <w:rPr>
          <w:snapToGrid w:val="0"/>
        </w:rPr>
        <w:noBreakHyphen/>
        <w:t>law, proclamation, Order in Council or other document or instrument there is — </w:t>
      </w:r>
    </w:p>
    <w:p>
      <w:pPr>
        <w:pStyle w:val="Indenta"/>
        <w:rPr>
          <w:snapToGrid w:val="0"/>
        </w:rPr>
      </w:pPr>
      <w:r>
        <w:rPr>
          <w:snapToGrid w:val="0"/>
        </w:rPr>
        <w:tab/>
        <w:t>(a)</w:t>
      </w:r>
      <w:r>
        <w:rPr>
          <w:snapToGrid w:val="0"/>
        </w:rPr>
        <w:tab/>
        <w:t>a reference to the Commission constituted under the repealed Act;</w:t>
      </w:r>
    </w:p>
    <w:p>
      <w:pPr>
        <w:pStyle w:val="Indenta"/>
        <w:rPr>
          <w:snapToGrid w:val="0"/>
        </w:rPr>
      </w:pPr>
      <w:r>
        <w:rPr>
          <w:snapToGrid w:val="0"/>
        </w:rPr>
        <w:tab/>
        <w:t>(b)</w:t>
      </w:r>
      <w:r>
        <w:rPr>
          <w:snapToGrid w:val="0"/>
        </w:rPr>
        <w:tab/>
        <w:t>a reference that, before the coming into operation of this Act, was deemed to be a reference to the Commission constituted under the repealed Act,</w:t>
      </w:r>
    </w:p>
    <w:p>
      <w:pPr>
        <w:pStyle w:val="Subsection"/>
        <w:rPr>
          <w:snapToGrid w:val="0"/>
        </w:rPr>
      </w:pPr>
      <w:r>
        <w:rPr>
          <w:snapToGrid w:val="0"/>
        </w:rPr>
        <w:tab/>
      </w:r>
      <w:r>
        <w:rPr>
          <w:snapToGrid w:val="0"/>
        </w:rPr>
        <w:tab/>
        <w:t>that reference shall, unless because of the context or of the provisions of this Part it would be incorrect so to do, be read and construed as reference to the Commission as preserved and continued under this Act.</w:t>
      </w:r>
    </w:p>
    <w:p>
      <w:pPr>
        <w:pStyle w:val="Footnotesection"/>
      </w:pPr>
      <w:r>
        <w:tab/>
        <w:t xml:space="preserve">[Section 79 amended by No. 14 of 1996 s. 4.] </w:t>
      </w:r>
    </w:p>
    <w:p>
      <w:pPr>
        <w:pStyle w:val="Heading5"/>
        <w:rPr>
          <w:snapToGrid w:val="0"/>
        </w:rPr>
      </w:pPr>
      <w:bookmarkStart w:id="647" w:name="_Toc417967521"/>
      <w:bookmarkStart w:id="648" w:name="_Toc519921971"/>
      <w:bookmarkStart w:id="649" w:name="_Toc131396794"/>
      <w:bookmarkStart w:id="650" w:name="_Toc202173194"/>
      <w:r>
        <w:rPr>
          <w:rStyle w:val="CharSectno"/>
        </w:rPr>
        <w:t>80</w:t>
      </w:r>
      <w:r>
        <w:rPr>
          <w:snapToGrid w:val="0"/>
        </w:rPr>
        <w:t>.</w:t>
      </w:r>
      <w:r>
        <w:rPr>
          <w:snapToGrid w:val="0"/>
        </w:rPr>
        <w:tab/>
        <w:t>Construction</w:t>
      </w:r>
      <w:bookmarkEnd w:id="647"/>
      <w:bookmarkEnd w:id="648"/>
      <w:bookmarkEnd w:id="649"/>
      <w:bookmarkEnd w:id="650"/>
      <w:r>
        <w:rPr>
          <w:snapToGrid w:val="0"/>
        </w:rPr>
        <w:t xml:space="preserve"> </w:t>
      </w:r>
    </w:p>
    <w:p>
      <w:pPr>
        <w:pStyle w:val="Subsection"/>
        <w:rPr>
          <w:snapToGrid w:val="0"/>
        </w:rPr>
      </w:pPr>
      <w:r>
        <w:rPr>
          <w:snapToGrid w:val="0"/>
        </w:rPr>
        <w:tab/>
      </w:r>
      <w:r>
        <w:rPr>
          <w:snapToGrid w:val="0"/>
        </w:rPr>
        <w:tab/>
        <w:t xml:space="preserve">This Part shall be construed as being in addition to the provisions of the </w:t>
      </w:r>
      <w:r>
        <w:rPr>
          <w:i/>
          <w:snapToGrid w:val="0"/>
        </w:rPr>
        <w:t>Interpretation Act 1918</w:t>
      </w:r>
      <w:r>
        <w:rPr>
          <w:snapToGrid w:val="0"/>
        </w:rPr>
        <w:t> </w:t>
      </w:r>
      <w:r>
        <w:rPr>
          <w:snapToGrid w:val="0"/>
          <w:vertAlign w:val="superscript"/>
        </w:rPr>
        <w:t>3</w:t>
      </w:r>
      <w:r>
        <w:rPr>
          <w:snapToGrid w:val="0"/>
        </w:rPr>
        <w:t>, and unless the contrary intention appears, shall not be construed as limiting or otherwise affecting the operation of those provisions to and in relation to the repeal effected by section 3.</w:t>
      </w:r>
    </w:p>
    <w:p>
      <w:pPr>
        <w:pStyle w:val="yEdnoteschedule"/>
      </w:pPr>
      <w:r>
        <w:t>[</w:t>
      </w:r>
      <w:r>
        <w:rPr>
          <w:bCs/>
        </w:rPr>
        <w:t xml:space="preserve">Schedule deleted </w:t>
      </w:r>
      <w:r>
        <w:t>by No. 62 of 1983 s. 6.]</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651" w:name="_Toc116712925"/>
      <w:bookmarkStart w:id="652" w:name="_Toc116811342"/>
      <w:bookmarkStart w:id="653" w:name="_Toc131396795"/>
      <w:bookmarkStart w:id="654" w:name="_Toc139275357"/>
      <w:bookmarkStart w:id="655" w:name="_Toc139691385"/>
      <w:bookmarkStart w:id="656" w:name="_Toc141767987"/>
      <w:bookmarkStart w:id="657" w:name="_Toc141770737"/>
      <w:bookmarkStart w:id="658" w:name="_Toc143395837"/>
      <w:bookmarkStart w:id="659" w:name="_Toc143569031"/>
      <w:bookmarkStart w:id="660" w:name="_Toc143569136"/>
      <w:bookmarkStart w:id="661" w:name="_Toc143592691"/>
      <w:bookmarkStart w:id="662" w:name="_Toc144543143"/>
      <w:bookmarkStart w:id="663" w:name="_Toc155597367"/>
      <w:bookmarkStart w:id="664" w:name="_Toc157914688"/>
      <w:bookmarkStart w:id="665" w:name="_Toc196124109"/>
      <w:bookmarkStart w:id="666" w:name="_Toc202173195"/>
      <w:r>
        <w:t>Notes</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nSubsection"/>
        <w:rPr>
          <w:snapToGrid w:val="0"/>
        </w:rPr>
      </w:pPr>
      <w:r>
        <w:rPr>
          <w:snapToGrid w:val="0"/>
          <w:vertAlign w:val="superscript"/>
        </w:rPr>
        <w:t>1</w:t>
      </w:r>
      <w:r>
        <w:rPr>
          <w:snapToGrid w:val="0"/>
        </w:rPr>
        <w:tab/>
        <w:t xml:space="preserve">This is a compilation of the </w:t>
      </w:r>
      <w:r>
        <w:rPr>
          <w:i/>
          <w:noProof/>
          <w:snapToGrid w:val="0"/>
        </w:rPr>
        <w:t>Housing Act 1980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67" w:name="_Toc202173196"/>
      <w:r>
        <w:rPr>
          <w:snapToGrid w:val="0"/>
        </w:rPr>
        <w:t>Compilation table</w:t>
      </w:r>
      <w:bookmarkEnd w:id="667"/>
    </w:p>
    <w:tbl>
      <w:tblPr>
        <w:tblW w:w="7087" w:type="dxa"/>
        <w:tblInd w:w="28" w:type="dxa"/>
        <w:tblLayout w:type="fixed"/>
        <w:tblCellMar>
          <w:left w:w="56" w:type="dxa"/>
          <w:right w:w="56" w:type="dxa"/>
        </w:tblCellMar>
        <w:tblLook w:val="0000" w:firstRow="0" w:lastRow="0" w:firstColumn="0" w:lastColumn="0" w:noHBand="0" w:noVBand="0"/>
      </w:tblPr>
      <w:tblGrid>
        <w:gridCol w:w="2267"/>
        <w:gridCol w:w="40"/>
        <w:gridCol w:w="1094"/>
        <w:gridCol w:w="1134"/>
        <w:gridCol w:w="2552"/>
      </w:tblGrid>
      <w:tr>
        <w:trPr>
          <w:cantSplit/>
          <w:tblHeader/>
        </w:trPr>
        <w:tc>
          <w:tcPr>
            <w:tcW w:w="230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09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08" w:type="dxa"/>
            <w:gridSpan w:val="2"/>
          </w:tcPr>
          <w:p>
            <w:pPr>
              <w:pStyle w:val="nTable"/>
              <w:spacing w:after="40"/>
              <w:ind w:right="113"/>
              <w:rPr>
                <w:sz w:val="19"/>
              </w:rPr>
            </w:pPr>
            <w:r>
              <w:rPr>
                <w:i/>
                <w:sz w:val="19"/>
              </w:rPr>
              <w:t>Housing Act 1980</w:t>
            </w:r>
          </w:p>
        </w:tc>
        <w:tc>
          <w:tcPr>
            <w:tcW w:w="1094" w:type="dxa"/>
          </w:tcPr>
          <w:p>
            <w:pPr>
              <w:pStyle w:val="nTable"/>
              <w:spacing w:after="40"/>
              <w:rPr>
                <w:sz w:val="19"/>
              </w:rPr>
            </w:pPr>
            <w:r>
              <w:rPr>
                <w:sz w:val="19"/>
              </w:rPr>
              <w:t>58 of 1980</w:t>
            </w:r>
          </w:p>
        </w:tc>
        <w:tc>
          <w:tcPr>
            <w:tcW w:w="1134" w:type="dxa"/>
          </w:tcPr>
          <w:p>
            <w:pPr>
              <w:pStyle w:val="nTable"/>
              <w:spacing w:after="40"/>
              <w:rPr>
                <w:sz w:val="19"/>
              </w:rPr>
            </w:pPr>
            <w:r>
              <w:rPr>
                <w:sz w:val="19"/>
              </w:rPr>
              <w:t>24 Nov 1980</w:t>
            </w:r>
          </w:p>
        </w:tc>
        <w:tc>
          <w:tcPr>
            <w:tcW w:w="2551" w:type="dxa"/>
          </w:tcPr>
          <w:p>
            <w:pPr>
              <w:pStyle w:val="nTable"/>
              <w:spacing w:after="40"/>
              <w:rPr>
                <w:sz w:val="19"/>
              </w:rPr>
            </w:pPr>
            <w:r>
              <w:rPr>
                <w:sz w:val="19"/>
              </w:rPr>
              <w:t xml:space="preserve">1 Jan 1981 (see s. 2 and </w:t>
            </w:r>
            <w:r>
              <w:rPr>
                <w:i/>
                <w:sz w:val="19"/>
              </w:rPr>
              <w:t>Gazette</w:t>
            </w:r>
            <w:r>
              <w:rPr>
                <w:sz w:val="19"/>
              </w:rPr>
              <w:t xml:space="preserve"> 24 Dec 1980 p. 4349)</w:t>
            </w:r>
          </w:p>
        </w:tc>
      </w:tr>
      <w:tr>
        <w:trPr>
          <w:cantSplit/>
        </w:trPr>
        <w:tc>
          <w:tcPr>
            <w:tcW w:w="2308" w:type="dxa"/>
            <w:gridSpan w:val="2"/>
          </w:tcPr>
          <w:p>
            <w:pPr>
              <w:pStyle w:val="nTable"/>
              <w:spacing w:after="40"/>
              <w:ind w:right="113"/>
              <w:rPr>
                <w:sz w:val="19"/>
              </w:rPr>
            </w:pPr>
            <w:r>
              <w:rPr>
                <w:i/>
                <w:sz w:val="19"/>
              </w:rPr>
              <w:t>Companies (Consequential Amendments) Act 1982</w:t>
            </w:r>
            <w:r>
              <w:rPr>
                <w:sz w:val="19"/>
              </w:rPr>
              <w:t xml:space="preserve"> s. 28</w:t>
            </w:r>
          </w:p>
        </w:tc>
        <w:tc>
          <w:tcPr>
            <w:tcW w:w="109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308" w:type="dxa"/>
            <w:gridSpan w:val="2"/>
          </w:tcPr>
          <w:p>
            <w:pPr>
              <w:pStyle w:val="nTable"/>
              <w:spacing w:after="40"/>
              <w:ind w:right="113"/>
              <w:rPr>
                <w:iCs/>
                <w:sz w:val="19"/>
              </w:rPr>
            </w:pPr>
            <w:r>
              <w:rPr>
                <w:i/>
                <w:sz w:val="19"/>
              </w:rPr>
              <w:t>Housing Amendment Act 1983</w:t>
            </w:r>
            <w:r>
              <w:rPr>
                <w:iCs/>
                <w:sz w:val="19"/>
                <w:vertAlign w:val="superscript"/>
              </w:rPr>
              <w:t> 4</w:t>
            </w:r>
          </w:p>
        </w:tc>
        <w:tc>
          <w:tcPr>
            <w:tcW w:w="1094" w:type="dxa"/>
          </w:tcPr>
          <w:p>
            <w:pPr>
              <w:pStyle w:val="nTable"/>
              <w:spacing w:after="40"/>
              <w:rPr>
                <w:sz w:val="19"/>
              </w:rPr>
            </w:pPr>
            <w:r>
              <w:rPr>
                <w:sz w:val="19"/>
              </w:rPr>
              <w:t>62 of 1983</w:t>
            </w:r>
          </w:p>
        </w:tc>
        <w:tc>
          <w:tcPr>
            <w:tcW w:w="1134" w:type="dxa"/>
          </w:tcPr>
          <w:p>
            <w:pPr>
              <w:pStyle w:val="nTable"/>
              <w:spacing w:after="40"/>
              <w:rPr>
                <w:sz w:val="19"/>
              </w:rPr>
            </w:pPr>
            <w:r>
              <w:rPr>
                <w:sz w:val="19"/>
              </w:rPr>
              <w:t>13 Dec 1983</w:t>
            </w:r>
          </w:p>
        </w:tc>
        <w:tc>
          <w:tcPr>
            <w:tcW w:w="2551" w:type="dxa"/>
          </w:tcPr>
          <w:p>
            <w:pPr>
              <w:pStyle w:val="nTable"/>
              <w:spacing w:after="40"/>
              <w:rPr>
                <w:sz w:val="19"/>
              </w:rPr>
            </w:pPr>
            <w:r>
              <w:rPr>
                <w:sz w:val="19"/>
              </w:rPr>
              <w:t>Act other than s. 4: 13 Dec 1983 (see s. 2(1));</w:t>
            </w:r>
            <w:r>
              <w:rPr>
                <w:sz w:val="19"/>
              </w:rPr>
              <w:br/>
              <w:t>s. 4: 1 Jan 1984 (see s. 2(2))</w:t>
            </w:r>
          </w:p>
        </w:tc>
      </w:tr>
      <w:tr>
        <w:trPr>
          <w:cantSplit/>
        </w:trPr>
        <w:tc>
          <w:tcPr>
            <w:tcW w:w="2308" w:type="dxa"/>
            <w:gridSpan w:val="2"/>
          </w:tcPr>
          <w:p>
            <w:pPr>
              <w:pStyle w:val="nTable"/>
              <w:spacing w:after="40"/>
              <w:ind w:right="113"/>
              <w:rPr>
                <w:sz w:val="19"/>
              </w:rPr>
            </w:pPr>
            <w:r>
              <w:rPr>
                <w:i/>
                <w:sz w:val="19"/>
              </w:rPr>
              <w:t xml:space="preserve">Acts Amendment (Financial Administration and Audit) Act 1985 </w:t>
            </w:r>
            <w:r>
              <w:rPr>
                <w:sz w:val="19"/>
              </w:rPr>
              <w:t>s. 3</w:t>
            </w:r>
          </w:p>
        </w:tc>
        <w:tc>
          <w:tcPr>
            <w:tcW w:w="109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308" w:type="dxa"/>
            <w:gridSpan w:val="2"/>
          </w:tcPr>
          <w:p>
            <w:pPr>
              <w:pStyle w:val="nTable"/>
              <w:spacing w:after="40"/>
              <w:ind w:right="113"/>
              <w:rPr>
                <w:sz w:val="19"/>
              </w:rPr>
            </w:pPr>
            <w:r>
              <w:rPr>
                <w:i/>
                <w:sz w:val="19"/>
              </w:rPr>
              <w:t>Financial Administration Legislation Amendment Act 1993</w:t>
            </w:r>
            <w:r>
              <w:rPr>
                <w:sz w:val="19"/>
              </w:rPr>
              <w:t xml:space="preserve"> s. 11 and 14(3) </w:t>
            </w:r>
          </w:p>
        </w:tc>
        <w:tc>
          <w:tcPr>
            <w:tcW w:w="109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308"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09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308" w:type="dxa"/>
            <w:gridSpan w:val="2"/>
          </w:tcPr>
          <w:p>
            <w:pPr>
              <w:pStyle w:val="nTable"/>
              <w:spacing w:after="40"/>
              <w:ind w:right="113"/>
              <w:rPr>
                <w:sz w:val="19"/>
              </w:rPr>
            </w:pPr>
            <w:r>
              <w:rPr>
                <w:i/>
                <w:sz w:val="19"/>
              </w:rPr>
              <w:t>Planning Legislation Amendment Act </w:t>
            </w:r>
            <w:r>
              <w:rPr>
                <w:i/>
                <w:sz w:val="19"/>
              </w:rPr>
              <w:br/>
              <w:t>(No. 2) 1994</w:t>
            </w:r>
            <w:r>
              <w:rPr>
                <w:sz w:val="19"/>
              </w:rPr>
              <w:t xml:space="preserve"> s. 46(7)</w:t>
            </w:r>
          </w:p>
        </w:tc>
        <w:tc>
          <w:tcPr>
            <w:tcW w:w="109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308" w:type="dxa"/>
            <w:gridSpan w:val="2"/>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094" w:type="dxa"/>
          </w:tcPr>
          <w:p>
            <w:pPr>
              <w:pStyle w:val="nTable"/>
              <w:keepNext/>
              <w:keepLines/>
              <w:spacing w:after="40"/>
              <w:rPr>
                <w:sz w:val="19"/>
              </w:rPr>
            </w:pPr>
            <w:r>
              <w:rPr>
                <w:sz w:val="19"/>
              </w:rPr>
              <w:t>73 of 1995</w:t>
            </w:r>
          </w:p>
        </w:tc>
        <w:tc>
          <w:tcPr>
            <w:tcW w:w="1134" w:type="dxa"/>
          </w:tcPr>
          <w:p>
            <w:pPr>
              <w:pStyle w:val="nTable"/>
              <w:keepNext/>
              <w:keepLines/>
              <w:spacing w:after="40"/>
              <w:rPr>
                <w:sz w:val="19"/>
              </w:rPr>
            </w:pPr>
            <w:r>
              <w:rPr>
                <w:sz w:val="19"/>
              </w:rPr>
              <w:t>27 Dec 1995</w:t>
            </w:r>
          </w:p>
        </w:tc>
        <w:tc>
          <w:tcPr>
            <w:tcW w:w="2551"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 </w:t>
            </w:r>
          </w:p>
        </w:tc>
      </w:tr>
      <w:tr>
        <w:trPr>
          <w:cantSplit/>
        </w:trPr>
        <w:tc>
          <w:tcPr>
            <w:tcW w:w="2308"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09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308" w:type="dxa"/>
            <w:gridSpan w:val="2"/>
          </w:tcPr>
          <w:p>
            <w:pPr>
              <w:pStyle w:val="nTable"/>
              <w:spacing w:after="40"/>
              <w:ind w:right="113"/>
              <w:rPr>
                <w:sz w:val="19"/>
              </w:rPr>
            </w:pPr>
            <w:r>
              <w:rPr>
                <w:i/>
                <w:sz w:val="19"/>
              </w:rPr>
              <w:t>Statutory Corporations (Liability of Directors) Act 1996</w:t>
            </w:r>
            <w:r>
              <w:rPr>
                <w:sz w:val="19"/>
              </w:rPr>
              <w:t xml:space="preserve"> s. 3</w:t>
            </w:r>
          </w:p>
        </w:tc>
        <w:tc>
          <w:tcPr>
            <w:tcW w:w="109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308" w:type="dxa"/>
            <w:gridSpan w:val="2"/>
          </w:tcPr>
          <w:p>
            <w:pPr>
              <w:pStyle w:val="nTable"/>
              <w:keepNext/>
              <w:spacing w:after="40"/>
              <w:ind w:right="113"/>
              <w:rPr>
                <w:sz w:val="19"/>
              </w:rPr>
            </w:pPr>
            <w:r>
              <w:rPr>
                <w:i/>
                <w:sz w:val="19"/>
              </w:rPr>
              <w:t>Financial Legislation Amendment Act 1996</w:t>
            </w:r>
            <w:r>
              <w:rPr>
                <w:sz w:val="19"/>
              </w:rPr>
              <w:t xml:space="preserve"> s. 64</w:t>
            </w:r>
          </w:p>
        </w:tc>
        <w:tc>
          <w:tcPr>
            <w:tcW w:w="1094" w:type="dxa"/>
          </w:tcPr>
          <w:p>
            <w:pPr>
              <w:pStyle w:val="nTable"/>
              <w:keepNext/>
              <w:spacing w:after="40"/>
              <w:rPr>
                <w:sz w:val="19"/>
              </w:rPr>
            </w:pPr>
            <w:r>
              <w:rPr>
                <w:sz w:val="19"/>
              </w:rPr>
              <w:t>49 of 1996</w:t>
            </w:r>
          </w:p>
        </w:tc>
        <w:tc>
          <w:tcPr>
            <w:tcW w:w="1134" w:type="dxa"/>
          </w:tcPr>
          <w:p>
            <w:pPr>
              <w:pStyle w:val="nTable"/>
              <w:keepNext/>
              <w:spacing w:after="40"/>
              <w:rPr>
                <w:sz w:val="19"/>
              </w:rPr>
            </w:pPr>
            <w:r>
              <w:rPr>
                <w:sz w:val="19"/>
              </w:rPr>
              <w:t>25 Oct 1996</w:t>
            </w:r>
          </w:p>
        </w:tc>
        <w:tc>
          <w:tcPr>
            <w:tcW w:w="2551" w:type="dxa"/>
          </w:tcPr>
          <w:p>
            <w:pPr>
              <w:pStyle w:val="nTable"/>
              <w:keepNext/>
              <w:spacing w:after="40"/>
              <w:rPr>
                <w:sz w:val="19"/>
              </w:rPr>
            </w:pPr>
            <w:r>
              <w:rPr>
                <w:sz w:val="19"/>
              </w:rPr>
              <w:t>25 Oct 1996 (see s. 2(1))</w:t>
            </w:r>
          </w:p>
        </w:tc>
      </w:tr>
      <w:tr>
        <w:trPr>
          <w:cantSplit/>
        </w:trPr>
        <w:tc>
          <w:tcPr>
            <w:tcW w:w="2308" w:type="dxa"/>
            <w:gridSpan w:val="2"/>
          </w:tcPr>
          <w:p>
            <w:pPr>
              <w:pStyle w:val="nTable"/>
              <w:spacing w:after="40"/>
              <w:ind w:right="113"/>
              <w:rPr>
                <w:sz w:val="19"/>
              </w:rPr>
            </w:pPr>
            <w:r>
              <w:rPr>
                <w:i/>
                <w:sz w:val="19"/>
              </w:rPr>
              <w:t>Transfer of Land Amendment Act 1996</w:t>
            </w:r>
            <w:r>
              <w:rPr>
                <w:sz w:val="19"/>
              </w:rPr>
              <w:t xml:space="preserve"> s. 153(1)</w:t>
            </w:r>
          </w:p>
        </w:tc>
        <w:tc>
          <w:tcPr>
            <w:tcW w:w="109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308" w:type="dxa"/>
            <w:gridSpan w:val="2"/>
          </w:tcPr>
          <w:p>
            <w:pPr>
              <w:pStyle w:val="nTable"/>
              <w:spacing w:after="40"/>
              <w:ind w:right="113"/>
              <w:rPr>
                <w:sz w:val="19"/>
              </w:rPr>
            </w:pPr>
            <w:r>
              <w:rPr>
                <w:i/>
                <w:sz w:val="19"/>
              </w:rPr>
              <w:t>Acts Amendment (Land Administration) Act 1997</w:t>
            </w:r>
            <w:r>
              <w:rPr>
                <w:sz w:val="19"/>
              </w:rPr>
              <w:t xml:space="preserve"> Pt. 33</w:t>
            </w:r>
          </w:p>
        </w:tc>
        <w:tc>
          <w:tcPr>
            <w:tcW w:w="109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308" w:type="dxa"/>
            <w:gridSpan w:val="2"/>
          </w:tcPr>
          <w:p>
            <w:pPr>
              <w:pStyle w:val="nTable"/>
              <w:spacing w:after="40"/>
              <w:ind w:right="113"/>
              <w:rPr>
                <w:sz w:val="19"/>
              </w:rPr>
            </w:pPr>
            <w:r>
              <w:rPr>
                <w:i/>
                <w:sz w:val="19"/>
              </w:rPr>
              <w:t>Statutes (Repeals and Minor Amendments) Act (No. 2) 1998</w:t>
            </w:r>
            <w:r>
              <w:rPr>
                <w:sz w:val="19"/>
              </w:rPr>
              <w:t xml:space="preserve"> s. 9(2)</w:t>
            </w:r>
          </w:p>
        </w:tc>
        <w:tc>
          <w:tcPr>
            <w:tcW w:w="109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7087" w:type="dxa"/>
            <w:gridSpan w:val="5"/>
          </w:tcPr>
          <w:p>
            <w:pPr>
              <w:pStyle w:val="nTable"/>
              <w:spacing w:after="40"/>
              <w:rPr>
                <w:sz w:val="19"/>
              </w:rPr>
            </w:pPr>
            <w:r>
              <w:rPr>
                <w:b/>
                <w:bCs/>
                <w:sz w:val="19"/>
              </w:rPr>
              <w:t xml:space="preserve">Reprint of the </w:t>
            </w:r>
            <w:r>
              <w:rPr>
                <w:b/>
                <w:bCs/>
                <w:i/>
                <w:iCs/>
                <w:sz w:val="19"/>
              </w:rPr>
              <w:t>Housing Act 1980</w:t>
            </w:r>
            <w:r>
              <w:rPr>
                <w:b/>
                <w:bCs/>
                <w:sz w:val="19"/>
              </w:rPr>
              <w:t xml:space="preserve"> as at 27 May 1999</w:t>
            </w:r>
            <w:r>
              <w:rPr>
                <w:sz w:val="19"/>
              </w:rPr>
              <w:t xml:space="preserve"> (includes amendments listed above)</w:t>
            </w:r>
          </w:p>
        </w:tc>
      </w:tr>
      <w:tr>
        <w:trPr>
          <w:cantSplit/>
        </w:trPr>
        <w:tc>
          <w:tcPr>
            <w:tcW w:w="2268" w:type="dxa"/>
          </w:tcPr>
          <w:p>
            <w:pPr>
              <w:pStyle w:val="nTable"/>
              <w:spacing w:after="40"/>
              <w:rPr>
                <w:sz w:val="19"/>
              </w:rPr>
            </w:pPr>
            <w:r>
              <w:rPr>
                <w:i/>
                <w:sz w:val="19"/>
              </w:rPr>
              <w:t>Acts Amendment and Repeal (Financial Sector Reform) Act 1999</w:t>
            </w:r>
            <w:r>
              <w:rPr>
                <w:sz w:val="19"/>
              </w:rPr>
              <w:t xml:space="preserve"> s. 87</w:t>
            </w:r>
          </w:p>
        </w:tc>
        <w:tc>
          <w:tcPr>
            <w:tcW w:w="1134" w:type="dxa"/>
            <w:gridSpan w:val="2"/>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2268" w:type="dxa"/>
          </w:tcPr>
          <w:p>
            <w:pPr>
              <w:pStyle w:val="nTable"/>
              <w:spacing w:after="40"/>
              <w:ind w:right="113"/>
              <w:rPr>
                <w:i/>
                <w:sz w:val="19"/>
              </w:rPr>
            </w:pPr>
            <w:r>
              <w:rPr>
                <w:i/>
                <w:sz w:val="19"/>
              </w:rPr>
              <w:t xml:space="preserve">Building Societies Amendment Act 2001 </w:t>
            </w:r>
            <w:r>
              <w:rPr>
                <w:sz w:val="19"/>
              </w:rPr>
              <w:t>s. 49 and 51</w:t>
            </w:r>
          </w:p>
        </w:tc>
        <w:tc>
          <w:tcPr>
            <w:tcW w:w="1134" w:type="dxa"/>
            <w:gridSpan w:val="2"/>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1" w:type="dxa"/>
          </w:tcPr>
          <w:p>
            <w:pPr>
              <w:pStyle w:val="nTable"/>
              <w:spacing w:after="40"/>
              <w:rPr>
                <w:sz w:val="19"/>
              </w:rPr>
            </w:pPr>
            <w:r>
              <w:rPr>
                <w:sz w:val="19"/>
              </w:rPr>
              <w:t>13 Jul 2001 (see s. 2)</w:t>
            </w:r>
          </w:p>
        </w:tc>
      </w:tr>
      <w:tr>
        <w:trPr>
          <w:cantSplit/>
        </w:trPr>
        <w:tc>
          <w:tcPr>
            <w:tcW w:w="2268" w:type="dxa"/>
          </w:tcPr>
          <w:p>
            <w:pPr>
              <w:pStyle w:val="nTable"/>
              <w:spacing w:after="40"/>
              <w:ind w:right="170"/>
              <w:rPr>
                <w:i/>
                <w:sz w:val="19"/>
              </w:rPr>
            </w:pPr>
            <w:r>
              <w:rPr>
                <w:i/>
                <w:sz w:val="19"/>
              </w:rPr>
              <w:t>Corporations (Consequential Amendments) Act (No. 2) 2003</w:t>
            </w:r>
            <w:r>
              <w:rPr>
                <w:sz w:val="19"/>
              </w:rPr>
              <w:t xml:space="preserve"> Pt. 10</w:t>
            </w:r>
          </w:p>
        </w:tc>
        <w:tc>
          <w:tcPr>
            <w:tcW w:w="1134" w:type="dxa"/>
            <w:gridSpan w:val="2"/>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29</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i/>
                <w:sz w:val="19"/>
              </w:rPr>
            </w:pPr>
            <w:r>
              <w:rPr>
                <w:i/>
                <w:snapToGrid w:val="0"/>
                <w:sz w:val="19"/>
                <w:lang w:val="en-US"/>
              </w:rPr>
              <w:t>Planning and Development (Consequential and Transitional Provisions) Act 2005</w:t>
            </w:r>
            <w:r>
              <w:rPr>
                <w:iCs/>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8" w:type="dxa"/>
          </w:tcPr>
          <w:p>
            <w:pPr>
              <w:pStyle w:val="nTable"/>
              <w:spacing w:after="40"/>
              <w:ind w:right="17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10 Div. 4</w:t>
            </w:r>
            <w:r>
              <w:rPr>
                <w:snapToGrid w:val="0"/>
                <w:sz w:val="19"/>
                <w:vertAlign w:val="superscript"/>
                <w:lang w:val="en-US"/>
              </w:rPr>
              <w:t> 5</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7" w:type="dxa"/>
            <w:gridSpan w:val="5"/>
          </w:tcPr>
          <w:p>
            <w:pPr>
              <w:pStyle w:val="nTable"/>
              <w:spacing w:after="40"/>
              <w:rPr>
                <w:sz w:val="19"/>
              </w:rPr>
            </w:pPr>
            <w:r>
              <w:rPr>
                <w:b/>
                <w:bCs/>
                <w:sz w:val="19"/>
              </w:rPr>
              <w:t xml:space="preserve">Reprint 2:  The </w:t>
            </w:r>
            <w:r>
              <w:rPr>
                <w:b/>
                <w:bCs/>
                <w:i/>
                <w:iCs/>
                <w:sz w:val="19"/>
              </w:rPr>
              <w:t>Housing Act 1980</w:t>
            </w:r>
            <w:r>
              <w:rPr>
                <w:b/>
                <w:bCs/>
                <w:sz w:val="19"/>
              </w:rPr>
              <w:t xml:space="preserve"> as at 18 Aug 2006</w:t>
            </w:r>
            <w:r>
              <w:rPr>
                <w:sz w:val="19"/>
              </w:rPr>
              <w:t xml:space="preserve"> (includes amendments listed above)</w:t>
            </w:r>
          </w:p>
        </w:tc>
      </w:tr>
      <w:tr>
        <w:trPr>
          <w:cantSplit/>
        </w:trPr>
        <w:tc>
          <w:tcPr>
            <w:tcW w:w="2268" w:type="dxa"/>
          </w:tcPr>
          <w:p>
            <w:pPr>
              <w:pStyle w:val="nTable"/>
              <w:spacing w:after="40"/>
              <w:ind w:right="170"/>
              <w:rPr>
                <w:i/>
                <w:snapToGrid w:val="0"/>
                <w:sz w:val="19"/>
                <w:lang w:val="en-US"/>
              </w:rPr>
            </w:pPr>
            <w:r>
              <w:rPr>
                <w:i/>
                <w:snapToGrid w:val="0"/>
                <w:sz w:val="19"/>
                <w:lang w:val="en-US"/>
              </w:rPr>
              <w:t>Land Information Authority Act 2006</w:t>
            </w:r>
            <w:r>
              <w:rPr>
                <w:iCs/>
                <w:snapToGrid w:val="0"/>
                <w:sz w:val="19"/>
                <w:lang w:val="en-US"/>
              </w:rPr>
              <w:t xml:space="preserve"> s. 137</w:t>
            </w:r>
            <w:r>
              <w:rPr>
                <w:iCs/>
                <w:snapToGrid w:val="0"/>
                <w:sz w:val="19"/>
                <w:vertAlign w:val="superscript"/>
                <w:lang w:val="en-US"/>
              </w:rPr>
              <w:t xml:space="preserve"> </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2268" w:type="dxa"/>
          </w:tcPr>
          <w:p>
            <w:pPr>
              <w:pStyle w:val="nTable"/>
              <w:spacing w:after="40"/>
              <w:ind w:right="170"/>
              <w:rPr>
                <w:i/>
                <w:snapToGrid w:val="0"/>
                <w:sz w:val="19"/>
                <w:vertAlign w:val="superscript"/>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8" w:type="dxa"/>
            <w:tcBorders>
              <w:bottom w:val="single" w:sz="4" w:space="0" w:color="auto"/>
            </w:tcBorders>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gridSpan w:val="2"/>
            <w:tcBorders>
              <w:bottom w:val="single" w:sz="4" w:space="0" w:color="auto"/>
            </w:tcBorders>
          </w:tcPr>
          <w:p>
            <w:pPr>
              <w:pStyle w:val="nTable"/>
              <w:spacing w:after="40"/>
              <w:rPr>
                <w:sz w:val="19"/>
              </w:rPr>
            </w:pPr>
            <w:r>
              <w:rPr>
                <w:sz w:val="19"/>
              </w:rPr>
              <w:t>12 of 2008</w:t>
            </w:r>
          </w:p>
        </w:tc>
        <w:tc>
          <w:tcPr>
            <w:tcW w:w="1134" w:type="dxa"/>
            <w:tcBorders>
              <w:bottom w:val="single" w:sz="4" w:space="0" w:color="auto"/>
            </w:tcBorders>
          </w:tcPr>
          <w:p>
            <w:pPr>
              <w:pStyle w:val="nTable"/>
              <w:spacing w:after="40"/>
              <w:rPr>
                <w:sz w:val="19"/>
              </w:rPr>
            </w:pPr>
            <w:r>
              <w:rPr>
                <w:sz w:val="19"/>
              </w:rPr>
              <w:t>14 Apr 2008</w:t>
            </w:r>
          </w:p>
        </w:tc>
        <w:tc>
          <w:tcPr>
            <w:tcW w:w="2552" w:type="dxa"/>
            <w:tcBorders>
              <w:bottom w:val="single" w:sz="4" w:space="0" w:color="auto"/>
            </w:tcBorders>
          </w:tcPr>
          <w:p>
            <w:pPr>
              <w:pStyle w:val="nTable"/>
              <w:spacing w:after="40"/>
              <w:rPr>
                <w:sz w:val="19"/>
              </w:rPr>
            </w:pPr>
            <w:r>
              <w:rPr>
                <w:sz w:val="19"/>
              </w:rPr>
              <w:t>1 Jul 2008 (see s. 2(d))</w:t>
            </w:r>
          </w:p>
        </w:tc>
      </w:tr>
    </w:tbl>
    <w:p>
      <w:pPr>
        <w:pStyle w:val="nSubsection"/>
        <w:keepNext/>
        <w:keepLines/>
        <w:spacing w:before="360"/>
        <w:ind w:left="482" w:hanging="482"/>
      </w:pPr>
      <w:r>
        <w:rPr>
          <w:vertAlign w:val="superscript"/>
        </w:rPr>
        <w:t>1a</w:t>
      </w:r>
      <w:r>
        <w:tab/>
        <w:t>On the date as at which thi</w:t>
      </w:r>
      <w:bookmarkStart w:id="668" w:name="_Hlt507390729"/>
      <w:bookmarkEnd w:id="668"/>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69" w:name="_Toc534778309"/>
      <w:bookmarkStart w:id="670" w:name="_Toc7405063"/>
      <w:bookmarkStart w:id="671" w:name="_Toc116703346"/>
      <w:bookmarkStart w:id="672" w:name="_Toc131396797"/>
      <w:bookmarkStart w:id="673" w:name="_Toc202173197"/>
      <w:r>
        <w:rPr>
          <w:snapToGrid w:val="0"/>
        </w:rPr>
        <w:t>Provisions that have not come into operation</w:t>
      </w:r>
      <w:bookmarkEnd w:id="669"/>
      <w:bookmarkEnd w:id="670"/>
      <w:bookmarkEnd w:id="671"/>
      <w:bookmarkEnd w:id="672"/>
      <w:bookmarkEnd w:id="673"/>
    </w:p>
    <w:tbl>
      <w:tblPr>
        <w:tblW w:w="7087"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9"/>
        <w:gridCol w:w="1133"/>
        <w:gridCol w:w="1133"/>
        <w:gridCol w:w="2552"/>
      </w:tblGrid>
      <w:tr>
        <w:tc>
          <w:tcPr>
            <w:tcW w:w="2269"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33"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3"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9" w:type="dxa"/>
            <w:tcBorders>
              <w:top w:val="single" w:sz="4" w:space="0" w:color="auto"/>
              <w:bottom w:val="single" w:sz="4" w:space="0" w:color="auto"/>
            </w:tcBorders>
          </w:tcPr>
          <w:p>
            <w:pPr>
              <w:pStyle w:val="nTable"/>
              <w:spacing w:after="40"/>
              <w:rPr>
                <w:snapToGrid w:val="0"/>
                <w:sz w:val="19"/>
                <w:vertAlign w:val="superscript"/>
                <w:lang w:val="en-US"/>
              </w:rPr>
            </w:pPr>
            <w:r>
              <w:rPr>
                <w:i/>
                <w:iCs/>
                <w:sz w:val="19"/>
              </w:rPr>
              <w:t>Housing Societies Repeal Act 2005</w:t>
            </w:r>
            <w:r>
              <w:rPr>
                <w:sz w:val="19"/>
              </w:rPr>
              <w:t xml:space="preserve"> s. 28 </w:t>
            </w:r>
            <w:r>
              <w:rPr>
                <w:sz w:val="19"/>
                <w:vertAlign w:val="superscript"/>
              </w:rPr>
              <w:t>6</w:t>
            </w:r>
          </w:p>
        </w:tc>
        <w:tc>
          <w:tcPr>
            <w:tcW w:w="1133" w:type="dxa"/>
            <w:tcBorders>
              <w:top w:val="single" w:sz="4" w:space="0" w:color="auto"/>
              <w:bottom w:val="single" w:sz="4" w:space="0" w:color="auto"/>
            </w:tcBorders>
          </w:tcPr>
          <w:p>
            <w:pPr>
              <w:pStyle w:val="nTable"/>
              <w:spacing w:after="40"/>
              <w:rPr>
                <w:snapToGrid w:val="0"/>
                <w:sz w:val="19"/>
                <w:lang w:val="en-US"/>
              </w:rPr>
            </w:pPr>
            <w:r>
              <w:rPr>
                <w:sz w:val="19"/>
              </w:rPr>
              <w:t>17 of 2005</w:t>
            </w:r>
          </w:p>
        </w:tc>
        <w:tc>
          <w:tcPr>
            <w:tcW w:w="1133" w:type="dxa"/>
            <w:tcBorders>
              <w:top w:val="single" w:sz="4" w:space="0" w:color="auto"/>
              <w:bottom w:val="single" w:sz="4" w:space="0" w:color="auto"/>
            </w:tcBorders>
          </w:tcPr>
          <w:p>
            <w:pPr>
              <w:pStyle w:val="nTable"/>
              <w:spacing w:after="40"/>
              <w:rPr>
                <w:snapToGrid w:val="0"/>
                <w:sz w:val="19"/>
                <w:lang w:val="en-US"/>
              </w:rPr>
            </w:pPr>
            <w:r>
              <w:rPr>
                <w:sz w:val="19"/>
              </w:rPr>
              <w:t>5 Oct 2005</w:t>
            </w:r>
          </w:p>
        </w:tc>
        <w:tc>
          <w:tcPr>
            <w:tcW w:w="2552" w:type="dxa"/>
            <w:tcBorders>
              <w:top w:val="single" w:sz="4" w:space="0" w:color="auto"/>
              <w:bottom w:val="single" w:sz="4" w:space="0" w:color="auto"/>
            </w:tcBorders>
          </w:tcPr>
          <w:p>
            <w:pPr>
              <w:pStyle w:val="nTable"/>
              <w:spacing w:after="40"/>
              <w:rPr>
                <w:snapToGrid w:val="0"/>
                <w:sz w:val="19"/>
                <w:lang w:val="en-US"/>
              </w:rPr>
            </w:pPr>
            <w:r>
              <w:rPr>
                <w:sz w:val="19"/>
              </w:rPr>
              <w:t>To be proclaimed (see s. 2(3) and (4))</w:t>
            </w:r>
          </w:p>
        </w:tc>
      </w:tr>
    </w:tbl>
    <w:p>
      <w:pPr>
        <w:pStyle w:val="nSubsection"/>
        <w:spacing w:before="160"/>
        <w:rPr>
          <w:snapToGrid w:val="0"/>
        </w:rPr>
      </w:pPr>
      <w:r>
        <w:rPr>
          <w:vertAlign w:val="superscript"/>
        </w:rPr>
        <w:t>2</w:t>
      </w:r>
      <w:r>
        <w:tab/>
        <w:t xml:space="preserve">Under the </w:t>
      </w:r>
      <w:r>
        <w:rPr>
          <w:i/>
        </w:rPr>
        <w:t>Public Sector Management Act 1994</w:t>
      </w:r>
      <w:r>
        <w:t xml:space="preserve"> s. 112(2), a reference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Housing </w:t>
      </w:r>
      <w:r>
        <w:rPr>
          <w:i/>
        </w:rPr>
        <w:t>Amendment</w:t>
      </w:r>
      <w:r>
        <w:rPr>
          <w:i/>
          <w:snapToGrid w:val="0"/>
        </w:rPr>
        <w:t xml:space="preserve"> Act 1983</w:t>
      </w:r>
      <w:r>
        <w:rPr>
          <w:snapToGrid w:val="0"/>
        </w:rPr>
        <w:t xml:space="preserve"> s. 4(2) is a transitional provision that is of no further effect.</w:t>
      </w:r>
    </w:p>
    <w:p>
      <w:pPr>
        <w:pStyle w:val="nSubsection"/>
      </w:pPr>
      <w:r>
        <w:rPr>
          <w:vertAlign w:val="superscript"/>
        </w:rPr>
        <w:t>5</w:t>
      </w:r>
      <w:r>
        <w:tab/>
        <w:t xml:space="preserve">The </w:t>
      </w:r>
      <w:r>
        <w:rPr>
          <w:i/>
          <w:iCs/>
        </w:rPr>
        <w:t>Machinery of Government (Miscellaneous Amendments) Act 2006</w:t>
      </w:r>
      <w:r>
        <w:t xml:space="preserve"> Pt. 10 Div. 6 reads as follows:</w:t>
      </w:r>
    </w:p>
    <w:p>
      <w:pPr>
        <w:pStyle w:val="MiscOpen"/>
      </w:pPr>
      <w:r>
        <w:t>“</w:t>
      </w:r>
    </w:p>
    <w:p>
      <w:pPr>
        <w:pStyle w:val="nzHeading3"/>
      </w:pPr>
      <w:bookmarkStart w:id="674" w:name="_Toc101073355"/>
      <w:bookmarkStart w:id="675" w:name="_Toc101080538"/>
      <w:bookmarkStart w:id="676" w:name="_Toc101081201"/>
      <w:bookmarkStart w:id="677" w:name="_Toc101174163"/>
      <w:bookmarkStart w:id="678" w:name="_Toc101256839"/>
      <w:bookmarkStart w:id="679" w:name="_Toc101260891"/>
      <w:bookmarkStart w:id="680" w:name="_Toc101329672"/>
      <w:bookmarkStart w:id="681" w:name="_Toc101351113"/>
      <w:bookmarkStart w:id="682" w:name="_Toc101578993"/>
      <w:bookmarkStart w:id="683" w:name="_Toc101599968"/>
      <w:bookmarkStart w:id="684" w:name="_Toc101666800"/>
      <w:bookmarkStart w:id="685" w:name="_Toc101672762"/>
      <w:bookmarkStart w:id="686" w:name="_Toc101675272"/>
      <w:bookmarkStart w:id="687" w:name="_Toc101682998"/>
      <w:bookmarkStart w:id="688" w:name="_Toc101690268"/>
      <w:bookmarkStart w:id="689" w:name="_Toc101769600"/>
      <w:bookmarkStart w:id="690" w:name="_Toc101770886"/>
      <w:bookmarkStart w:id="691" w:name="_Toc101774343"/>
      <w:bookmarkStart w:id="692" w:name="_Toc101845307"/>
      <w:bookmarkStart w:id="693" w:name="_Toc102981960"/>
      <w:bookmarkStart w:id="694" w:name="_Toc103570066"/>
      <w:bookmarkStart w:id="695" w:name="_Toc106089302"/>
      <w:bookmarkStart w:id="696" w:name="_Toc106097357"/>
      <w:bookmarkStart w:id="697" w:name="_Toc136050503"/>
      <w:bookmarkStart w:id="698" w:name="_Toc138660882"/>
      <w:bookmarkStart w:id="699" w:name="_Toc138661461"/>
      <w:bookmarkStart w:id="700" w:name="_Toc138750462"/>
      <w:bookmarkStart w:id="701" w:name="_Toc138751147"/>
      <w:bookmarkStart w:id="702" w:name="_Toc139166888"/>
      <w:r>
        <w:t>Division 6 — Transitional matters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nzHeading5"/>
      </w:pPr>
      <w:bookmarkStart w:id="703" w:name="_Toc100544670"/>
      <w:bookmarkStart w:id="704" w:name="_Toc138661462"/>
      <w:bookmarkStart w:id="705" w:name="_Toc138751148"/>
      <w:bookmarkStart w:id="706" w:name="_Toc139166889"/>
      <w:r>
        <w:t>336.</w:t>
      </w:r>
      <w:r>
        <w:tab/>
        <w:t>Financial reporting</w:t>
      </w:r>
      <w:bookmarkEnd w:id="703"/>
      <w:bookmarkEnd w:id="704"/>
      <w:bookmarkEnd w:id="705"/>
      <w:bookmarkEnd w:id="706"/>
    </w:p>
    <w:p>
      <w:pPr>
        <w:pStyle w:val="nzSubsection"/>
      </w:pPr>
      <w:r>
        <w:tab/>
        <w:t>(1)</w:t>
      </w:r>
      <w:r>
        <w:tab/>
        <w:t xml:space="preserve">Despite the continuation of the former bodies as part of the Housing Authority, section 65A of the </w:t>
      </w:r>
      <w:r>
        <w:rPr>
          <w:i/>
        </w:rPr>
        <w:t>Financial Administration and Audit Act 1985</w:t>
      </w:r>
      <w:r>
        <w:t xml:space="preserve"> applies in relation to the preparation and submission of a final report in respect of the former body as if — </w:t>
      </w:r>
    </w:p>
    <w:p>
      <w:pPr>
        <w:pStyle w:val="nzIndenta"/>
      </w:pPr>
      <w:r>
        <w:tab/>
        <w:t>(a)</w:t>
      </w:r>
      <w:r>
        <w:tab/>
        <w:t>at commencement, it were abolished;</w:t>
      </w:r>
    </w:p>
    <w:p>
      <w:pPr>
        <w:pStyle w:val="nzIndenta"/>
      </w:pPr>
      <w:r>
        <w:tab/>
        <w:t>(b)</w:t>
      </w:r>
      <w:r>
        <w:tab/>
        <w:t>references in that section to a department were references to the former body; and</w:t>
      </w:r>
    </w:p>
    <w:p>
      <w:pPr>
        <w:pStyle w:val="nzIndenta"/>
      </w:pPr>
      <w:r>
        <w:tab/>
        <w:t>(c)</w:t>
      </w:r>
      <w:r>
        <w:tab/>
        <w:t xml:space="preserve">references in that section to provisions of sections 62 to 65 of the </w:t>
      </w:r>
      <w:r>
        <w:rPr>
          <w:i/>
        </w:rPr>
        <w:t>Financial Administration and Audit Act 1985</w:t>
      </w:r>
      <w:r>
        <w:t xml:space="preserve"> were references to the equivalent provisions of sections 66 to 70 of that Act,</w:t>
      </w:r>
    </w:p>
    <w:p>
      <w:pPr>
        <w:pStyle w:val="nzSubsection"/>
      </w:pPr>
      <w:r>
        <w:tab/>
      </w:r>
      <w:r>
        <w:tab/>
        <w:t xml:space="preserve">except that — </w:t>
      </w:r>
    </w:p>
    <w:p>
      <w:pPr>
        <w:pStyle w:val="nzIndenta"/>
      </w:pPr>
      <w:r>
        <w:tab/>
        <w:t>(d)</w:t>
      </w:r>
      <w:r>
        <w:tab/>
        <w:t>the period to which the final report is to relate is the final period; and</w:t>
      </w:r>
    </w:p>
    <w:p>
      <w:pPr>
        <w:pStyle w:val="nzIndenta"/>
      </w:pPr>
      <w:r>
        <w:tab/>
        <w:t>(e)</w:t>
      </w:r>
      <w:r>
        <w:tab/>
        <w:t>the references in sections 66(1), 68 and 70(1) to the end of the financial year are to be read as references to the end of the final period.</w:t>
      </w:r>
    </w:p>
    <w:p>
      <w:pPr>
        <w:pStyle w:val="nzSubsection"/>
      </w:pPr>
      <w:r>
        <w:tab/>
        <w:t>(2)</w:t>
      </w:r>
      <w:r>
        <w:tab/>
        <w:t xml:space="preserve">If at commencement, any duty imposed by Part II Division 14 of the </w:t>
      </w:r>
      <w:r>
        <w:rPr>
          <w:i/>
        </w:rPr>
        <w:t>Financial Administration and Audit Act 1985</w:t>
      </w:r>
      <w:r>
        <w:t xml:space="preserve"> on the accountable authority of the former body has not been complied with in relation to the former body for any financial year that expired before commencement, that duty subsists and is to be performed by the reporting officer as if the reporting officer were the accountable authority.</w:t>
      </w:r>
    </w:p>
    <w:p>
      <w:pPr>
        <w:pStyle w:val="nzSubsection"/>
      </w:pPr>
      <w:r>
        <w:tab/>
        <w:t>(3)</w:t>
      </w:r>
      <w:r>
        <w:tab/>
        <w:t xml:space="preserve">The time within which the reporting officer is to perform a duty referred to in subsection (2) is extended until the end of the day that is 2 months after the day on which the reporting officer is appointed, but this subsection does not prevent the time from being extended again under section 70 of the </w:t>
      </w:r>
      <w:r>
        <w:rPr>
          <w:i/>
        </w:rPr>
        <w:t>Financial Administration and Audit Act 1985</w:t>
      </w:r>
      <w:r>
        <w:t>.</w:t>
      </w:r>
    </w:p>
    <w:p>
      <w:pPr>
        <w:pStyle w:val="nzSubsection"/>
      </w:pPr>
      <w:r>
        <w:tab/>
        <w:t>(4)</w:t>
      </w:r>
      <w:r>
        <w:tab/>
        <w:t>The Housing Authority is to give the reporting officer access to all records necessary for the purposes of this section.</w:t>
      </w:r>
    </w:p>
    <w:p>
      <w:pPr>
        <w:pStyle w:val="nzSubsection"/>
      </w:pPr>
      <w:r>
        <w:tab/>
        <w:t>(5)</w:t>
      </w:r>
      <w:r>
        <w:tab/>
        <w:t xml:space="preserve">In this section — </w:t>
      </w:r>
    </w:p>
    <w:p>
      <w:pPr>
        <w:pStyle w:val="nzDefstart"/>
      </w:pPr>
      <w:r>
        <w:rPr>
          <w:b/>
        </w:rPr>
        <w:tab/>
      </w:r>
      <w:r>
        <w:rPr>
          <w:rStyle w:val="CharDefText"/>
        </w:rPr>
        <w:t>final period</w:t>
      </w:r>
      <w:r>
        <w:t xml:space="preserve"> means the period starting at the beginning of the 1 July immediately before commencement and ending immediately before commencement;</w:t>
      </w:r>
    </w:p>
    <w:p>
      <w:pPr>
        <w:pStyle w:val="nzDefstart"/>
      </w:pPr>
      <w:r>
        <w:rPr>
          <w:b/>
        </w:rPr>
        <w:tab/>
      </w:r>
      <w:r>
        <w:rPr>
          <w:rStyle w:val="CharDefText"/>
        </w:rPr>
        <w:t>reporting officer</w:t>
      </w:r>
      <w:r>
        <w:t xml:space="preserve"> means the person appointed under section 65A(2) of the </w:t>
      </w:r>
      <w:r>
        <w:rPr>
          <w:i/>
        </w:rPr>
        <w:t>Financial Administration and Audit Act 1985</w:t>
      </w:r>
      <w:r>
        <w:t xml:space="preserve"> as applied because of subsection (1).</w:t>
      </w:r>
    </w:p>
    <w:p>
      <w:pPr>
        <w:pStyle w:val="nzHeading5"/>
      </w:pPr>
      <w:bookmarkStart w:id="707" w:name="_Toc100544671"/>
      <w:bookmarkStart w:id="708" w:name="_Toc138661463"/>
      <w:bookmarkStart w:id="709" w:name="_Toc138751149"/>
      <w:bookmarkStart w:id="710" w:name="_Toc139166890"/>
      <w:r>
        <w:t>337.</w:t>
      </w:r>
      <w:r>
        <w:tab/>
        <w:t>References to former bodies</w:t>
      </w:r>
      <w:bookmarkEnd w:id="707"/>
      <w:bookmarkEnd w:id="708"/>
      <w:bookmarkEnd w:id="709"/>
      <w:bookmarkEnd w:id="710"/>
    </w:p>
    <w:p>
      <w:pPr>
        <w:pStyle w:val="nzSubsection"/>
      </w:pPr>
      <w:r>
        <w:tab/>
      </w:r>
      <w:r>
        <w:tab/>
        <w:t>After commencement, a reference to the former body in an instrument or other document is to be taken to be a reference to the Housing Authority unless the contrary intention appears or the context otherwise requires.</w:t>
      </w:r>
    </w:p>
    <w:p>
      <w:pPr>
        <w:pStyle w:val="nzHeading5"/>
      </w:pPr>
      <w:bookmarkStart w:id="711" w:name="_Toc40495503"/>
      <w:bookmarkStart w:id="712" w:name="_Toc100544672"/>
      <w:bookmarkStart w:id="713" w:name="_Toc138661464"/>
      <w:bookmarkStart w:id="714" w:name="_Toc138751150"/>
      <w:bookmarkStart w:id="715" w:name="_Toc139166891"/>
      <w:r>
        <w:t>338.</w:t>
      </w:r>
      <w:r>
        <w:tab/>
      </w:r>
      <w:r>
        <w:rPr>
          <w:i/>
          <w:iCs/>
        </w:rPr>
        <w:t>Government Employees’ Housing Act 1964</w:t>
      </w:r>
      <w:bookmarkEnd w:id="711"/>
      <w:bookmarkEnd w:id="712"/>
      <w:bookmarkEnd w:id="713"/>
      <w:bookmarkEnd w:id="714"/>
      <w:bookmarkEnd w:id="715"/>
    </w:p>
    <w:p>
      <w:pPr>
        <w:pStyle w:val="nzSubsection"/>
      </w:pPr>
      <w:r>
        <w:tab/>
        <w:t>(1)</w:t>
      </w:r>
      <w:r>
        <w:tab/>
        <w:t xml:space="preserve">The Government Employees’ Housing Fund referred to in section 24(1) of the </w:t>
      </w:r>
      <w:r>
        <w:rPr>
          <w:i/>
        </w:rPr>
        <w:t>Government Employees’ Housing Act 1964</w:t>
      </w:r>
      <w:r>
        <w:t xml:space="preserve"> as in force after commencement is a continuation of the Government Employees’ Housing Authority Fund referred to in that section as in force before commencement.</w:t>
      </w:r>
    </w:p>
    <w:p>
      <w:pPr>
        <w:pStyle w:val="nzSubsection"/>
      </w:pPr>
      <w:r>
        <w:tab/>
        <w:t>(2)</w:t>
      </w:r>
      <w:r>
        <w:tab/>
        <w:t xml:space="preserve">After commencement, a reference to the Government Employees’ Authority Housing Fund in an instrument or other document is to be taken to be a reference to the Government Employees’ Housing Fund referred to in section 24(1) of the </w:t>
      </w:r>
      <w:r>
        <w:rPr>
          <w:i/>
        </w:rPr>
        <w:t>Government Employees’ Housing Act 1964</w:t>
      </w:r>
      <w:r>
        <w:t xml:space="preserve"> as in force after commencement unless the contrary intention appears or the context otherwise requires.</w:t>
      </w:r>
    </w:p>
    <w:p>
      <w:pPr>
        <w:pStyle w:val="nzHeading5"/>
      </w:pPr>
      <w:bookmarkStart w:id="716" w:name="_Toc40495504"/>
      <w:bookmarkStart w:id="717" w:name="_Toc100544673"/>
      <w:bookmarkStart w:id="718" w:name="_Toc138661465"/>
      <w:bookmarkStart w:id="719" w:name="_Toc138751151"/>
      <w:bookmarkStart w:id="720" w:name="_Toc139166892"/>
      <w:r>
        <w:t>339.</w:t>
      </w:r>
      <w:r>
        <w:tab/>
      </w:r>
      <w:r>
        <w:rPr>
          <w:i/>
          <w:iCs/>
        </w:rPr>
        <w:t>Housing Act 1980</w:t>
      </w:r>
      <w:bookmarkEnd w:id="716"/>
      <w:bookmarkEnd w:id="717"/>
      <w:bookmarkEnd w:id="718"/>
      <w:bookmarkEnd w:id="719"/>
      <w:bookmarkEnd w:id="720"/>
    </w:p>
    <w:p>
      <w:pPr>
        <w:pStyle w:val="nzSubsection"/>
      </w:pPr>
      <w:r>
        <w:tab/>
        <w:t>(1)</w:t>
      </w:r>
      <w:r>
        <w:tab/>
        <w:t>After commencement, a reference to The State Housing Commission in an instrument or other document is to be taken to be a reference to the Housing Authority unless the contrary intention appears or the context otherwise requires.</w:t>
      </w:r>
    </w:p>
    <w:p>
      <w:pPr>
        <w:pStyle w:val="nzSubsection"/>
      </w:pPr>
      <w:r>
        <w:tab/>
        <w:t>(2)</w:t>
      </w:r>
      <w:r>
        <w:tab/>
        <w:t xml:space="preserve">The office of chief executive officer of the Housing Authority is a continuation of the office of general manager of The State Housing Commission referred to in the </w:t>
      </w:r>
      <w:r>
        <w:rPr>
          <w:i/>
        </w:rPr>
        <w:t>Housing Act 1980</w:t>
      </w:r>
      <w:r>
        <w:t xml:space="preserve"> as in force before commencement.</w:t>
      </w:r>
    </w:p>
    <w:p>
      <w:pPr>
        <w:pStyle w:val="nzSubsection"/>
      </w:pPr>
      <w:r>
        <w:tab/>
        <w:t>(3)</w:t>
      </w:r>
      <w:r>
        <w:tab/>
        <w:t xml:space="preserve">The Housing Authority Fund referred to in section 62(2) of the </w:t>
      </w:r>
      <w:r>
        <w:rPr>
          <w:i/>
        </w:rPr>
        <w:t>Housing Act 1980</w:t>
      </w:r>
      <w:r>
        <w:t xml:space="preserve"> as in force after commencement is a continuation of The State Housing Commission Fund referred to in that subsection as in force before commencement.</w:t>
      </w:r>
    </w:p>
    <w:p>
      <w:pPr>
        <w:pStyle w:val="nzSubsection"/>
      </w:pPr>
      <w:r>
        <w:tab/>
        <w:t>(4)</w:t>
      </w:r>
      <w:r>
        <w:tab/>
        <w:t xml:space="preserve">After commencement, a reference to The State Housing Commission Fund in an instrument or other document is to be taken to be a reference to the Housing Authority Fund referred to in section 62(2) of the </w:t>
      </w:r>
      <w:r>
        <w:rPr>
          <w:i/>
        </w:rPr>
        <w:t>Housing Act 1980</w:t>
      </w:r>
      <w:r>
        <w:t xml:space="preserve"> as in force after commencement unless the contrary intention appears or the context otherwise requires.</w:t>
      </w:r>
    </w:p>
    <w:p>
      <w:pPr>
        <w:pStyle w:val="nzSubsection"/>
      </w:pPr>
      <w:r>
        <w:tab/>
        <w:t>(5)</w:t>
      </w:r>
      <w:r>
        <w:tab/>
        <w:t xml:space="preserve">Section 69 of the </w:t>
      </w:r>
      <w:r>
        <w:rPr>
          <w:i/>
        </w:rPr>
        <w:t>Housing Act 1980</w:t>
      </w:r>
      <w:r>
        <w:t>, as in force before commencement, continues to apply in relation to things done or omitted to be done and agreements entered into before commencement.</w:t>
      </w:r>
    </w:p>
    <w:p>
      <w:pPr>
        <w:pStyle w:val="nzHeading5"/>
      </w:pPr>
      <w:bookmarkStart w:id="721" w:name="_Toc100544674"/>
      <w:bookmarkStart w:id="722" w:name="_Toc138661466"/>
      <w:bookmarkStart w:id="723" w:name="_Toc138751152"/>
      <w:bookmarkStart w:id="724" w:name="_Toc139166893"/>
      <w:r>
        <w:t>340.</w:t>
      </w:r>
      <w:r>
        <w:tab/>
        <w:t>Interpretation</w:t>
      </w:r>
      <w:bookmarkEnd w:id="721"/>
      <w:bookmarkEnd w:id="722"/>
      <w:bookmarkEnd w:id="723"/>
      <w:bookmarkEnd w:id="724"/>
    </w:p>
    <w:p>
      <w:pPr>
        <w:pStyle w:val="nzSubsection"/>
      </w:pPr>
      <w:r>
        <w:tab/>
      </w:r>
      <w:r>
        <w:tab/>
        <w:t xml:space="preserve">In this Division — </w:t>
      </w:r>
    </w:p>
    <w:p>
      <w:pPr>
        <w:pStyle w:val="nzDefstart"/>
      </w:pPr>
      <w:r>
        <w:rPr>
          <w:b/>
        </w:rPr>
        <w:tab/>
      </w:r>
      <w:r>
        <w:rPr>
          <w:rStyle w:val="CharDefText"/>
        </w:rPr>
        <w:t>commencement</w:t>
      </w:r>
      <w:r>
        <w:t xml:space="preserve"> means the time at which section 314 comes into operation;</w:t>
      </w:r>
    </w:p>
    <w:p>
      <w:pPr>
        <w:pStyle w:val="nzDefstart"/>
      </w:pPr>
      <w:r>
        <w:rPr>
          <w:b/>
        </w:rPr>
        <w:tab/>
      </w:r>
      <w:r>
        <w:rPr>
          <w:rStyle w:val="CharDefText"/>
        </w:rPr>
        <w:t>former body</w:t>
      </w:r>
      <w:r>
        <w:t xml:space="preserve"> means — </w:t>
      </w:r>
    </w:p>
    <w:p>
      <w:pPr>
        <w:pStyle w:val="nzDefpara"/>
      </w:pPr>
      <w:r>
        <w:tab/>
        <w:t>(a)</w:t>
      </w:r>
      <w:r>
        <w:tab/>
        <w:t xml:space="preserve">the Country Housing Authority established by section 4 of the </w:t>
      </w:r>
      <w:r>
        <w:rPr>
          <w:i/>
        </w:rPr>
        <w:t>Country Housing Act 1998</w:t>
      </w:r>
      <w:r>
        <w:t xml:space="preserve"> as in force before commencement;</w:t>
      </w:r>
    </w:p>
    <w:p>
      <w:pPr>
        <w:pStyle w:val="nzDefpara"/>
      </w:pPr>
      <w:r>
        <w:tab/>
        <w:t>(b)</w:t>
      </w:r>
      <w:r>
        <w:tab/>
        <w:t xml:space="preserve">the Government Employees’ Housing Authority established by section 8 of the </w:t>
      </w:r>
      <w:r>
        <w:rPr>
          <w:i/>
        </w:rPr>
        <w:t>Government Employees’ Housing Act 1964</w:t>
      </w:r>
      <w:r>
        <w:t xml:space="preserve"> as in force before commencement;</w:t>
      </w:r>
    </w:p>
    <w:p>
      <w:pPr>
        <w:pStyle w:val="nzDefstart"/>
      </w:pPr>
      <w:r>
        <w:rPr>
          <w:b/>
        </w:rPr>
        <w:tab/>
      </w:r>
      <w:r>
        <w:rPr>
          <w:rStyle w:val="CharDefText"/>
        </w:rPr>
        <w:t>Housing Authority</w:t>
      </w:r>
      <w:r>
        <w:t xml:space="preserve"> means the Housing Authority referred to in section 6(4) of the </w:t>
      </w:r>
      <w:r>
        <w:rPr>
          <w:i/>
        </w:rPr>
        <w:t>Housing Act 1980</w:t>
      </w:r>
      <w:r>
        <w:t xml:space="preserve"> as in force after commencement.</w:t>
      </w:r>
    </w:p>
    <w:p>
      <w:pPr>
        <w:pStyle w:val="MiscClose"/>
      </w:pPr>
      <w:r>
        <w:t>”.</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 xml:space="preserve">Housing Societies Repeal Act 2005 </w:t>
      </w:r>
      <w:r>
        <w:rPr>
          <w:iCs/>
          <w:snapToGrid w:val="0"/>
        </w:rPr>
        <w:t>s. 28 had</w:t>
      </w:r>
      <w:r>
        <w:rPr>
          <w:snapToGrid w:val="0"/>
        </w:rPr>
        <w:t xml:space="preserve"> not come into operation.  It reads as follows:</w:t>
      </w:r>
    </w:p>
    <w:p>
      <w:pPr>
        <w:pStyle w:val="MiscOpen"/>
        <w:rPr>
          <w:snapToGrid w:val="0"/>
        </w:rPr>
      </w:pPr>
      <w:r>
        <w:rPr>
          <w:snapToGrid w:val="0"/>
        </w:rPr>
        <w:t>“</w:t>
      </w:r>
    </w:p>
    <w:p>
      <w:pPr>
        <w:pStyle w:val="nzHeading5"/>
      </w:pPr>
      <w:bookmarkStart w:id="725" w:name="_Toc102877596"/>
      <w:bookmarkStart w:id="726" w:name="_Toc115180710"/>
      <w:r>
        <w:rPr>
          <w:rStyle w:val="CharSectno"/>
        </w:rPr>
        <w:t>28</w:t>
      </w:r>
      <w:r>
        <w:t>.</w:t>
      </w:r>
      <w:r>
        <w:tab/>
      </w:r>
      <w:r>
        <w:rPr>
          <w:i/>
          <w:iCs/>
        </w:rPr>
        <w:t xml:space="preserve">Housing Act 1980 </w:t>
      </w:r>
      <w:r>
        <w:rPr>
          <w:iCs/>
        </w:rPr>
        <w:t>amended</w:t>
      </w:r>
      <w:bookmarkEnd w:id="725"/>
      <w:bookmarkEnd w:id="726"/>
    </w:p>
    <w:p>
      <w:pPr>
        <w:pStyle w:val="nzSubsection"/>
      </w:pPr>
      <w:r>
        <w:tab/>
        <w:t>(1)</w:t>
      </w:r>
      <w:r>
        <w:tab/>
        <w:t xml:space="preserve">The amendments in this section are to the </w:t>
      </w:r>
      <w:r>
        <w:rPr>
          <w:i/>
        </w:rPr>
        <w:t>Housing Act 1980</w:t>
      </w:r>
      <w:r>
        <w:t>.</w:t>
      </w:r>
    </w:p>
    <w:p>
      <w:pPr>
        <w:pStyle w:val="nzSubsection"/>
      </w:pPr>
      <w:r>
        <w:tab/>
        <w:t>(2)</w:t>
      </w:r>
      <w:r>
        <w:tab/>
        <w:t>Section 52(1) is amended in the definition of “lending institution” by deleting paragraph (a).</w:t>
      </w:r>
    </w:p>
    <w:p>
      <w:pPr>
        <w:pStyle w:val="nzSubsection"/>
      </w:pPr>
      <w:r>
        <w:tab/>
        <w:t>(3)</w:t>
      </w:r>
      <w:r>
        <w:tab/>
        <w:t>Section 55(5) is amended by deleting “or on termination of the lending institution in the case of a housing society;”.</w:t>
      </w:r>
    </w:p>
    <w:p>
      <w:pPr>
        <w:pStyle w:val="MiscClose"/>
        <w:rPr>
          <w:snapToGrid w:val="0"/>
        </w:rPr>
      </w:pPr>
      <w:r>
        <w:rPr>
          <w:snapToGrid w:val="0"/>
        </w:rPr>
        <w:t>”.</w:t>
      </w:r>
    </w:p>
    <w:p>
      <w:bookmarkStart w:id="727" w:name="AutoSch"/>
      <w:bookmarkEnd w:id="727"/>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Housing Act 1980</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58"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28"/>
          </w:pPr>
          <w:fldSimple w:instr=" STYLEREF &quot;Name of Act/Reg&quot; \* MERGEFORMAT ">
            <w:r>
              <w:rPr>
                <w:noProof/>
              </w:rPr>
              <w:t>Housing Act 1980</w:t>
            </w:r>
          </w:fldSimple>
        </w:p>
      </w:tc>
    </w:tr>
    <w:tr>
      <w:tc>
        <w:tcPr>
          <w:tcW w:w="5715" w:type="dxa"/>
        </w:tcPr>
        <w:p>
          <w:pPr>
            <w:pStyle w:val="HeaderTextRight"/>
          </w:pPr>
        </w:p>
      </w:tc>
      <w:tc>
        <w:tcPr>
          <w:tcW w:w="1548" w:type="dxa"/>
        </w:tcPr>
        <w:p>
          <w:pPr>
            <w:pStyle w:val="HeaderNumberRight"/>
            <w:ind w:right="28"/>
            <w:rPr>
              <w:b w:val="0"/>
            </w:rPr>
          </w:pPr>
        </w:p>
      </w:tc>
    </w:tr>
    <w:tr>
      <w:tc>
        <w:tcPr>
          <w:tcW w:w="5715" w:type="dxa"/>
        </w:tcPr>
        <w:p>
          <w:pPr>
            <w:pStyle w:val="HeaderTextRight"/>
          </w:pPr>
        </w:p>
      </w:tc>
      <w:tc>
        <w:tcPr>
          <w:tcW w:w="1548" w:type="dxa"/>
        </w:tcPr>
        <w:p>
          <w:pPr>
            <w:pStyle w:val="HeaderNumberRight"/>
            <w:ind w:right="28"/>
            <w:rPr>
              <w:b w:val="0"/>
            </w:rPr>
          </w:pPr>
        </w:p>
      </w:tc>
    </w:tr>
    <w:tr>
      <w:trPr>
        <w:cantSplit/>
      </w:trPr>
      <w:tc>
        <w:tcPr>
          <w:tcW w:w="7258"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ActNameLeft"/>
          </w:pPr>
          <w:fldSimple w:instr=" STYLEREF &quot;Name of Act/Reg&quot; \* MERGEFORMAT ">
            <w:r>
              <w:rPr>
                <w:noProof/>
              </w:rPr>
              <w:t>Housing Act 1980</w:t>
            </w:r>
          </w:fldSimple>
        </w:p>
      </w:tc>
    </w:tr>
    <w:tr>
      <w:tc>
        <w:tcPr>
          <w:tcW w:w="1348" w:type="dxa"/>
        </w:tcPr>
        <w:p>
          <w:pPr>
            <w:pStyle w:val="HeaderNumberLeft"/>
          </w:pPr>
          <w:r>
            <w:fldChar w:fldCharType="begin"/>
          </w:r>
          <w:r>
            <w:instrText xml:space="preserve"> styleref CharPartNo </w:instrText>
          </w:r>
          <w:r>
            <w:fldChar w:fldCharType="end"/>
          </w:r>
        </w:p>
      </w:tc>
      <w:tc>
        <w:tcPr>
          <w:tcW w:w="5915" w:type="dxa"/>
        </w:tcPr>
        <w:p>
          <w:pPr>
            <w:pStyle w:val="HeaderTextLeft"/>
          </w:pPr>
          <w:r>
            <w:fldChar w:fldCharType="begin"/>
          </w:r>
          <w:r>
            <w:instrText xml:space="preserve"> styleref CharPartText </w:instrText>
          </w:r>
          <w: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ActNameRight"/>
            <w:ind w:right="17"/>
          </w:pPr>
          <w:fldSimple w:instr=" STYLEREF &quot;Name of Act/Reg&quot; \* MERGEFORMAT ">
            <w:r>
              <w:rPr>
                <w:noProof/>
              </w:rPr>
              <w:t>Housing Act 1980</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Left"/>
            <w:ind w:right="17"/>
            <w:jc w:val="right"/>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Housing Act 1980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Housing Act 1980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16782</Words>
  <Characters>79885</Characters>
  <Application>Microsoft Office Word</Application>
  <DocSecurity>0</DocSecurity>
  <Lines>2159</Lines>
  <Paragraphs>1074</Paragraphs>
  <ScaleCrop>false</ScaleCrop>
  <HeadingPairs>
    <vt:vector size="2" baseType="variant">
      <vt:variant>
        <vt:lpstr>Title</vt:lpstr>
      </vt:variant>
      <vt:variant>
        <vt:i4>1</vt:i4>
      </vt:variant>
    </vt:vector>
  </HeadingPairs>
  <TitlesOfParts>
    <vt:vector size="1" baseType="lpstr">
      <vt:lpstr>Housing Act 1980</vt:lpstr>
    </vt:vector>
  </TitlesOfParts>
  <Manager/>
  <Company/>
  <LinksUpToDate>false</LinksUpToDate>
  <CharactersWithSpaces>95593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Act 1980 - 02-f0-07</dc:title>
  <dc:subject/>
  <dc:creator/>
  <cp:keywords/>
  <dc:description/>
  <cp:lastModifiedBy>svcMRProcess</cp:lastModifiedBy>
  <cp:revision>4</cp:revision>
  <cp:lastPrinted>2007-02-08T05:42:00Z</cp:lastPrinted>
  <dcterms:created xsi:type="dcterms:W3CDTF">2018-09-03T01:12:00Z</dcterms:created>
  <dcterms:modified xsi:type="dcterms:W3CDTF">2018-09-03T01:12:00Z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1980</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357</vt:i4>
  </property>
  <property fmtid="{D5CDD505-2E9C-101B-9397-08002B2CF9AE}" pid="6" name="AsAtDate">
    <vt:lpwstr>01 Jul 2008</vt:lpwstr>
  </property>
  <property fmtid="{D5CDD505-2E9C-101B-9397-08002B2CF9AE}" pid="7" name="Suffix">
    <vt:lpwstr>02-f0-07</vt:lpwstr>
  </property>
</Properties>
</file>