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Workers’ Compensation and Injury Management Act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_Toc390078220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_Toc390078221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Purposes</w:t>
      </w:r>
      <w:r>
        <w:tab/>
      </w:r>
      <w:r>
        <w:fldChar w:fldCharType="begin"/>
      </w:r>
      <w:r>
        <w:instrText xml:space="preserve"> PAGEREF _Toc390078222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General application</w:t>
      </w:r>
      <w:r>
        <w:tab/>
      </w:r>
      <w:r>
        <w:fldChar w:fldCharType="begin"/>
      </w:r>
      <w:r>
        <w:instrText xml:space="preserve"> PAGEREF _Toc390078223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Definitions</w:t>
      </w:r>
      <w:r>
        <w:tab/>
      </w:r>
      <w:r>
        <w:fldChar w:fldCharType="begin"/>
      </w:r>
      <w:r>
        <w:instrText xml:space="preserve"> PAGEREF _Toc390078224 \h </w:instrText>
      </w:r>
      <w:r>
        <w:fldChar w:fldCharType="separate"/>
      </w:r>
      <w:r>
        <w:t>5</w:t>
      </w:r>
      <w:r>
        <w:fldChar w:fldCharType="end"/>
      </w:r>
    </w:p>
    <w:p>
      <w:pPr>
        <w:pStyle w:val="TOC8"/>
        <w:rPr>
          <w:rFonts w:asciiTheme="minorHAnsi" w:eastAsiaTheme="minorEastAsia" w:hAnsiTheme="minorHAnsi" w:cstheme="minorBidi"/>
          <w:szCs w:val="22"/>
        </w:rPr>
      </w:pPr>
      <w:r>
        <w:t>5A.</w:t>
      </w:r>
      <w:r>
        <w:tab/>
        <w:t>Indexation of certain amounts</w:t>
      </w:r>
      <w:r>
        <w:tab/>
      </w:r>
      <w:r>
        <w:fldChar w:fldCharType="begin"/>
      </w:r>
      <w:r>
        <w:instrText xml:space="preserve"> PAGEREF _Toc390078225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Part II — Application of this Act in respect of certain persons and bodies</w:t>
      </w:r>
    </w:p>
    <w:p>
      <w:pPr>
        <w:pStyle w:val="TOC8"/>
        <w:rPr>
          <w:rFonts w:asciiTheme="minorHAnsi" w:eastAsiaTheme="minorEastAsia" w:hAnsiTheme="minorHAnsi" w:cstheme="minorBidi"/>
          <w:szCs w:val="22"/>
        </w:rPr>
      </w:pPr>
      <w:r>
        <w:t>6</w:t>
      </w:r>
      <w:r>
        <w:rPr>
          <w:snapToGrid w:val="0"/>
        </w:rPr>
        <w:t>.</w:t>
      </w:r>
      <w:r>
        <w:rPr>
          <w:snapToGrid w:val="0"/>
        </w:rPr>
        <w:tab/>
        <w:t>Local governments and other authorities</w:t>
      </w:r>
      <w:r>
        <w:tab/>
      </w:r>
      <w:r>
        <w:fldChar w:fldCharType="begin"/>
      </w:r>
      <w:r>
        <w:instrText xml:space="preserve"> PAGEREF _Toc390078227 \h </w:instrText>
      </w:r>
      <w:r>
        <w:fldChar w:fldCharType="separate"/>
      </w:r>
      <w:r>
        <w:t>20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Tributers</w:t>
      </w:r>
      <w:r>
        <w:tab/>
      </w:r>
      <w:r>
        <w:fldChar w:fldCharType="begin"/>
      </w:r>
      <w:r>
        <w:instrText xml:space="preserve"> PAGEREF _Toc390078228 \h </w:instrText>
      </w:r>
      <w:r>
        <w:fldChar w:fldCharType="separate"/>
      </w:r>
      <w:r>
        <w:t>20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Baptist clergymen</w:t>
      </w:r>
      <w:r>
        <w:tab/>
      </w:r>
      <w:r>
        <w:fldChar w:fldCharType="begin"/>
      </w:r>
      <w:r>
        <w:instrText xml:space="preserve"> PAGEREF _Toc390078229 \h </w:instrText>
      </w:r>
      <w:r>
        <w:fldChar w:fldCharType="separate"/>
      </w:r>
      <w:r>
        <w:t>20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Anglican clergy</w:t>
      </w:r>
      <w:r>
        <w:tab/>
      </w:r>
      <w:r>
        <w:fldChar w:fldCharType="begin"/>
      </w:r>
      <w:r>
        <w:instrText xml:space="preserve"> PAGEREF _Toc390078230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clergymen</w:t>
      </w:r>
      <w:r>
        <w:tab/>
      </w:r>
      <w:r>
        <w:fldChar w:fldCharType="begin"/>
      </w:r>
      <w:r>
        <w:instrText xml:space="preserve"> PAGEREF _Toc390078231 \h </w:instrText>
      </w:r>
      <w:r>
        <w:fldChar w:fldCharType="separate"/>
      </w:r>
      <w:r>
        <w:t>21</w:t>
      </w:r>
      <w:r>
        <w:fldChar w:fldCharType="end"/>
      </w:r>
    </w:p>
    <w:p>
      <w:pPr>
        <w:pStyle w:val="TOC8"/>
        <w:rPr>
          <w:rFonts w:asciiTheme="minorHAnsi" w:eastAsiaTheme="minorEastAsia" w:hAnsiTheme="minorHAnsi" w:cstheme="minorBidi"/>
          <w:szCs w:val="22"/>
        </w:rPr>
      </w:pPr>
      <w:r>
        <w:t>10A.</w:t>
      </w:r>
      <w:r>
        <w:tab/>
        <w:t>Working directors</w:t>
      </w:r>
      <w:r>
        <w:tab/>
      </w:r>
      <w:r>
        <w:fldChar w:fldCharType="begin"/>
      </w:r>
      <w:r>
        <w:instrText xml:space="preserve"> PAGEREF _Toc390078232 \h </w:instrText>
      </w:r>
      <w:r>
        <w:fldChar w:fldCharType="separate"/>
      </w:r>
      <w:r>
        <w:t>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Exclusion of certain persons who are contestants in sporting or athletic activities</w:t>
      </w:r>
      <w:r>
        <w:tab/>
      </w:r>
      <w:r>
        <w:fldChar w:fldCharType="begin"/>
      </w:r>
      <w:r>
        <w:instrText xml:space="preserve"> PAGEREF _Toc390078233 \h </w:instrText>
      </w:r>
      <w:r>
        <w:fldChar w:fldCharType="separate"/>
      </w:r>
      <w:r>
        <w:t>23</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Jockeys</w:t>
      </w:r>
      <w:r>
        <w:tab/>
      </w:r>
      <w:r>
        <w:fldChar w:fldCharType="begin"/>
      </w:r>
      <w:r>
        <w:instrText xml:space="preserve"> PAGEREF _Toc390078234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Compensation not payable in certain cases</w:t>
      </w:r>
      <w:r>
        <w:tab/>
      </w:r>
      <w:r>
        <w:fldChar w:fldCharType="begin"/>
      </w:r>
      <w:r>
        <w:instrText xml:space="preserve"> PAGEREF _Toc390078235 \h </w:instrText>
      </w:r>
      <w:r>
        <w:fldChar w:fldCharType="separate"/>
      </w:r>
      <w:r>
        <w:t>24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Continued operation of this Act where compensation previously paid</w:t>
      </w:r>
      <w:r>
        <w:tab/>
      </w:r>
      <w:r>
        <w:fldChar w:fldCharType="begin"/>
      </w:r>
      <w:r>
        <w:instrText xml:space="preserve"> PAGEREF _Toc390078236 \h </w:instrText>
      </w:r>
      <w:r>
        <w:fldChar w:fldCharType="separate"/>
      </w:r>
      <w:r>
        <w:t>24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to worker in employment of Crown</w:t>
      </w:r>
      <w:r>
        <w:tab/>
      </w:r>
      <w:r>
        <w:fldChar w:fldCharType="begin"/>
      </w:r>
      <w:r>
        <w:instrText xml:space="preserve"> PAGEREF _Toc390078237 \h </w:instrText>
      </w:r>
      <w:r>
        <w:fldChar w:fldCharType="separate"/>
      </w:r>
      <w:r>
        <w:t>25</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Act to apply as to injury to persons employed on Western Australian ships</w:t>
      </w:r>
      <w:r>
        <w:tab/>
      </w:r>
      <w:r>
        <w:fldChar w:fldCharType="begin"/>
      </w:r>
      <w:r>
        <w:instrText xml:space="preserve"> PAGEREF _Toc390078238 \h </w:instrText>
      </w:r>
      <w:r>
        <w:fldChar w:fldCharType="separate"/>
      </w:r>
      <w:r>
        <w:t>25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Crew of fishing vessel</w:t>
      </w:r>
      <w:r>
        <w:tab/>
      </w:r>
      <w:r>
        <w:fldChar w:fldCharType="begin"/>
      </w:r>
      <w:r>
        <w:instrText xml:space="preserve"> PAGEREF _Toc390078239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III — Compensation</w:t>
      </w:r>
    </w:p>
    <w:p>
      <w:pPr>
        <w:pStyle w:val="TOC4"/>
        <w:tabs>
          <w:tab w:val="right" w:leader="dot" w:pos="7086"/>
        </w:tabs>
        <w:rPr>
          <w:rFonts w:asciiTheme="minorHAnsi" w:eastAsiaTheme="minorEastAsia" w:hAnsiTheme="minorHAnsi" w:cstheme="minorBidi"/>
          <w:b w:val="0"/>
          <w:szCs w:val="22"/>
        </w:rPr>
      </w:pPr>
      <w:r>
        <w:t>Division 1 — Injury: general</w:t>
      </w:r>
    </w:p>
    <w:p>
      <w:pPr>
        <w:pStyle w:val="TOC8"/>
        <w:rPr>
          <w:rFonts w:asciiTheme="minorHAnsi" w:eastAsiaTheme="minorEastAsia" w:hAnsiTheme="minorHAnsi" w:cstheme="minorBidi"/>
          <w:szCs w:val="22"/>
        </w:rPr>
      </w:pPr>
      <w:r>
        <w:t>18</w:t>
      </w:r>
      <w:r>
        <w:rPr>
          <w:snapToGrid w:val="0"/>
        </w:rPr>
        <w:t>.</w:t>
      </w:r>
      <w:r>
        <w:rPr>
          <w:snapToGrid w:val="0"/>
        </w:rPr>
        <w:tab/>
        <w:t>Liability of employers to workers for injuries</w:t>
      </w:r>
      <w:r>
        <w:tab/>
      </w:r>
      <w:r>
        <w:fldChar w:fldCharType="begin"/>
      </w:r>
      <w:r>
        <w:instrText xml:space="preserve"> PAGEREF _Toc390078242 \h </w:instrText>
      </w:r>
      <w:r>
        <w:fldChar w:fldCharType="separate"/>
      </w:r>
      <w:r>
        <w:t>28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Personal injury by accident arising out of or in course of employment</w:t>
      </w:r>
      <w:r>
        <w:tab/>
      </w:r>
      <w:r>
        <w:fldChar w:fldCharType="begin"/>
      </w:r>
      <w:r>
        <w:instrText xml:space="preserve"> PAGEREF _Toc390078243 \h </w:instrText>
      </w:r>
      <w:r>
        <w:fldChar w:fldCharType="separate"/>
      </w:r>
      <w:r>
        <w:t>28</w:t>
      </w:r>
      <w:r>
        <w:fldChar w:fldCharType="end"/>
      </w:r>
    </w:p>
    <w:p>
      <w:pPr>
        <w:pStyle w:val="TOC8"/>
        <w:rPr>
          <w:rFonts w:asciiTheme="minorHAnsi" w:eastAsiaTheme="minorEastAsia" w:hAnsiTheme="minorHAnsi" w:cstheme="minorBidi"/>
          <w:szCs w:val="22"/>
        </w:rPr>
      </w:pPr>
      <w:r>
        <w:t>20.</w:t>
      </w:r>
      <w:r>
        <w:tab/>
        <w:t>Compensation not payable unless worker’s employment connected with this State</w:t>
      </w:r>
      <w:r>
        <w:tab/>
      </w:r>
      <w:r>
        <w:fldChar w:fldCharType="begin"/>
      </w:r>
      <w:r>
        <w:instrText xml:space="preserve"> PAGEREF _Toc390078244 \h </w:instrText>
      </w:r>
      <w:r>
        <w:fldChar w:fldCharType="separate"/>
      </w:r>
      <w:r>
        <w:t>29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from date of incapacity</w:t>
      </w:r>
      <w:r>
        <w:tab/>
      </w:r>
      <w:r>
        <w:fldChar w:fldCharType="begin"/>
      </w:r>
      <w:r>
        <w:instrText xml:space="preserve"> PAGEREF _Toc390078245 \h </w:instrText>
      </w:r>
      <w:r>
        <w:fldChar w:fldCharType="separate"/>
      </w:r>
      <w:r>
        <w:t>31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Serious and wilful misconduct</w:t>
      </w:r>
      <w:r>
        <w:tab/>
      </w:r>
      <w:r>
        <w:fldChar w:fldCharType="begin"/>
      </w:r>
      <w:r>
        <w:instrText xml:space="preserve"> PAGEREF _Toc390078246 \h </w:instrText>
      </w:r>
      <w:r>
        <w:fldChar w:fldCharType="separate"/>
      </w:r>
      <w:r>
        <w:t>31</w:t>
      </w:r>
      <w:r>
        <w:fldChar w:fldCharType="end"/>
      </w:r>
    </w:p>
    <w:p>
      <w:pPr>
        <w:pStyle w:val="TOC8"/>
        <w:rPr>
          <w:rFonts w:asciiTheme="minorHAnsi" w:eastAsiaTheme="minorEastAsia" w:hAnsiTheme="minorHAnsi" w:cstheme="minorBidi"/>
          <w:szCs w:val="22"/>
        </w:rPr>
      </w:pPr>
      <w:r>
        <w:t>23.</w:t>
      </w:r>
      <w:r>
        <w:tab/>
        <w:t>Person not to be compensated twice</w:t>
      </w:r>
      <w:r>
        <w:tab/>
      </w:r>
      <w:r>
        <w:fldChar w:fldCharType="begin"/>
      </w:r>
      <w:r>
        <w:instrText xml:space="preserve"> PAGEREF _Toc390078247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1a — Determination by courts and recognition of determination</w:t>
      </w:r>
    </w:p>
    <w:p>
      <w:pPr>
        <w:pStyle w:val="TOC8"/>
        <w:rPr>
          <w:rFonts w:asciiTheme="minorHAnsi" w:eastAsiaTheme="minorEastAsia" w:hAnsiTheme="minorHAnsi" w:cstheme="minorBidi"/>
          <w:szCs w:val="22"/>
        </w:rPr>
      </w:pPr>
      <w:r>
        <w:t>23A.</w:t>
      </w:r>
      <w:r>
        <w:tab/>
        <w:t>Definition</w:t>
      </w:r>
      <w:r>
        <w:tab/>
      </w:r>
      <w:r>
        <w:fldChar w:fldCharType="begin"/>
      </w:r>
      <w:r>
        <w:instrText xml:space="preserve"> PAGEREF _Toc390078249 \h </w:instrText>
      </w:r>
      <w:r>
        <w:fldChar w:fldCharType="separate"/>
      </w:r>
      <w:r>
        <w:t>32</w:t>
      </w:r>
      <w:r>
        <w:fldChar w:fldCharType="end"/>
      </w:r>
    </w:p>
    <w:p>
      <w:pPr>
        <w:pStyle w:val="TOC8"/>
        <w:rPr>
          <w:rFonts w:asciiTheme="minorHAnsi" w:eastAsiaTheme="minorEastAsia" w:hAnsiTheme="minorHAnsi" w:cstheme="minorBidi"/>
          <w:szCs w:val="22"/>
        </w:rPr>
      </w:pPr>
      <w:r>
        <w:t>23B.</w:t>
      </w:r>
      <w:r>
        <w:tab/>
        <w:t>Determination of State with which worker’s employment is connected in proceedings under this Act</w:t>
      </w:r>
      <w:r>
        <w:tab/>
      </w:r>
      <w:r>
        <w:fldChar w:fldCharType="begin"/>
      </w:r>
      <w:r>
        <w:instrText xml:space="preserve"> PAGEREF _Toc390078250 \h </w:instrText>
      </w:r>
      <w:r>
        <w:fldChar w:fldCharType="separate"/>
      </w:r>
      <w:r>
        <w:t>33</w:t>
      </w:r>
      <w:r>
        <w:fldChar w:fldCharType="end"/>
      </w:r>
    </w:p>
    <w:p>
      <w:pPr>
        <w:pStyle w:val="TOC8"/>
        <w:rPr>
          <w:rFonts w:asciiTheme="minorHAnsi" w:eastAsiaTheme="minorEastAsia" w:hAnsiTheme="minorHAnsi" w:cstheme="minorBidi"/>
          <w:szCs w:val="22"/>
        </w:rPr>
      </w:pPr>
      <w:r>
        <w:t>23C.</w:t>
      </w:r>
      <w:r>
        <w:tab/>
        <w:t>Determination by the District Court of State with which worker’s employment is connected</w:t>
      </w:r>
      <w:r>
        <w:tab/>
      </w:r>
      <w:r>
        <w:fldChar w:fldCharType="begin"/>
      </w:r>
      <w:r>
        <w:instrText xml:space="preserve"> PAGEREF _Toc390078251 \h </w:instrText>
      </w:r>
      <w:r>
        <w:fldChar w:fldCharType="separate"/>
      </w:r>
      <w:r>
        <w:t>33</w:t>
      </w:r>
      <w:r>
        <w:fldChar w:fldCharType="end"/>
      </w:r>
    </w:p>
    <w:p>
      <w:pPr>
        <w:pStyle w:val="TOC8"/>
        <w:rPr>
          <w:rFonts w:asciiTheme="minorHAnsi" w:eastAsiaTheme="minorEastAsia" w:hAnsiTheme="minorHAnsi" w:cstheme="minorBidi"/>
          <w:szCs w:val="22"/>
        </w:rPr>
      </w:pPr>
      <w:r>
        <w:t>23D.</w:t>
      </w:r>
      <w:r>
        <w:tab/>
        <w:t>Recognition of previous determinations</w:t>
      </w:r>
      <w:r>
        <w:tab/>
      </w:r>
      <w:r>
        <w:fldChar w:fldCharType="begin"/>
      </w:r>
      <w:r>
        <w:instrText xml:space="preserve"> PAGEREF _Toc390078252 \h </w:instrText>
      </w:r>
      <w:r>
        <w:fldChar w:fldCharType="separate"/>
      </w:r>
      <w:r>
        <w:t>33</w:t>
      </w:r>
      <w:r>
        <w:fldChar w:fldCharType="end"/>
      </w:r>
    </w:p>
    <w:p>
      <w:pPr>
        <w:pStyle w:val="TOC8"/>
        <w:rPr>
          <w:rFonts w:asciiTheme="minorHAnsi" w:eastAsiaTheme="minorEastAsia" w:hAnsiTheme="minorHAnsi" w:cstheme="minorBidi"/>
          <w:szCs w:val="22"/>
        </w:rPr>
      </w:pPr>
      <w:r>
        <w:t>23E.</w:t>
      </w:r>
      <w:r>
        <w:tab/>
        <w:t>Determination may be made by consent</w:t>
      </w:r>
      <w:r>
        <w:tab/>
      </w:r>
      <w:r>
        <w:fldChar w:fldCharType="begin"/>
      </w:r>
      <w:r>
        <w:instrText xml:space="preserve"> PAGEREF _Toc390078253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rPr>
      </w:pPr>
      <w:r>
        <w:t>Division 2 — Discontinued regime for lump sum payments for specified injuries</w:t>
      </w:r>
    </w:p>
    <w:p>
      <w:pPr>
        <w:pStyle w:val="TOC8"/>
        <w:rPr>
          <w:rFonts w:asciiTheme="minorHAnsi" w:eastAsiaTheme="minorEastAsia" w:hAnsiTheme="minorHAnsi" w:cstheme="minorBidi"/>
          <w:szCs w:val="22"/>
        </w:rPr>
      </w:pPr>
      <w:r>
        <w:t>24</w:t>
      </w:r>
      <w:r>
        <w:rPr>
          <w:snapToGrid w:val="0"/>
        </w:rPr>
        <w:t>.</w:t>
      </w:r>
      <w:r>
        <w:rPr>
          <w:snapToGrid w:val="0"/>
        </w:rPr>
        <w:tab/>
        <w:t>Compensation for injuries mentioned in Schedule 2</w:t>
      </w:r>
      <w:r>
        <w:tab/>
      </w:r>
      <w:r>
        <w:fldChar w:fldCharType="begin"/>
      </w:r>
      <w:r>
        <w:instrText xml:space="preserve"> PAGEREF _Toc390078255 \h </w:instrText>
      </w:r>
      <w:r>
        <w:fldChar w:fldCharType="separate"/>
      </w:r>
      <w:r>
        <w:t>34</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Lump sum compensation for noise induced hearing loss</w:t>
      </w:r>
      <w:r>
        <w:tab/>
      </w:r>
      <w:r>
        <w:fldChar w:fldCharType="begin"/>
      </w:r>
      <w:r>
        <w:instrText xml:space="preserve"> PAGEREF _Toc390078256 \h </w:instrText>
      </w:r>
      <w:r>
        <w:fldChar w:fldCharType="separate"/>
      </w:r>
      <w:r>
        <w:t>35</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Election under section 24 or 24A</w:t>
      </w:r>
      <w:r>
        <w:tab/>
      </w:r>
      <w:r>
        <w:fldChar w:fldCharType="begin"/>
      </w:r>
      <w:r>
        <w:instrText xml:space="preserve"> PAGEREF _Toc390078257 \h </w:instrText>
      </w:r>
      <w:r>
        <w:fldChar w:fldCharType="separate"/>
      </w:r>
      <w:r>
        <w:t>37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“Loss of</w:t>
      </w:r>
      <w:r>
        <w:rPr>
          <w:snapToGrid w:val="0"/>
          <w:vertAlign w:val="superscript"/>
        </w:rPr>
        <w:t xml:space="preserve"> </w:t>
      </w:r>
      <w:r>
        <w:rPr>
          <w:snapToGrid w:val="0"/>
        </w:rPr>
        <w:t>”</w:t>
      </w:r>
      <w:r>
        <w:tab/>
      </w:r>
      <w:r>
        <w:fldChar w:fldCharType="begin"/>
      </w:r>
      <w:r>
        <w:instrText xml:space="preserve"> PAGEREF _Toc390078258 \h </w:instrText>
      </w:r>
      <w:r>
        <w:fldChar w:fldCharType="separate"/>
      </w:r>
      <w:r>
        <w:t>38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Subsequent injuries</w:t>
      </w:r>
      <w:r>
        <w:tab/>
      </w:r>
      <w:r>
        <w:fldChar w:fldCharType="begin"/>
      </w:r>
      <w:r>
        <w:instrText xml:space="preserve"> PAGEREF _Toc390078259 \h </w:instrText>
      </w:r>
      <w:r>
        <w:fldChar w:fldCharType="separate"/>
      </w:r>
      <w:r>
        <w:t>38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Compensation in accordance with table at date of accident</w:t>
      </w:r>
      <w:r>
        <w:tab/>
      </w:r>
      <w:r>
        <w:fldChar w:fldCharType="begin"/>
      </w:r>
      <w:r>
        <w:instrText xml:space="preserve"> PAGEREF _Toc390078260 \h </w:instrText>
      </w:r>
      <w:r>
        <w:fldChar w:fldCharType="separate"/>
      </w:r>
      <w:r>
        <w:t>39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Limit on compensation of worker electing</w:t>
      </w:r>
      <w:r>
        <w:tab/>
      </w:r>
      <w:r>
        <w:fldChar w:fldCharType="begin"/>
      </w:r>
      <w:r>
        <w:instrText xml:space="preserve"> PAGEREF _Toc390078261 \h </w:instrText>
      </w:r>
      <w:r>
        <w:fldChar w:fldCharType="separate"/>
      </w:r>
      <w:r>
        <w:t>39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Compensation while incapacity continues</w:t>
      </w:r>
      <w:r>
        <w:tab/>
      </w:r>
      <w:r>
        <w:fldChar w:fldCharType="begin"/>
      </w:r>
      <w:r>
        <w:instrText xml:space="preserve"> PAGEREF _Toc390078262 \h </w:instrText>
      </w:r>
      <w:r>
        <w:fldChar w:fldCharType="separate"/>
      </w:r>
      <w:r>
        <w:t>40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Compensation payable before election</w:t>
      </w:r>
      <w:r>
        <w:tab/>
      </w:r>
      <w:r>
        <w:fldChar w:fldCharType="begin"/>
      </w:r>
      <w:r>
        <w:instrText xml:space="preserve"> PAGEREF _Toc390078263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Schedule 2 interpretation</w:t>
      </w:r>
      <w:r>
        <w:tab/>
      </w:r>
      <w:r>
        <w:fldChar w:fldCharType="begin"/>
      </w:r>
      <w:r>
        <w:instrText xml:space="preserve"> PAGEREF _Toc390078264 \h </w:instrText>
      </w:r>
      <w:r>
        <w:fldChar w:fldCharType="separate"/>
      </w:r>
      <w:r>
        <w:t>41</w:t>
      </w:r>
      <w:r>
        <w:fldChar w:fldCharType="end"/>
      </w:r>
    </w:p>
    <w:p>
      <w:pPr>
        <w:pStyle w:val="TOC4"/>
        <w:tabs>
          <w:tab w:val="right" w:leader="dot" w:pos="7086"/>
        </w:tabs>
        <w:rPr>
          <w:rFonts w:asciiTheme="minorHAnsi" w:eastAsiaTheme="minorEastAsia" w:hAnsiTheme="minorHAnsi" w:cstheme="minorBidi"/>
          <w:b w:val="0"/>
          <w:szCs w:val="22"/>
        </w:rPr>
      </w:pPr>
      <w:r>
        <w:t>Division 2A — New regime for lump sum payments for specified injuries</w:t>
      </w:r>
    </w:p>
    <w:p>
      <w:pPr>
        <w:pStyle w:val="TOC8"/>
        <w:rPr>
          <w:rFonts w:asciiTheme="minorHAnsi" w:eastAsiaTheme="minorEastAsia" w:hAnsiTheme="minorHAnsi" w:cstheme="minorBidi"/>
          <w:szCs w:val="22"/>
        </w:rPr>
      </w:pPr>
      <w:r>
        <w:t>31A.</w:t>
      </w:r>
      <w:r>
        <w:tab/>
        <w:t>Application of Division</w:t>
      </w:r>
      <w:r>
        <w:tab/>
      </w:r>
      <w:r>
        <w:fldChar w:fldCharType="begin"/>
      </w:r>
      <w:r>
        <w:instrText xml:space="preserve"> PAGEREF _Toc390078266 \h </w:instrText>
      </w:r>
      <w:r>
        <w:fldChar w:fldCharType="separate"/>
      </w:r>
      <w:r>
        <w:t>41</w:t>
      </w:r>
      <w:r>
        <w:fldChar w:fldCharType="end"/>
      </w:r>
    </w:p>
    <w:p>
      <w:pPr>
        <w:pStyle w:val="TOC8"/>
        <w:rPr>
          <w:rFonts w:asciiTheme="minorHAnsi" w:eastAsiaTheme="minorEastAsia" w:hAnsiTheme="minorHAnsi" w:cstheme="minorBidi"/>
          <w:szCs w:val="22"/>
        </w:rPr>
      </w:pPr>
      <w:r>
        <w:t>31B.</w:t>
      </w:r>
      <w:r>
        <w:tab/>
        <w:t>Degree of permanent impairment</w:t>
      </w:r>
      <w:r>
        <w:tab/>
      </w:r>
      <w:r>
        <w:fldChar w:fldCharType="begin"/>
      </w:r>
      <w:r>
        <w:instrText xml:space="preserve"> PAGEREF _Toc390078267 \h </w:instrText>
      </w:r>
      <w:r>
        <w:fldChar w:fldCharType="separate"/>
      </w:r>
      <w:r>
        <w:t>42</w:t>
      </w:r>
      <w:r>
        <w:fldChar w:fldCharType="end"/>
      </w:r>
    </w:p>
    <w:p>
      <w:pPr>
        <w:pStyle w:val="TOC8"/>
        <w:rPr>
          <w:rFonts w:asciiTheme="minorHAnsi" w:eastAsiaTheme="minorEastAsia" w:hAnsiTheme="minorHAnsi" w:cstheme="minorBidi"/>
          <w:szCs w:val="22"/>
        </w:rPr>
      </w:pPr>
      <w:r>
        <w:t>31C.</w:t>
      </w:r>
      <w:r>
        <w:tab/>
        <w:t>Compensation for impairments mentioned in Schedule 2</w:t>
      </w:r>
      <w:r>
        <w:tab/>
      </w:r>
      <w:r>
        <w:fldChar w:fldCharType="begin"/>
      </w:r>
      <w:r>
        <w:instrText xml:space="preserve"> PAGEREF _Toc390078268 \h </w:instrText>
      </w:r>
      <w:r>
        <w:fldChar w:fldCharType="separate"/>
      </w:r>
      <w:r>
        <w:t>42</w:t>
      </w:r>
      <w:r>
        <w:fldChar w:fldCharType="end"/>
      </w:r>
    </w:p>
    <w:p>
      <w:pPr>
        <w:pStyle w:val="TOC8"/>
        <w:rPr>
          <w:rFonts w:asciiTheme="minorHAnsi" w:eastAsiaTheme="minorEastAsia" w:hAnsiTheme="minorHAnsi" w:cstheme="minorBidi"/>
          <w:szCs w:val="22"/>
        </w:rPr>
      </w:pPr>
      <w:r>
        <w:t>31D.</w:t>
      </w:r>
      <w:r>
        <w:tab/>
        <w:t>Schedule 2 impairment assessment</w:t>
      </w:r>
      <w:r>
        <w:tab/>
      </w:r>
      <w:r>
        <w:fldChar w:fldCharType="begin"/>
      </w:r>
      <w:r>
        <w:instrText xml:space="preserve"> PAGEREF _Toc390078269 \h </w:instrText>
      </w:r>
      <w:r>
        <w:fldChar w:fldCharType="separate"/>
      </w:r>
      <w:r>
        <w:t>43</w:t>
      </w:r>
      <w:r>
        <w:fldChar w:fldCharType="end"/>
      </w:r>
    </w:p>
    <w:p>
      <w:pPr>
        <w:pStyle w:val="TOC8"/>
        <w:rPr>
          <w:rFonts w:asciiTheme="minorHAnsi" w:eastAsiaTheme="minorEastAsia" w:hAnsiTheme="minorHAnsi" w:cstheme="minorBidi"/>
          <w:szCs w:val="22"/>
        </w:rPr>
      </w:pPr>
      <w:r>
        <w:t>31E.</w:t>
      </w:r>
      <w:r>
        <w:tab/>
        <w:t>Lump sum compensation for noise induced hearing loss</w:t>
      </w:r>
      <w:r>
        <w:tab/>
      </w:r>
      <w:r>
        <w:fldChar w:fldCharType="begin"/>
      </w:r>
      <w:r>
        <w:instrText xml:space="preserve"> PAGEREF _Toc390078270 \h </w:instrText>
      </w:r>
      <w:r>
        <w:fldChar w:fldCharType="separate"/>
      </w:r>
      <w:r>
        <w:t>44</w:t>
      </w:r>
      <w:r>
        <w:fldChar w:fldCharType="end"/>
      </w:r>
    </w:p>
    <w:p>
      <w:pPr>
        <w:pStyle w:val="TOC8"/>
        <w:rPr>
          <w:rFonts w:asciiTheme="minorHAnsi" w:eastAsiaTheme="minorEastAsia" w:hAnsiTheme="minorHAnsi" w:cstheme="minorBidi"/>
          <w:szCs w:val="22"/>
        </w:rPr>
      </w:pPr>
      <w:r>
        <w:t>31F.</w:t>
      </w:r>
      <w:r>
        <w:tab/>
        <w:t>Lump sum compensation for AIDS</w:t>
      </w:r>
      <w:r>
        <w:tab/>
      </w:r>
      <w:r>
        <w:fldChar w:fldCharType="begin"/>
      </w:r>
      <w:r>
        <w:instrText xml:space="preserve"> PAGEREF _Toc390078271 \h </w:instrText>
      </w:r>
      <w:r>
        <w:fldChar w:fldCharType="separate"/>
      </w:r>
      <w:r>
        <w:t>45</w:t>
      </w:r>
      <w:r>
        <w:fldChar w:fldCharType="end"/>
      </w:r>
    </w:p>
    <w:p>
      <w:pPr>
        <w:pStyle w:val="TOC8"/>
        <w:rPr>
          <w:rFonts w:asciiTheme="minorHAnsi" w:eastAsiaTheme="minorEastAsia" w:hAnsiTheme="minorHAnsi" w:cstheme="minorBidi"/>
          <w:szCs w:val="22"/>
        </w:rPr>
      </w:pPr>
      <w:r>
        <w:t>31G.</w:t>
      </w:r>
      <w:r>
        <w:tab/>
        <w:t>Subsequent injuries</w:t>
      </w:r>
      <w:r>
        <w:tab/>
      </w:r>
      <w:r>
        <w:fldChar w:fldCharType="begin"/>
      </w:r>
      <w:r>
        <w:instrText xml:space="preserve"> PAGEREF _Toc390078272 \h </w:instrText>
      </w:r>
      <w:r>
        <w:fldChar w:fldCharType="separate"/>
      </w:r>
      <w:r>
        <w:t>47</w:t>
      </w:r>
      <w:r>
        <w:fldChar w:fldCharType="end"/>
      </w:r>
    </w:p>
    <w:p>
      <w:pPr>
        <w:pStyle w:val="TOC8"/>
        <w:rPr>
          <w:rFonts w:asciiTheme="minorHAnsi" w:eastAsiaTheme="minorEastAsia" w:hAnsiTheme="minorHAnsi" w:cstheme="minorBidi"/>
          <w:szCs w:val="22"/>
        </w:rPr>
      </w:pPr>
      <w:r>
        <w:t>31H.</w:t>
      </w:r>
      <w:r>
        <w:tab/>
        <w:t>Election under section 31C or 31E</w:t>
      </w:r>
      <w:r>
        <w:tab/>
      </w:r>
      <w:r>
        <w:fldChar w:fldCharType="begin"/>
      </w:r>
      <w:r>
        <w:instrText xml:space="preserve"> PAGEREF _Toc390078273 \h </w:instrText>
      </w:r>
      <w:r>
        <w:fldChar w:fldCharType="separate"/>
      </w:r>
      <w:r>
        <w:t>48</w:t>
      </w:r>
      <w:r>
        <w:fldChar w:fldCharType="end"/>
      </w:r>
    </w:p>
    <w:p>
      <w:pPr>
        <w:pStyle w:val="TOC8"/>
        <w:rPr>
          <w:rFonts w:asciiTheme="minorHAnsi" w:eastAsiaTheme="minorEastAsia" w:hAnsiTheme="minorHAnsi" w:cstheme="minorBidi"/>
          <w:szCs w:val="22"/>
        </w:rPr>
      </w:pPr>
      <w:r>
        <w:t>31I.</w:t>
      </w:r>
      <w:r>
        <w:tab/>
        <w:t>Effect of election</w:t>
      </w:r>
      <w:r>
        <w:tab/>
      </w:r>
      <w:r>
        <w:fldChar w:fldCharType="begin"/>
      </w:r>
      <w:r>
        <w:instrText xml:space="preserve"> PAGEREF _Toc390078274 \h </w:instrText>
      </w:r>
      <w:r>
        <w:fldChar w:fldCharType="separate"/>
      </w:r>
      <w:r>
        <w:t>49</w:t>
      </w:r>
      <w:r>
        <w:fldChar w:fldCharType="end"/>
      </w:r>
    </w:p>
    <w:p>
      <w:pPr>
        <w:pStyle w:val="TOC8"/>
        <w:rPr>
          <w:rFonts w:asciiTheme="minorHAnsi" w:eastAsiaTheme="minorEastAsia" w:hAnsiTheme="minorHAnsi" w:cstheme="minorBidi"/>
          <w:szCs w:val="22"/>
        </w:rPr>
      </w:pPr>
      <w:r>
        <w:t>31J.</w:t>
      </w:r>
      <w:r>
        <w:tab/>
        <w:t>Limit on compensation of worker electing</w:t>
      </w:r>
      <w:r>
        <w:tab/>
      </w:r>
      <w:r>
        <w:fldChar w:fldCharType="begin"/>
      </w:r>
      <w:r>
        <w:instrText xml:space="preserve"> PAGEREF _Toc390078275 \h </w:instrText>
      </w:r>
      <w:r>
        <w:fldChar w:fldCharType="separate"/>
      </w:r>
      <w:r>
        <w:t>49</w:t>
      </w:r>
      <w:r>
        <w:fldChar w:fldCharType="end"/>
      </w:r>
    </w:p>
    <w:p>
      <w:pPr>
        <w:pStyle w:val="TOC8"/>
        <w:rPr>
          <w:rFonts w:asciiTheme="minorHAnsi" w:eastAsiaTheme="minorEastAsia" w:hAnsiTheme="minorHAnsi" w:cstheme="minorBidi"/>
          <w:szCs w:val="22"/>
        </w:rPr>
      </w:pPr>
      <w:r>
        <w:t>31K.</w:t>
      </w:r>
      <w:r>
        <w:tab/>
        <w:t>Compensation payable before election</w:t>
      </w:r>
      <w:r>
        <w:tab/>
      </w:r>
      <w:r>
        <w:fldChar w:fldCharType="begin"/>
      </w:r>
      <w:r>
        <w:instrText xml:space="preserve"> PAGEREF _Toc390078276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3 — Injury: specified industrial diseases</w:t>
      </w:r>
    </w:p>
    <w:p>
      <w:pPr>
        <w:pStyle w:val="TOC8"/>
        <w:rPr>
          <w:rFonts w:asciiTheme="minorHAnsi" w:eastAsiaTheme="minorEastAsia" w:hAnsiTheme="minorHAnsi" w:cstheme="minorBidi"/>
          <w:szCs w:val="22"/>
        </w:rPr>
      </w:pPr>
      <w:r>
        <w:t>32</w:t>
      </w:r>
      <w:r>
        <w:rPr>
          <w:snapToGrid w:val="0"/>
        </w:rPr>
        <w:t>.</w:t>
      </w:r>
      <w:r>
        <w:rPr>
          <w:snapToGrid w:val="0"/>
        </w:rPr>
        <w:tab/>
        <w:t>Compensation of worker dying from or affected by certain industrial diseases (Schedule 3)</w:t>
      </w:r>
      <w:r>
        <w:tab/>
      </w:r>
      <w:r>
        <w:fldChar w:fldCharType="begin"/>
      </w:r>
      <w:r>
        <w:instrText xml:space="preserve"> PAGEREF _Toc390078278 \h </w:instrText>
      </w:r>
      <w:r>
        <w:fldChar w:fldCharType="separate"/>
      </w:r>
      <w:r>
        <w:t>50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Pneumoconiosis, mesothelioma or lung cancer</w:t>
      </w:r>
      <w:r>
        <w:tab/>
      </w:r>
      <w:r>
        <w:fldChar w:fldCharType="begin"/>
      </w:r>
      <w:r>
        <w:instrText xml:space="preserve"> PAGEREF _Toc390078279 \h </w:instrText>
      </w:r>
      <w:r>
        <w:fldChar w:fldCharType="separate"/>
      </w:r>
      <w:r>
        <w:t>51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Worker suffering from chronic bronchitis and pneumoconiosis</w:t>
      </w:r>
      <w:r>
        <w:tab/>
      </w:r>
      <w:r>
        <w:fldChar w:fldCharType="begin"/>
      </w:r>
      <w:r>
        <w:instrText xml:space="preserve"> PAGEREF _Toc390078280 \h </w:instrText>
      </w:r>
      <w:r>
        <w:fldChar w:fldCharType="separate"/>
      </w:r>
      <w:r>
        <w:t>51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Worker suffering from lung cancer and pneumoconiosis</w:t>
      </w:r>
      <w:r>
        <w:tab/>
      </w:r>
      <w:r>
        <w:fldChar w:fldCharType="begin"/>
      </w:r>
      <w:r>
        <w:instrText xml:space="preserve"> PAGEREF _Toc390078281 \h </w:instrText>
      </w:r>
      <w:r>
        <w:fldChar w:fldCharType="separate"/>
      </w:r>
      <w:r>
        <w:t>52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Reference to medical panel</w:t>
      </w:r>
      <w:r>
        <w:tab/>
      </w:r>
      <w:r>
        <w:fldChar w:fldCharType="begin"/>
      </w:r>
      <w:r>
        <w:instrText xml:space="preserve"> PAGEREF _Toc390078282 \h </w:instrText>
      </w:r>
      <w:r>
        <w:fldChar w:fldCharType="separate"/>
      </w:r>
      <w:r>
        <w:t>52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Oral submission by medical practitioner</w:t>
      </w:r>
      <w:r>
        <w:tab/>
      </w:r>
      <w:r>
        <w:fldChar w:fldCharType="begin"/>
      </w:r>
      <w:r>
        <w:instrText xml:space="preserve"> PAGEREF _Toc390078283 \h </w:instrText>
      </w:r>
      <w:r>
        <w:fldChar w:fldCharType="separate"/>
      </w:r>
      <w:r>
        <w:t>53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Questions for determination by a medical panel</w:t>
      </w:r>
      <w:r>
        <w:tab/>
      </w:r>
      <w:r>
        <w:fldChar w:fldCharType="begin"/>
      </w:r>
      <w:r>
        <w:instrText xml:space="preserve"> PAGEREF _Toc390078284 \h </w:instrText>
      </w:r>
      <w:r>
        <w:fldChar w:fldCharType="separate"/>
      </w:r>
      <w:r>
        <w:t>53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Worker disabled by tuberculosis and pneumoconiosis</w:t>
      </w:r>
      <w:r>
        <w:tab/>
      </w:r>
      <w:r>
        <w:fldChar w:fldCharType="begin"/>
      </w:r>
      <w:r>
        <w:instrText xml:space="preserve"> PAGEREF _Toc390078285 \h </w:instrText>
      </w:r>
      <w:r>
        <w:fldChar w:fldCharType="separate"/>
      </w:r>
      <w:r>
        <w:t>55</w:t>
      </w:r>
      <w:r>
        <w:fldChar w:fldCharType="end"/>
      </w:r>
    </w:p>
    <w:p>
      <w:pPr>
        <w:pStyle w:val="TOC8"/>
        <w:rPr>
          <w:rFonts w:asciiTheme="minorHAnsi" w:eastAsiaTheme="minorEastAsia" w:hAnsiTheme="minorHAnsi" w:cstheme="minorBidi"/>
          <w:szCs w:val="22"/>
        </w:rPr>
      </w:pPr>
      <w:r>
        <w:t>40.</w:t>
      </w:r>
      <w:r>
        <w:tab/>
        <w:t>Interpretation of this Division in cases of death without prior incapacity</w:t>
      </w:r>
      <w:r>
        <w:tab/>
      </w:r>
      <w:r>
        <w:fldChar w:fldCharType="begin"/>
      </w:r>
      <w:r>
        <w:instrText xml:space="preserve"> PAGEREF _Toc390078286 \h </w:instrText>
      </w:r>
      <w:r>
        <w:fldChar w:fldCharType="separate"/>
      </w:r>
      <w:r>
        <w:t>55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Last employer liable but may join others</w:t>
      </w:r>
      <w:r>
        <w:tab/>
      </w:r>
      <w:r>
        <w:fldChar w:fldCharType="begin"/>
      </w:r>
      <w:r>
        <w:instrText xml:space="preserve"> PAGEREF _Toc390078287 \h </w:instrText>
      </w:r>
      <w:r>
        <w:fldChar w:fldCharType="separate"/>
      </w:r>
      <w:r>
        <w:t>55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Relevant earnings</w:t>
      </w:r>
      <w:r>
        <w:tab/>
      </w:r>
      <w:r>
        <w:fldChar w:fldCharType="begin"/>
      </w:r>
      <w:r>
        <w:instrText xml:space="preserve"> PAGEREF _Toc390078288 \h </w:instrText>
      </w:r>
      <w:r>
        <w:fldChar w:fldCharType="separate"/>
      </w:r>
      <w:r>
        <w:t>57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Employer to whom notice to be given</w:t>
      </w:r>
      <w:r>
        <w:tab/>
      </w:r>
      <w:r>
        <w:fldChar w:fldCharType="begin"/>
      </w:r>
      <w:r>
        <w:instrText xml:space="preserve"> PAGEREF _Toc390078289 \h </w:instrText>
      </w:r>
      <w:r>
        <w:fldChar w:fldCharType="separate"/>
      </w:r>
      <w:r>
        <w:t>57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Disease deemed due to nature of employment</w:t>
      </w:r>
      <w:r>
        <w:tab/>
      </w:r>
      <w:r>
        <w:fldChar w:fldCharType="begin"/>
      </w:r>
      <w:r>
        <w:instrText xml:space="preserve"> PAGEREF _Toc390078290 \h </w:instrText>
      </w:r>
      <w:r>
        <w:fldChar w:fldCharType="separate"/>
      </w:r>
      <w:r>
        <w:t>57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Additions to Schedule 3</w:t>
      </w:r>
      <w:r>
        <w:tab/>
      </w:r>
      <w:r>
        <w:fldChar w:fldCharType="begin"/>
      </w:r>
      <w:r>
        <w:instrText xml:space="preserve"> PAGEREF _Toc390078291 \h </w:instrText>
      </w:r>
      <w:r>
        <w:fldChar w:fldCharType="separate"/>
      </w:r>
      <w:r>
        <w:t>57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Compensation limited to prescribed amount</w:t>
      </w:r>
      <w:r>
        <w:tab/>
      </w:r>
      <w:r>
        <w:fldChar w:fldCharType="begin"/>
      </w:r>
      <w:r>
        <w:instrText xml:space="preserve"> PAGEREF _Toc390078292 \h </w:instrText>
      </w:r>
      <w:r>
        <w:fldChar w:fldCharType="separate"/>
      </w:r>
      <w:r>
        <w:t>58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Certain workers not to benefit</w:t>
      </w:r>
      <w:r>
        <w:tab/>
      </w:r>
      <w:r>
        <w:fldChar w:fldCharType="begin"/>
      </w:r>
      <w:r>
        <w:instrText xml:space="preserve"> PAGEREF _Toc390078293 \h </w:instrText>
      </w:r>
      <w:r>
        <w:fldChar w:fldCharType="separate"/>
      </w:r>
      <w:r>
        <w:t>59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Notification of disease</w:t>
      </w:r>
      <w:r>
        <w:tab/>
      </w:r>
      <w:r>
        <w:fldChar w:fldCharType="begin"/>
      </w:r>
      <w:r>
        <w:instrText xml:space="preserve"> PAGEREF _Toc390078294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4 — Injury: specified losses of functions</w:t>
      </w:r>
    </w:p>
    <w:p>
      <w:pPr>
        <w:pStyle w:val="TOC8"/>
        <w:rPr>
          <w:rFonts w:asciiTheme="minorHAnsi" w:eastAsiaTheme="minorEastAsia" w:hAnsiTheme="minorHAnsi" w:cstheme="minorBidi"/>
          <w:szCs w:val="22"/>
        </w:rPr>
      </w:pPr>
      <w:r>
        <w:t>49.</w:t>
      </w:r>
      <w:r>
        <w:tab/>
        <w:t>Injury occurs when loss of function renders worker less able to earn full wages</w:t>
      </w:r>
      <w:r>
        <w:tab/>
      </w:r>
      <w:r>
        <w:fldChar w:fldCharType="begin"/>
      </w:r>
      <w:r>
        <w:instrText xml:space="preserve"> PAGEREF _Toc390078296 \h </w:instrText>
      </w:r>
      <w:r>
        <w:fldChar w:fldCharType="separate"/>
      </w:r>
      <w:r>
        <w:t>61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Compensation recoverable from last employer</w:t>
      </w:r>
      <w:r>
        <w:tab/>
      </w:r>
      <w:r>
        <w:fldChar w:fldCharType="begin"/>
      </w:r>
      <w:r>
        <w:instrText xml:space="preserve"> PAGEREF _Toc390078297 \h </w:instrText>
      </w:r>
      <w:r>
        <w:fldChar w:fldCharType="separate"/>
      </w:r>
      <w:r>
        <w:t>61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compensation calculated</w:t>
      </w:r>
      <w:r>
        <w:tab/>
      </w:r>
      <w:r>
        <w:fldChar w:fldCharType="begin"/>
      </w:r>
      <w:r>
        <w:instrText xml:space="preserve"> PAGEREF _Toc390078298 \h </w:instrText>
      </w:r>
      <w:r>
        <w:fldChar w:fldCharType="separate"/>
      </w:r>
      <w:r>
        <w:t>62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Employer to whom notice given</w:t>
      </w:r>
      <w:r>
        <w:tab/>
      </w:r>
      <w:r>
        <w:fldChar w:fldCharType="begin"/>
      </w:r>
      <w:r>
        <w:instrText xml:space="preserve"> PAGEREF _Toc390078299 \h </w:instrText>
      </w:r>
      <w:r>
        <w:fldChar w:fldCharType="separate"/>
      </w:r>
      <w:r>
        <w:t>62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Loss of function deemed due to nature of employment</w:t>
      </w:r>
      <w:r>
        <w:tab/>
      </w:r>
      <w:r>
        <w:fldChar w:fldCharType="begin"/>
      </w:r>
      <w:r>
        <w:instrText xml:space="preserve"> PAGEREF _Toc390078300 \h </w:instrText>
      </w:r>
      <w:r>
        <w:fldChar w:fldCharType="separate"/>
      </w:r>
      <w:r>
        <w:t>62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Additions to Schedule 4</w:t>
      </w:r>
      <w:r>
        <w:tab/>
      </w:r>
      <w:r>
        <w:fldChar w:fldCharType="begin"/>
      </w:r>
      <w:r>
        <w:instrText xml:space="preserve"> PAGEREF _Toc390078301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Commencement, review, suspension, and cessation of payments</w:t>
      </w:r>
    </w:p>
    <w:p>
      <w:pPr>
        <w:pStyle w:val="TOC8"/>
        <w:rPr>
          <w:rFonts w:asciiTheme="minorHAnsi" w:eastAsiaTheme="minorEastAsia" w:hAnsiTheme="minorHAnsi" w:cstheme="minorBidi"/>
          <w:szCs w:val="22"/>
        </w:rPr>
      </w:pPr>
      <w:r>
        <w:t>56</w:t>
      </w:r>
      <w:r>
        <w:rPr>
          <w:snapToGrid w:val="0"/>
        </w:rPr>
        <w:t>.</w:t>
      </w:r>
      <w:r>
        <w:rPr>
          <w:snapToGrid w:val="0"/>
        </w:rPr>
        <w:tab/>
        <w:t>Entitlement to weekly payments ceasing on account of age</w:t>
      </w:r>
      <w:r>
        <w:tab/>
      </w:r>
      <w:r>
        <w:fldChar w:fldCharType="begin"/>
      </w:r>
      <w:r>
        <w:instrText xml:space="preserve"> PAGEREF _Toc390078303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Saving as to expenses</w:t>
      </w:r>
      <w:r>
        <w:tab/>
      </w:r>
      <w:r>
        <w:fldChar w:fldCharType="begin"/>
      </w:r>
      <w:r>
        <w:instrText xml:space="preserve"> PAGEREF _Toc390078304 \h </w:instrText>
      </w:r>
      <w:r>
        <w:fldChar w:fldCharType="separate"/>
      </w:r>
      <w:r>
        <w:t>64</w:t>
      </w:r>
      <w:r>
        <w:fldChar w:fldCharType="end"/>
      </w:r>
    </w:p>
    <w:p>
      <w:pPr>
        <w:pStyle w:val="TOC8"/>
        <w:rPr>
          <w:rFonts w:asciiTheme="minorHAnsi" w:eastAsiaTheme="minorEastAsia" w:hAnsiTheme="minorHAnsi" w:cstheme="minorBidi"/>
          <w:szCs w:val="22"/>
        </w:rPr>
      </w:pPr>
      <w:r>
        <w:t>57A</w:t>
      </w:r>
      <w:r>
        <w:rPr>
          <w:snapToGrid w:val="0"/>
        </w:rPr>
        <w:t>.</w:t>
      </w:r>
      <w:r>
        <w:rPr>
          <w:snapToGrid w:val="0"/>
        </w:rPr>
        <w:tab/>
        <w:t>Claims procedure — insured employer</w:t>
      </w:r>
      <w:r>
        <w:tab/>
      </w:r>
      <w:r>
        <w:fldChar w:fldCharType="begin"/>
      </w:r>
      <w:r>
        <w:instrText xml:space="preserve"> PAGEREF _Toc390078305 \h </w:instrText>
      </w:r>
      <w:r>
        <w:fldChar w:fldCharType="separate"/>
      </w:r>
      <w:r>
        <w:t>64</w:t>
      </w:r>
      <w:r>
        <w:fldChar w:fldCharType="end"/>
      </w:r>
    </w:p>
    <w:p>
      <w:pPr>
        <w:pStyle w:val="TOC8"/>
        <w:rPr>
          <w:rFonts w:asciiTheme="minorHAnsi" w:eastAsiaTheme="minorEastAsia" w:hAnsiTheme="minorHAnsi" w:cstheme="minorBidi"/>
          <w:szCs w:val="22"/>
        </w:rPr>
      </w:pPr>
      <w:r>
        <w:t>57B</w:t>
      </w:r>
      <w:r>
        <w:rPr>
          <w:snapToGrid w:val="0"/>
        </w:rPr>
        <w:t>.</w:t>
      </w:r>
      <w:r>
        <w:rPr>
          <w:snapToGrid w:val="0"/>
        </w:rPr>
        <w:tab/>
        <w:t>Claims procedure — self</w:t>
      </w:r>
      <w:r>
        <w:rPr>
          <w:snapToGrid w:val="0"/>
        </w:rPr>
        <w:noBreakHyphen/>
        <w:t>insurer or uninsured employer</w:t>
      </w:r>
      <w:r>
        <w:tab/>
      </w:r>
      <w:r>
        <w:fldChar w:fldCharType="begin"/>
      </w:r>
      <w:r>
        <w:instrText xml:space="preserve"> PAGEREF _Toc390078306 \h </w:instrText>
      </w:r>
      <w:r>
        <w:fldChar w:fldCharType="separate"/>
      </w:r>
      <w:r>
        <w:t>67</w:t>
      </w:r>
      <w:r>
        <w:fldChar w:fldCharType="end"/>
      </w:r>
    </w:p>
    <w:p>
      <w:pPr>
        <w:pStyle w:val="TOC8"/>
        <w:rPr>
          <w:rFonts w:asciiTheme="minorHAnsi" w:eastAsiaTheme="minorEastAsia" w:hAnsiTheme="minorHAnsi" w:cstheme="minorBidi"/>
          <w:szCs w:val="22"/>
        </w:rPr>
      </w:pPr>
      <w:r>
        <w:t>57BA.</w:t>
      </w:r>
      <w:r>
        <w:tab/>
        <w:t>Notices under sections 57A and 57B</w:t>
      </w:r>
      <w:r>
        <w:tab/>
      </w:r>
      <w:r>
        <w:fldChar w:fldCharType="begin"/>
      </w:r>
      <w:r>
        <w:instrText xml:space="preserve"> PAGEREF _Toc390078307 \h </w:instrText>
      </w:r>
      <w:r>
        <w:fldChar w:fldCharType="separate"/>
      </w:r>
      <w:r>
        <w:t>69</w:t>
      </w:r>
      <w:r>
        <w:fldChar w:fldCharType="end"/>
      </w:r>
    </w:p>
    <w:p>
      <w:pPr>
        <w:pStyle w:val="TOC8"/>
        <w:rPr>
          <w:rFonts w:asciiTheme="minorHAnsi" w:eastAsiaTheme="minorEastAsia" w:hAnsiTheme="minorHAnsi" w:cstheme="minorBidi"/>
          <w:szCs w:val="22"/>
        </w:rPr>
      </w:pPr>
      <w:r>
        <w:t>57C</w:t>
      </w:r>
      <w:r>
        <w:rPr>
          <w:snapToGrid w:val="0"/>
        </w:rPr>
        <w:t>.</w:t>
      </w:r>
      <w:r>
        <w:rPr>
          <w:snapToGrid w:val="0"/>
        </w:rPr>
        <w:tab/>
        <w:t>Notification to Commission</w:t>
      </w:r>
      <w:r>
        <w:tab/>
      </w:r>
      <w:r>
        <w:fldChar w:fldCharType="begin"/>
      </w:r>
      <w:r>
        <w:instrText xml:space="preserve"> PAGEREF _Toc390078308 \h </w:instrText>
      </w:r>
      <w:r>
        <w:fldChar w:fldCharType="separate"/>
      </w:r>
      <w:r>
        <w:t>71</w:t>
      </w:r>
      <w:r>
        <w:fldChar w:fldCharType="end"/>
      </w:r>
    </w:p>
    <w:p>
      <w:pPr>
        <w:pStyle w:val="TOC8"/>
        <w:rPr>
          <w:rFonts w:asciiTheme="minorHAnsi" w:eastAsiaTheme="minorEastAsia" w:hAnsiTheme="minorHAnsi" w:cstheme="minorBidi"/>
          <w:szCs w:val="22"/>
        </w:rPr>
      </w:pPr>
      <w:r>
        <w:t>57D</w:t>
      </w:r>
      <w:r>
        <w:rPr>
          <w:snapToGrid w:val="0"/>
        </w:rPr>
        <w:t>.</w:t>
      </w:r>
      <w:r>
        <w:rPr>
          <w:snapToGrid w:val="0"/>
        </w:rPr>
        <w:tab/>
        <w:t>Confidentiality</w:t>
      </w:r>
      <w:r>
        <w:tab/>
      </w:r>
      <w:r>
        <w:fldChar w:fldCharType="begin"/>
      </w:r>
      <w:r>
        <w:instrText xml:space="preserve"> PAGEREF _Toc390078309 \h </w:instrText>
      </w:r>
      <w:r>
        <w:fldChar w:fldCharType="separate"/>
      </w:r>
      <w:r>
        <w:t>73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Arbitrator may determine liability</w:t>
      </w:r>
      <w:r>
        <w:tab/>
      </w:r>
      <w:r>
        <w:fldChar w:fldCharType="begin"/>
      </w:r>
      <w:r>
        <w:instrText xml:space="preserve"> PAGEREF _Toc390078310 \h </w:instrText>
      </w:r>
      <w:r>
        <w:fldChar w:fldCharType="separate"/>
      </w:r>
      <w:r>
        <w:t>73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Information as to remunerated work</w:t>
      </w:r>
      <w:r>
        <w:tab/>
      </w:r>
      <w:r>
        <w:fldChar w:fldCharType="begin"/>
      </w:r>
      <w:r>
        <w:instrText xml:space="preserve"> PAGEREF _Toc390078311 \h </w:instrText>
      </w:r>
      <w:r>
        <w:fldChar w:fldCharType="separate"/>
      </w:r>
      <w:r>
        <w:t>75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for discontinuance or reduction of weekly payments</w:t>
      </w:r>
      <w:r>
        <w:tab/>
      </w:r>
      <w:r>
        <w:fldChar w:fldCharType="begin"/>
      </w:r>
      <w:r>
        <w:instrText xml:space="preserve"> PAGEREF _Toc390078312 \h </w:instrText>
      </w:r>
      <w:r>
        <w:fldChar w:fldCharType="separate"/>
      </w:r>
      <w:r>
        <w:t>77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Unlawful discontinuance of weekly payments</w:t>
      </w:r>
      <w:r>
        <w:tab/>
      </w:r>
      <w:r>
        <w:fldChar w:fldCharType="begin"/>
      </w:r>
      <w:r>
        <w:instrText xml:space="preserve"> PAGEREF _Toc390078313 \h </w:instrText>
      </w:r>
      <w:r>
        <w:fldChar w:fldCharType="separate"/>
      </w:r>
      <w:r>
        <w:t>78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Review of weekly payments</w:t>
      </w:r>
      <w:r>
        <w:tab/>
      </w:r>
      <w:r>
        <w:fldChar w:fldCharType="begin"/>
      </w:r>
      <w:r>
        <w:instrText xml:space="preserve"> PAGEREF _Toc390078314 \h </w:instrText>
      </w:r>
      <w:r>
        <w:fldChar w:fldCharType="separate"/>
      </w:r>
      <w:r>
        <w:t>81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compensation during suspension</w:t>
      </w:r>
      <w:r>
        <w:tab/>
      </w:r>
      <w:r>
        <w:fldChar w:fldCharType="begin"/>
      </w:r>
      <w:r>
        <w:instrText xml:space="preserve"> PAGEREF _Toc390078315 \h </w:instrText>
      </w:r>
      <w:r>
        <w:fldChar w:fldCharType="separate"/>
      </w:r>
      <w:r>
        <w:t>81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Medical examination</w:t>
      </w:r>
      <w:r>
        <w:tab/>
      </w:r>
      <w:r>
        <w:fldChar w:fldCharType="begin"/>
      </w:r>
      <w:r>
        <w:instrText xml:space="preserve"> PAGEREF _Toc390078316 \h </w:instrText>
      </w:r>
      <w:r>
        <w:fldChar w:fldCharType="separate"/>
      </w:r>
      <w:r>
        <w:t>81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Periodical medical examination</w:t>
      </w:r>
      <w:r>
        <w:tab/>
      </w:r>
      <w:r>
        <w:fldChar w:fldCharType="begin"/>
      </w:r>
      <w:r>
        <w:instrText xml:space="preserve"> PAGEREF _Toc390078317 \h </w:instrText>
      </w:r>
      <w:r>
        <w:fldChar w:fldCharType="separate"/>
      </w:r>
      <w:r>
        <w:t>82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Regulations as to medical examination</w:t>
      </w:r>
      <w:r>
        <w:tab/>
      </w:r>
      <w:r>
        <w:fldChar w:fldCharType="begin"/>
      </w:r>
      <w:r>
        <w:instrText xml:space="preserve"> PAGEREF _Toc390078318 \h </w:instrText>
      </w:r>
      <w:r>
        <w:fldChar w:fldCharType="separate"/>
      </w:r>
      <w:r>
        <w:t>82</w:t>
      </w:r>
      <w:r>
        <w:fldChar w:fldCharType="end"/>
      </w:r>
    </w:p>
    <w:p>
      <w:pPr>
        <w:pStyle w:val="TOC8"/>
        <w:rPr>
          <w:rFonts w:asciiTheme="minorHAnsi" w:eastAsiaTheme="minorEastAsia" w:hAnsiTheme="minorHAnsi" w:cstheme="minorBidi"/>
          <w:szCs w:val="22"/>
        </w:rPr>
      </w:pPr>
      <w:r>
        <w:t>66A.</w:t>
      </w:r>
      <w:r>
        <w:tab/>
        <w:t>Additional medical examinations</w:t>
      </w:r>
      <w:r>
        <w:tab/>
      </w:r>
      <w:r>
        <w:fldChar w:fldCharType="begin"/>
      </w:r>
      <w:r>
        <w:instrText xml:space="preserve"> PAGEREF _Toc390078319 \h </w:instrText>
      </w:r>
      <w:r>
        <w:fldChar w:fldCharType="separate"/>
      </w:r>
      <w:r>
        <w:t>82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Lump sum in redemption of weekly payments</w:t>
      </w:r>
      <w:r>
        <w:tab/>
      </w:r>
      <w:r>
        <w:fldChar w:fldCharType="begin"/>
      </w:r>
      <w:r>
        <w:instrText xml:space="preserve"> PAGEREF _Toc390078320 \h </w:instrText>
      </w:r>
      <w:r>
        <w:fldChar w:fldCharType="separate"/>
      </w:r>
      <w:r>
        <w:t>83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Calculation of lump sum</w:t>
      </w:r>
      <w:r>
        <w:tab/>
      </w:r>
      <w:r>
        <w:fldChar w:fldCharType="begin"/>
      </w:r>
      <w:r>
        <w:instrText xml:space="preserve"> PAGEREF _Toc390078321 \h </w:instrText>
      </w:r>
      <w:r>
        <w:fldChar w:fldCharType="separate"/>
      </w:r>
      <w:r>
        <w:t>84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Worker not residing in the State</w:t>
      </w:r>
      <w:r>
        <w:tab/>
      </w:r>
      <w:r>
        <w:fldChar w:fldCharType="begin"/>
      </w:r>
      <w:r>
        <w:instrText xml:space="preserve"> PAGEREF _Toc390078322 \h </w:instrText>
      </w:r>
      <w:r>
        <w:fldChar w:fldCharType="separate"/>
      </w:r>
      <w:r>
        <w:t>85</w:t>
      </w:r>
      <w:r>
        <w:fldChar w:fldCharType="end"/>
      </w:r>
    </w:p>
    <w:p>
      <w:pPr>
        <w:pStyle w:val="TOC8"/>
        <w:rPr>
          <w:rFonts w:asciiTheme="minorHAnsi" w:eastAsiaTheme="minorEastAsia" w:hAnsiTheme="minorHAnsi" w:cstheme="minorBidi"/>
          <w:szCs w:val="22"/>
        </w:rPr>
      </w:pPr>
      <w:r>
        <w:t>70.</w:t>
      </w:r>
      <w:r>
        <w:tab/>
        <w:t>Furnishing medical reports</w:t>
      </w:r>
      <w:r>
        <w:tab/>
      </w:r>
      <w:r>
        <w:fldChar w:fldCharType="begin"/>
      </w:r>
      <w:r>
        <w:instrText xml:space="preserve"> PAGEREF _Toc390078323 \h </w:instrText>
      </w:r>
      <w:r>
        <w:fldChar w:fldCharType="separate"/>
      </w:r>
      <w:r>
        <w:t>85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Recovery of payments</w:t>
      </w:r>
      <w:r>
        <w:tab/>
      </w:r>
      <w:r>
        <w:fldChar w:fldCharType="begin"/>
      </w:r>
      <w:r>
        <w:instrText xml:space="preserve"> PAGEREF _Toc390078324 \h </w:instrText>
      </w:r>
      <w:r>
        <w:fldChar w:fldCharType="separate"/>
      </w:r>
      <w:r>
        <w:t>86</w:t>
      </w:r>
      <w:r>
        <w:fldChar w:fldCharType="end"/>
      </w:r>
    </w:p>
    <w:p>
      <w:pPr>
        <w:pStyle w:val="TOC8"/>
        <w:rPr>
          <w:rFonts w:asciiTheme="minorHAnsi" w:eastAsiaTheme="minorEastAsia" w:hAnsiTheme="minorHAnsi" w:cstheme="minorBidi"/>
          <w:szCs w:val="22"/>
        </w:rPr>
      </w:pPr>
      <w:r>
        <w:t>72.</w:t>
      </w:r>
      <w:r>
        <w:tab/>
        <w:t>Suspension of payments during custody</w:t>
      </w:r>
      <w:r>
        <w:tab/>
      </w:r>
      <w:r>
        <w:fldChar w:fldCharType="begin"/>
      </w:r>
      <w:r>
        <w:instrText xml:space="preserve"> PAGEREF _Toc390078325 \h </w:instrText>
      </w:r>
      <w:r>
        <w:fldChar w:fldCharType="separate"/>
      </w:r>
      <w:r>
        <w:t>86</w:t>
      </w:r>
      <w:r>
        <w:fldChar w:fldCharType="end"/>
      </w:r>
    </w:p>
    <w:p>
      <w:pPr>
        <w:pStyle w:val="TOC8"/>
        <w:rPr>
          <w:rFonts w:asciiTheme="minorHAnsi" w:eastAsiaTheme="minorEastAsia" w:hAnsiTheme="minorHAnsi" w:cstheme="minorBidi"/>
          <w:szCs w:val="22"/>
        </w:rPr>
      </w:pPr>
      <w:r>
        <w:t>72A.</w:t>
      </w:r>
      <w:r>
        <w:tab/>
        <w:t>Suspension or cessation of payments for failure to undergo medical examination</w:t>
      </w:r>
      <w:r>
        <w:tab/>
      </w:r>
      <w:r>
        <w:fldChar w:fldCharType="begin"/>
      </w:r>
      <w:r>
        <w:instrText xml:space="preserve"> PAGEREF _Toc390078326 \h </w:instrText>
      </w:r>
      <w:r>
        <w:fldChar w:fldCharType="separate"/>
      </w:r>
      <w:r>
        <w:t>87</w:t>
      </w:r>
      <w:r>
        <w:fldChar w:fldCharType="end"/>
      </w:r>
    </w:p>
    <w:p>
      <w:pPr>
        <w:pStyle w:val="TOC8"/>
        <w:rPr>
          <w:rFonts w:asciiTheme="minorHAnsi" w:eastAsiaTheme="minorEastAsia" w:hAnsiTheme="minorHAnsi" w:cstheme="minorBidi"/>
          <w:szCs w:val="22"/>
        </w:rPr>
      </w:pPr>
      <w:r>
        <w:t>72B.</w:t>
      </w:r>
      <w:r>
        <w:tab/>
        <w:t>Suspension or cessation of payments for failure to participate in return to work program</w:t>
      </w:r>
      <w:r>
        <w:tab/>
      </w:r>
      <w:r>
        <w:fldChar w:fldCharType="begin"/>
      </w:r>
      <w:r>
        <w:instrText xml:space="preserve"> PAGEREF _Toc390078327 \h </w:instrText>
      </w:r>
      <w:r>
        <w:fldChar w:fldCharType="separate"/>
      </w:r>
      <w:r>
        <w:t>88</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Disputes between employers</w:t>
      </w:r>
    </w:p>
    <w:p>
      <w:pPr>
        <w:pStyle w:val="TOC8"/>
        <w:rPr>
          <w:rFonts w:asciiTheme="minorHAnsi" w:eastAsiaTheme="minorEastAsia" w:hAnsiTheme="minorHAnsi" w:cstheme="minorBidi"/>
          <w:szCs w:val="22"/>
        </w:rPr>
      </w:pPr>
      <w:r>
        <w:t>73</w:t>
      </w:r>
      <w:r>
        <w:rPr>
          <w:snapToGrid w:val="0"/>
        </w:rPr>
        <w:t>.</w:t>
      </w:r>
      <w:r>
        <w:rPr>
          <w:snapToGrid w:val="0"/>
        </w:rPr>
        <w:tab/>
        <w:t>Worker entitled but dispute between employers</w:t>
      </w:r>
      <w:r>
        <w:tab/>
      </w:r>
      <w:r>
        <w:fldChar w:fldCharType="begin"/>
      </w:r>
      <w:r>
        <w:instrText xml:space="preserve"> PAGEREF _Toc390078329 \h </w:instrText>
      </w:r>
      <w:r>
        <w:fldChar w:fldCharType="separate"/>
      </w:r>
      <w:r>
        <w:t>89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Dispute between insurers</w:t>
      </w:r>
      <w:r>
        <w:tab/>
      </w:r>
      <w:r>
        <w:fldChar w:fldCharType="begin"/>
      </w:r>
      <w:r>
        <w:instrText xml:space="preserve"> PAGEREF _Toc390078330 \h </w:instrText>
      </w:r>
      <w:r>
        <w:fldChar w:fldCharType="separate"/>
      </w:r>
      <w:r>
        <w:t>90</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Apportionment under sections 73 and 74</w:t>
      </w:r>
      <w:r>
        <w:tab/>
      </w:r>
      <w:r>
        <w:fldChar w:fldCharType="begin"/>
      </w:r>
      <w:r>
        <w:instrText xml:space="preserve"> PAGEREF _Toc390078331 \h </w:instrText>
      </w:r>
      <w:r>
        <w:fldChar w:fldCharType="separate"/>
      </w:r>
      <w:r>
        <w:t>91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Obligation to make weekly payments preserved</w:t>
      </w:r>
      <w:r>
        <w:tab/>
      </w:r>
      <w:r>
        <w:fldChar w:fldCharType="begin"/>
      </w:r>
      <w:r>
        <w:instrText xml:space="preserve"> PAGEREF _Toc390078332 \h </w:instrText>
      </w:r>
      <w:r>
        <w:fldChar w:fldCharType="separate"/>
      </w:r>
      <w:r>
        <w:t>91</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Agreements</w:t>
      </w:r>
    </w:p>
    <w:p>
      <w:pPr>
        <w:pStyle w:val="TOC8"/>
        <w:rPr>
          <w:rFonts w:asciiTheme="minorHAnsi" w:eastAsiaTheme="minorEastAsia" w:hAnsiTheme="minorHAnsi" w:cstheme="minorBidi"/>
          <w:szCs w:val="22"/>
        </w:rPr>
      </w:pPr>
      <w:r>
        <w:t>76</w:t>
      </w:r>
      <w:r>
        <w:rPr>
          <w:snapToGrid w:val="0"/>
        </w:rPr>
        <w:t>.</w:t>
      </w:r>
      <w:r>
        <w:rPr>
          <w:snapToGrid w:val="0"/>
        </w:rPr>
        <w:tab/>
        <w:t>Registration of memorandum of agreement</w:t>
      </w:r>
      <w:r>
        <w:tab/>
      </w:r>
      <w:r>
        <w:fldChar w:fldCharType="begin"/>
      </w:r>
      <w:r>
        <w:instrText xml:space="preserve"> PAGEREF _Toc390078334 \h </w:instrText>
      </w:r>
      <w:r>
        <w:fldChar w:fldCharType="separate"/>
      </w:r>
      <w:r>
        <w:t>92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Registration obligatory</w:t>
      </w:r>
      <w:r>
        <w:tab/>
      </w:r>
      <w:r>
        <w:fldChar w:fldCharType="begin"/>
      </w:r>
      <w:r>
        <w:instrText xml:space="preserve"> PAGEREF _Toc390078335 \h </w:instrText>
      </w:r>
      <w:r>
        <w:fldChar w:fldCharType="separate"/>
      </w:r>
      <w:r>
        <w:t>95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_Toc390078336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Other matters affecting compensation</w:t>
      </w:r>
    </w:p>
    <w:p>
      <w:pPr>
        <w:pStyle w:val="TOC8"/>
        <w:rPr>
          <w:rFonts w:asciiTheme="minorHAnsi" w:eastAsiaTheme="minorEastAsia" w:hAnsiTheme="minorHAnsi" w:cstheme="minorBidi"/>
          <w:szCs w:val="22"/>
        </w:rPr>
      </w:pPr>
      <w:r>
        <w:t>79</w:t>
      </w:r>
      <w:r>
        <w:rPr>
          <w:snapToGrid w:val="0"/>
        </w:rPr>
        <w:t>.</w:t>
      </w:r>
      <w:r>
        <w:rPr>
          <w:snapToGrid w:val="0"/>
        </w:rPr>
        <w:tab/>
        <w:t>Wilful and false representation</w:t>
      </w:r>
      <w:r>
        <w:tab/>
      </w:r>
      <w:r>
        <w:fldChar w:fldCharType="begin"/>
      </w:r>
      <w:r>
        <w:instrText xml:space="preserve"> PAGEREF _Toc390078338 \h </w:instrText>
      </w:r>
      <w:r>
        <w:fldChar w:fldCharType="separate"/>
      </w:r>
      <w:r>
        <w:t>95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Effect on annual leave, long service leave and sick leave</w:t>
      </w:r>
      <w:r>
        <w:tab/>
      </w:r>
      <w:r>
        <w:fldChar w:fldCharType="begin"/>
      </w:r>
      <w:r>
        <w:instrText xml:space="preserve"> PAGEREF _Toc390078339 \h </w:instrText>
      </w:r>
      <w:r>
        <w:fldChar w:fldCharType="separate"/>
      </w:r>
      <w:r>
        <w:t>96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Effect on public holidays pay</w:t>
      </w:r>
      <w:r>
        <w:tab/>
      </w:r>
      <w:r>
        <w:fldChar w:fldCharType="begin"/>
      </w:r>
      <w:r>
        <w:instrText xml:space="preserve"> PAGEREF _Toc390078340 \h </w:instrText>
      </w:r>
      <w:r>
        <w:fldChar w:fldCharType="separate"/>
      </w:r>
      <w:r>
        <w:t>97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Recovery of cost of services rendered</w:t>
      </w:r>
      <w:r>
        <w:tab/>
      </w:r>
      <w:r>
        <w:fldChar w:fldCharType="begin"/>
      </w:r>
      <w:r>
        <w:instrText xml:space="preserve"> PAGEREF _Toc390078341 \h </w:instrText>
      </w:r>
      <w:r>
        <w:fldChar w:fldCharType="separate"/>
      </w:r>
      <w:r>
        <w:t>97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Industrial award and partial incapacity</w:t>
      </w:r>
      <w:r>
        <w:tab/>
      </w:r>
      <w:r>
        <w:fldChar w:fldCharType="begin"/>
      </w:r>
      <w:r>
        <w:instrText xml:space="preserve"> PAGEREF _Toc390078342 \h </w:instrText>
      </w:r>
      <w:r>
        <w:fldChar w:fldCharType="separate"/>
      </w:r>
      <w:r>
        <w:t>97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Worker not to be prejudiced by resuming work</w:t>
      </w:r>
      <w:r>
        <w:tab/>
      </w:r>
      <w:r>
        <w:fldChar w:fldCharType="begin"/>
      </w:r>
      <w:r>
        <w:instrText xml:space="preserve"> PAGEREF _Toc390078343 \h </w:instrText>
      </w:r>
      <w:r>
        <w:fldChar w:fldCharType="separate"/>
      </w:r>
      <w:r>
        <w:t>98</w:t>
      </w:r>
      <w:r>
        <w:fldChar w:fldCharType="end"/>
      </w:r>
    </w:p>
    <w:p>
      <w:pPr>
        <w:pStyle w:val="TOC8"/>
        <w:rPr>
          <w:rFonts w:asciiTheme="minorHAnsi" w:eastAsiaTheme="minorEastAsia" w:hAnsiTheme="minorHAnsi" w:cstheme="minorBidi"/>
          <w:szCs w:val="22"/>
        </w:rPr>
      </w:pPr>
      <w:r>
        <w:t>84AA</w:t>
      </w:r>
      <w:r>
        <w:rPr>
          <w:snapToGrid w:val="0"/>
        </w:rPr>
        <w:t>.</w:t>
      </w:r>
      <w:r>
        <w:rPr>
          <w:snapToGrid w:val="0"/>
        </w:rPr>
        <w:tab/>
        <w:t>Employer to keep position available during worker’s incapacity</w:t>
      </w:r>
      <w:r>
        <w:tab/>
      </w:r>
      <w:r>
        <w:fldChar w:fldCharType="begin"/>
      </w:r>
      <w:r>
        <w:instrText xml:space="preserve"> PAGEREF _Toc390078344 \h </w:instrText>
      </w:r>
      <w:r>
        <w:fldChar w:fldCharType="separate"/>
      </w:r>
      <w:r>
        <w:t>98</w:t>
      </w:r>
      <w:r>
        <w:fldChar w:fldCharType="end"/>
      </w:r>
    </w:p>
    <w:p>
      <w:pPr>
        <w:pStyle w:val="TOC8"/>
        <w:rPr>
          <w:rFonts w:asciiTheme="minorHAnsi" w:eastAsiaTheme="minorEastAsia" w:hAnsiTheme="minorHAnsi" w:cstheme="minorBidi"/>
          <w:szCs w:val="22"/>
        </w:rPr>
      </w:pPr>
      <w:r>
        <w:t>84AB.</w:t>
      </w:r>
      <w:r>
        <w:tab/>
        <w:t>Employer to notify worker and WorkCover WA of intention to dismiss worker</w:t>
      </w:r>
      <w:r>
        <w:tab/>
      </w:r>
      <w:r>
        <w:fldChar w:fldCharType="begin"/>
      </w:r>
      <w:r>
        <w:instrText xml:space="preserve"> PAGEREF _Toc390078345 \h </w:instrText>
      </w:r>
      <w:r>
        <w:fldChar w:fldCharType="separate"/>
      </w:r>
      <w:r>
        <w:t>99</w:t>
      </w:r>
      <w:r>
        <w:fldChar w:fldCharType="end"/>
      </w:r>
    </w:p>
    <w:p>
      <w:pPr>
        <w:pStyle w:val="TOC2"/>
        <w:tabs>
          <w:tab w:val="right" w:leader="dot" w:pos="7086"/>
        </w:tabs>
        <w:rPr>
          <w:rFonts w:asciiTheme="minorHAnsi" w:eastAsiaTheme="minorEastAsia" w:hAnsiTheme="minorHAnsi" w:cstheme="minorBidi"/>
          <w:b w:val="0"/>
          <w:sz w:val="22"/>
          <w:szCs w:val="22"/>
        </w:rPr>
      </w:pPr>
      <w:r>
        <w:t>Part IV — Civil proceedings in addition to or independent of this Act</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85</w:t>
      </w:r>
      <w:r>
        <w:rPr>
          <w:snapToGrid w:val="0"/>
        </w:rPr>
        <w:t>.</w:t>
      </w:r>
      <w:r>
        <w:rPr>
          <w:snapToGrid w:val="0"/>
        </w:rPr>
        <w:tab/>
        <w:t>Saving — motor vehicle cases</w:t>
      </w:r>
      <w:r>
        <w:tab/>
      </w:r>
      <w:r>
        <w:fldChar w:fldCharType="begin"/>
      </w:r>
      <w:r>
        <w:instrText xml:space="preserve"> PAGEREF _Toc390078348 \h </w:instrText>
      </w:r>
      <w:r>
        <w:fldChar w:fldCharType="separate"/>
      </w:r>
      <w:r>
        <w:t>101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Saving — independent liability</w:t>
      </w:r>
      <w:r>
        <w:tab/>
      </w:r>
      <w:r>
        <w:fldChar w:fldCharType="begin"/>
      </w:r>
      <w:r>
        <w:instrText xml:space="preserve"> PAGEREF _Toc390078349 \h </w:instrText>
      </w:r>
      <w:r>
        <w:fldChar w:fldCharType="separate"/>
      </w:r>
      <w:r>
        <w:t>101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Costs between solicitor and client in common law actions</w:t>
      </w:r>
      <w:r>
        <w:tab/>
      </w:r>
      <w:r>
        <w:fldChar w:fldCharType="begin"/>
      </w:r>
      <w:r>
        <w:instrText xml:space="preserve"> PAGEREF _Toc390078350 \h </w:instrText>
      </w:r>
      <w:r>
        <w:fldChar w:fldCharType="separate"/>
      </w:r>
      <w:r>
        <w:t>101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Where action brought for injury for which compensation is payable under this Act</w:t>
      </w:r>
      <w:r>
        <w:tab/>
      </w:r>
      <w:r>
        <w:fldChar w:fldCharType="begin"/>
      </w:r>
      <w:r>
        <w:instrText xml:space="preserve"> PAGEREF _Toc390078351 \h </w:instrText>
      </w:r>
      <w:r>
        <w:fldChar w:fldCharType="separate"/>
      </w:r>
      <w:r>
        <w:t>102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Both damages and compensation not recoverable</w:t>
      </w:r>
      <w:r>
        <w:tab/>
      </w:r>
      <w:r>
        <w:fldChar w:fldCharType="begin"/>
      </w:r>
      <w:r>
        <w:instrText xml:space="preserve"> PAGEREF _Toc390078352 \h </w:instrText>
      </w:r>
      <w:r>
        <w:fldChar w:fldCharType="separate"/>
      </w:r>
      <w:r>
        <w:t>102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Remedies against stranger</w:t>
      </w:r>
      <w:r>
        <w:tab/>
      </w:r>
      <w:r>
        <w:fldChar w:fldCharType="begin"/>
      </w:r>
      <w:r>
        <w:instrText xml:space="preserve"> PAGEREF _Toc390078353 \h </w:instrText>
      </w:r>
      <w:r>
        <w:fldChar w:fldCharType="separate"/>
      </w:r>
      <w:r>
        <w:t>105</w:t>
      </w:r>
      <w:r>
        <w:fldChar w:fldCharType="end"/>
      </w:r>
    </w:p>
    <w:p>
      <w:pPr>
        <w:pStyle w:val="TOC4"/>
        <w:tabs>
          <w:tab w:val="right" w:leader="dot" w:pos="7086"/>
        </w:tabs>
        <w:rPr>
          <w:rFonts w:asciiTheme="minorHAnsi" w:eastAsiaTheme="minorEastAsia" w:hAnsiTheme="minorHAnsi" w:cstheme="minorBidi"/>
          <w:b w:val="0"/>
          <w:szCs w:val="22"/>
        </w:rPr>
      </w:pPr>
      <w:r>
        <w:t>Division 1a — Choice of law</w:t>
      </w:r>
    </w:p>
    <w:p>
      <w:pPr>
        <w:pStyle w:val="TOC8"/>
        <w:rPr>
          <w:rFonts w:asciiTheme="minorHAnsi" w:eastAsiaTheme="minorEastAsia" w:hAnsiTheme="minorHAnsi" w:cstheme="minorBidi"/>
          <w:szCs w:val="22"/>
        </w:rPr>
      </w:pPr>
      <w:r>
        <w:t>93AA.</w:t>
      </w:r>
      <w:r>
        <w:tab/>
        <w:t>The applicable substantive law for work injury claims</w:t>
      </w:r>
      <w:r>
        <w:tab/>
      </w:r>
      <w:r>
        <w:fldChar w:fldCharType="begin"/>
      </w:r>
      <w:r>
        <w:instrText xml:space="preserve"> PAGEREF _Toc390078355 \h </w:instrText>
      </w:r>
      <w:r>
        <w:fldChar w:fldCharType="separate"/>
      </w:r>
      <w:r>
        <w:t>107</w:t>
      </w:r>
      <w:r>
        <w:fldChar w:fldCharType="end"/>
      </w:r>
    </w:p>
    <w:p>
      <w:pPr>
        <w:pStyle w:val="TOC8"/>
        <w:rPr>
          <w:rFonts w:asciiTheme="minorHAnsi" w:eastAsiaTheme="minorEastAsia" w:hAnsiTheme="minorHAnsi" w:cstheme="minorBidi"/>
          <w:szCs w:val="22"/>
        </w:rPr>
      </w:pPr>
      <w:r>
        <w:t>93AB.</w:t>
      </w:r>
      <w:r>
        <w:tab/>
        <w:t>Claims to which Division applies</w:t>
      </w:r>
      <w:r>
        <w:tab/>
      </w:r>
      <w:r>
        <w:fldChar w:fldCharType="begin"/>
      </w:r>
      <w:r>
        <w:instrText xml:space="preserve"> PAGEREF _Toc390078356 \h </w:instrText>
      </w:r>
      <w:r>
        <w:fldChar w:fldCharType="separate"/>
      </w:r>
      <w:r>
        <w:t>108</w:t>
      </w:r>
      <w:r>
        <w:fldChar w:fldCharType="end"/>
      </w:r>
    </w:p>
    <w:p>
      <w:pPr>
        <w:pStyle w:val="TOC8"/>
        <w:rPr>
          <w:rFonts w:asciiTheme="minorHAnsi" w:eastAsiaTheme="minorEastAsia" w:hAnsiTheme="minorHAnsi" w:cstheme="minorBidi"/>
          <w:szCs w:val="22"/>
        </w:rPr>
      </w:pPr>
      <w:r>
        <w:t>93AC.</w:t>
      </w:r>
      <w:r>
        <w:tab/>
        <w:t>What constitutes injury and employment</w:t>
      </w:r>
      <w:r>
        <w:tab/>
      </w:r>
      <w:r>
        <w:fldChar w:fldCharType="begin"/>
      </w:r>
      <w:r>
        <w:instrText xml:space="preserve"> PAGEREF _Toc390078357 \h </w:instrText>
      </w:r>
      <w:r>
        <w:fldChar w:fldCharType="separate"/>
      </w:r>
      <w:r>
        <w:t>108</w:t>
      </w:r>
      <w:r>
        <w:fldChar w:fldCharType="end"/>
      </w:r>
    </w:p>
    <w:p>
      <w:pPr>
        <w:pStyle w:val="TOC8"/>
        <w:rPr>
          <w:rFonts w:asciiTheme="minorHAnsi" w:eastAsiaTheme="minorEastAsia" w:hAnsiTheme="minorHAnsi" w:cstheme="minorBidi"/>
          <w:szCs w:val="22"/>
        </w:rPr>
      </w:pPr>
      <w:r>
        <w:t>93AD.</w:t>
      </w:r>
      <w:r>
        <w:tab/>
        <w:t>Claim in respect of death included</w:t>
      </w:r>
      <w:r>
        <w:tab/>
      </w:r>
      <w:r>
        <w:fldChar w:fldCharType="begin"/>
      </w:r>
      <w:r>
        <w:instrText xml:space="preserve"> PAGEREF _Toc390078358 \h </w:instrText>
      </w:r>
      <w:r>
        <w:fldChar w:fldCharType="separate"/>
      </w:r>
      <w:r>
        <w:t>109</w:t>
      </w:r>
      <w:r>
        <w:fldChar w:fldCharType="end"/>
      </w:r>
    </w:p>
    <w:p>
      <w:pPr>
        <w:pStyle w:val="TOC8"/>
        <w:rPr>
          <w:rFonts w:asciiTheme="minorHAnsi" w:eastAsiaTheme="minorEastAsia" w:hAnsiTheme="minorHAnsi" w:cstheme="minorBidi"/>
          <w:szCs w:val="22"/>
        </w:rPr>
      </w:pPr>
      <w:r>
        <w:t>93AE.</w:t>
      </w:r>
      <w:r>
        <w:tab/>
        <w:t>Meaning of “substantive law”</w:t>
      </w:r>
      <w:r>
        <w:tab/>
      </w:r>
      <w:r>
        <w:fldChar w:fldCharType="begin"/>
      </w:r>
      <w:r>
        <w:instrText xml:space="preserve"> PAGEREF _Toc390078359 \h </w:instrText>
      </w:r>
      <w:r>
        <w:fldChar w:fldCharType="separate"/>
      </w:r>
      <w:r>
        <w:t>109</w:t>
      </w:r>
      <w:r>
        <w:fldChar w:fldCharType="end"/>
      </w:r>
    </w:p>
    <w:p>
      <w:pPr>
        <w:pStyle w:val="TOC8"/>
        <w:rPr>
          <w:rFonts w:asciiTheme="minorHAnsi" w:eastAsiaTheme="minorEastAsia" w:hAnsiTheme="minorHAnsi" w:cstheme="minorBidi"/>
          <w:szCs w:val="22"/>
        </w:rPr>
      </w:pPr>
      <w:r>
        <w:t>93AF.</w:t>
      </w:r>
      <w:r>
        <w:tab/>
        <w:t>Availability of action in another State not relevant</w:t>
      </w:r>
      <w:r>
        <w:tab/>
      </w:r>
      <w:r>
        <w:fldChar w:fldCharType="begin"/>
      </w:r>
      <w:r>
        <w:instrText xml:space="preserve"> PAGEREF _Toc390078360 \h </w:instrText>
      </w:r>
      <w:r>
        <w:fldChar w:fldCharType="separate"/>
      </w:r>
      <w:r>
        <w:t>110</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Constraints on awards of common law damages</w:t>
      </w:r>
    </w:p>
    <w:p>
      <w:pPr>
        <w:pStyle w:val="TOC6"/>
        <w:tabs>
          <w:tab w:val="right" w:leader="dot" w:pos="7086"/>
        </w:tabs>
        <w:rPr>
          <w:rFonts w:asciiTheme="minorHAnsi" w:eastAsiaTheme="minorEastAsia" w:hAnsiTheme="minorHAnsi" w:cstheme="minorBidi"/>
          <w:b w:val="0"/>
          <w:sz w:val="22"/>
          <w:szCs w:val="22"/>
        </w:rPr>
      </w:pPr>
      <w:r>
        <w:t>Subdivision 1 — Preliminary provisions</w:t>
      </w:r>
    </w:p>
    <w:p>
      <w:pPr>
        <w:pStyle w:val="TOC8"/>
        <w:rPr>
          <w:rFonts w:asciiTheme="minorHAnsi" w:eastAsiaTheme="minorEastAsia" w:hAnsiTheme="minorHAnsi" w:cstheme="minorBidi"/>
          <w:szCs w:val="22"/>
        </w:rPr>
      </w:pPr>
      <w:r>
        <w:t>93A</w:t>
      </w:r>
      <w:r>
        <w:rPr>
          <w:snapToGrid w:val="0"/>
        </w:rPr>
        <w:t>.</w:t>
      </w:r>
      <w:r>
        <w:rPr>
          <w:snapToGrid w:val="0"/>
        </w:rPr>
        <w:tab/>
        <w:t>Definitions for this Division</w:t>
      </w:r>
      <w:r>
        <w:tab/>
      </w:r>
      <w:r>
        <w:fldChar w:fldCharType="begin"/>
      </w:r>
      <w:r>
        <w:instrText xml:space="preserve"> PAGEREF _Toc390078363 \h </w:instrText>
      </w:r>
      <w:r>
        <w:fldChar w:fldCharType="separate"/>
      </w:r>
      <w:r>
        <w:t>111</w:t>
      </w:r>
      <w:r>
        <w:fldChar w:fldCharType="end"/>
      </w:r>
    </w:p>
    <w:p>
      <w:pPr>
        <w:pStyle w:val="TOC8"/>
        <w:rPr>
          <w:rFonts w:asciiTheme="minorHAnsi" w:eastAsiaTheme="minorEastAsia" w:hAnsiTheme="minorHAnsi" w:cstheme="minorBidi"/>
          <w:szCs w:val="22"/>
        </w:rPr>
      </w:pPr>
      <w:r>
        <w:t>93B</w:t>
      </w:r>
      <w:r>
        <w:rPr>
          <w:snapToGrid w:val="0"/>
        </w:rPr>
        <w:t>.</w:t>
      </w:r>
      <w:r>
        <w:rPr>
          <w:snapToGrid w:val="0"/>
        </w:rPr>
        <w:tab/>
        <w:t>Application of this Division</w:t>
      </w:r>
      <w:r>
        <w:tab/>
      </w:r>
      <w:r>
        <w:fldChar w:fldCharType="begin"/>
      </w:r>
      <w:r>
        <w:instrText xml:space="preserve"> PAGEREF _Toc390078364 \h </w:instrText>
      </w:r>
      <w:r>
        <w:fldChar w:fldCharType="separate"/>
      </w:r>
      <w:r>
        <w:t>111</w:t>
      </w:r>
      <w:r>
        <w:fldChar w:fldCharType="end"/>
      </w:r>
    </w:p>
    <w:p>
      <w:pPr>
        <w:pStyle w:val="TOC8"/>
        <w:rPr>
          <w:rFonts w:asciiTheme="minorHAnsi" w:eastAsiaTheme="minorEastAsia" w:hAnsiTheme="minorHAnsi" w:cstheme="minorBidi"/>
          <w:szCs w:val="22"/>
        </w:rPr>
      </w:pPr>
      <w:r>
        <w:t>93C</w:t>
      </w:r>
      <w:r>
        <w:rPr>
          <w:snapToGrid w:val="0"/>
        </w:rPr>
        <w:t>.</w:t>
      </w:r>
      <w:r>
        <w:rPr>
          <w:snapToGrid w:val="0"/>
        </w:rPr>
        <w:tab/>
        <w:t>Limit on powers of courts</w:t>
      </w:r>
      <w:r>
        <w:tab/>
      </w:r>
      <w:r>
        <w:fldChar w:fldCharType="begin"/>
      </w:r>
      <w:r>
        <w:instrText xml:space="preserve"> PAGEREF _Toc390078365 \h </w:instrText>
      </w:r>
      <w:r>
        <w:fldChar w:fldCharType="separate"/>
      </w:r>
      <w:r>
        <w:t>112</w:t>
      </w:r>
      <w:r>
        <w:fldChar w:fldCharType="end"/>
      </w:r>
    </w:p>
    <w:p>
      <w:pPr>
        <w:pStyle w:val="TOC6"/>
        <w:tabs>
          <w:tab w:val="right" w:leader="dot" w:pos="7086"/>
        </w:tabs>
        <w:rPr>
          <w:rFonts w:asciiTheme="minorHAnsi" w:eastAsiaTheme="minorEastAsia" w:hAnsiTheme="minorHAnsi" w:cstheme="minorBidi"/>
          <w:b w:val="0"/>
          <w:sz w:val="22"/>
          <w:szCs w:val="22"/>
        </w:rPr>
      </w:pPr>
      <w:r>
        <w:t>Subdivision 2 — 1993 scheme</w:t>
      </w:r>
    </w:p>
    <w:p>
      <w:pPr>
        <w:pStyle w:val="TOC8"/>
        <w:rPr>
          <w:rFonts w:asciiTheme="minorHAnsi" w:eastAsiaTheme="minorEastAsia" w:hAnsiTheme="minorHAnsi" w:cstheme="minorBidi"/>
          <w:szCs w:val="22"/>
        </w:rPr>
      </w:pPr>
      <w:r>
        <w:t>93CA.</w:t>
      </w:r>
      <w:r>
        <w:tab/>
        <w:t>Meaning of “AMA Guides” in this Subdivision</w:t>
      </w:r>
      <w:r>
        <w:tab/>
      </w:r>
      <w:r>
        <w:fldChar w:fldCharType="begin"/>
      </w:r>
      <w:r>
        <w:instrText xml:space="preserve"> PAGEREF _Toc390078367 \h </w:instrText>
      </w:r>
      <w:r>
        <w:fldChar w:fldCharType="separate"/>
      </w:r>
      <w:r>
        <w:t>112</w:t>
      </w:r>
      <w:r>
        <w:fldChar w:fldCharType="end"/>
      </w:r>
    </w:p>
    <w:p>
      <w:pPr>
        <w:pStyle w:val="TOC8"/>
        <w:rPr>
          <w:rFonts w:asciiTheme="minorHAnsi" w:eastAsiaTheme="minorEastAsia" w:hAnsiTheme="minorHAnsi" w:cstheme="minorBidi"/>
          <w:szCs w:val="22"/>
        </w:rPr>
      </w:pPr>
      <w:r>
        <w:t>93CB.</w:t>
      </w:r>
      <w:r>
        <w:tab/>
        <w:t>Limits on application of this Subdivision</w:t>
      </w:r>
      <w:r>
        <w:tab/>
      </w:r>
      <w:r>
        <w:fldChar w:fldCharType="begin"/>
      </w:r>
      <w:r>
        <w:instrText xml:space="preserve"> PAGEREF _Toc390078368 \h </w:instrText>
      </w:r>
      <w:r>
        <w:fldChar w:fldCharType="separate"/>
      </w:r>
      <w:r>
        <w:t>113</w:t>
      </w:r>
      <w:r>
        <w:fldChar w:fldCharType="end"/>
      </w:r>
    </w:p>
    <w:p>
      <w:pPr>
        <w:pStyle w:val="TOC8"/>
        <w:rPr>
          <w:rFonts w:asciiTheme="minorHAnsi" w:eastAsiaTheme="minorEastAsia" w:hAnsiTheme="minorHAnsi" w:cstheme="minorBidi"/>
          <w:szCs w:val="22"/>
        </w:rPr>
      </w:pPr>
      <w:r>
        <w:t>93CC.</w:t>
      </w:r>
      <w:r>
        <w:tab/>
        <w:t>Application of this Subdivision</w:t>
      </w:r>
      <w:r>
        <w:tab/>
      </w:r>
      <w:r>
        <w:fldChar w:fldCharType="begin"/>
      </w:r>
      <w:r>
        <w:instrText xml:space="preserve"> PAGEREF _Toc390078369 \h </w:instrText>
      </w:r>
      <w:r>
        <w:fldChar w:fldCharType="separate"/>
      </w:r>
      <w:r>
        <w:t>113</w:t>
      </w:r>
      <w:r>
        <w:fldChar w:fldCharType="end"/>
      </w:r>
    </w:p>
    <w:p>
      <w:pPr>
        <w:pStyle w:val="TOC8"/>
        <w:rPr>
          <w:rFonts w:asciiTheme="minorHAnsi" w:eastAsiaTheme="minorEastAsia" w:hAnsiTheme="minorHAnsi" w:cstheme="minorBidi"/>
          <w:szCs w:val="22"/>
        </w:rPr>
      </w:pPr>
      <w:r>
        <w:t>93D.</w:t>
      </w:r>
      <w:r>
        <w:tab/>
        <w:t>Assessment of disability</w:t>
      </w:r>
      <w:r>
        <w:tab/>
      </w:r>
      <w:r>
        <w:fldChar w:fldCharType="begin"/>
      </w:r>
      <w:r>
        <w:instrText xml:space="preserve"> PAGEREF _Toc390078370 \h </w:instrText>
      </w:r>
      <w:r>
        <w:fldChar w:fldCharType="separate"/>
      </w:r>
      <w:r>
        <w:t>114</w:t>
      </w:r>
      <w:r>
        <w:fldChar w:fldCharType="end"/>
      </w:r>
    </w:p>
    <w:p>
      <w:pPr>
        <w:pStyle w:val="TOC8"/>
        <w:rPr>
          <w:rFonts w:asciiTheme="minorHAnsi" w:eastAsiaTheme="minorEastAsia" w:hAnsiTheme="minorHAnsi" w:cstheme="minorBidi"/>
          <w:szCs w:val="22"/>
        </w:rPr>
      </w:pPr>
      <w:r>
        <w:t>93E.</w:t>
      </w:r>
      <w:r>
        <w:tab/>
        <w:t>Restrictions on awarding of damages and payment of compensation</w:t>
      </w:r>
      <w:r>
        <w:tab/>
      </w:r>
      <w:r>
        <w:fldChar w:fldCharType="begin"/>
      </w:r>
      <w:r>
        <w:instrText xml:space="preserve"> PAGEREF _Toc390078371 \h </w:instrText>
      </w:r>
      <w:r>
        <w:fldChar w:fldCharType="separate"/>
      </w:r>
      <w:r>
        <w:t>117</w:t>
      </w:r>
      <w:r>
        <w:fldChar w:fldCharType="end"/>
      </w:r>
    </w:p>
    <w:p>
      <w:pPr>
        <w:pStyle w:val="TOC8"/>
        <w:rPr>
          <w:rFonts w:asciiTheme="minorHAnsi" w:eastAsiaTheme="minorEastAsia" w:hAnsiTheme="minorHAnsi" w:cstheme="minorBidi"/>
          <w:szCs w:val="22"/>
        </w:rPr>
      </w:pPr>
      <w:r>
        <w:t>93EA.</w:t>
      </w:r>
      <w:r>
        <w:tab/>
        <w:t>Referring questions with fresh evidence in particular cases</w:t>
      </w:r>
      <w:r>
        <w:tab/>
      </w:r>
      <w:r>
        <w:fldChar w:fldCharType="begin"/>
      </w:r>
      <w:r>
        <w:instrText xml:space="preserve"> PAGEREF _Toc390078372 \h </w:instrText>
      </w:r>
      <w:r>
        <w:fldChar w:fldCharType="separate"/>
      </w:r>
      <w:r>
        <w:t>120</w:t>
      </w:r>
      <w:r>
        <w:fldChar w:fldCharType="end"/>
      </w:r>
    </w:p>
    <w:p>
      <w:pPr>
        <w:pStyle w:val="TOC8"/>
        <w:rPr>
          <w:rFonts w:asciiTheme="minorHAnsi" w:eastAsiaTheme="minorEastAsia" w:hAnsiTheme="minorHAnsi" w:cstheme="minorBidi"/>
          <w:szCs w:val="22"/>
        </w:rPr>
      </w:pPr>
      <w:r>
        <w:t>93EB.</w:t>
      </w:r>
      <w:r>
        <w:tab/>
        <w:t>Referring questions in certain other cases</w:t>
      </w:r>
      <w:r>
        <w:tab/>
      </w:r>
      <w:r>
        <w:fldChar w:fldCharType="begin"/>
      </w:r>
      <w:r>
        <w:instrText xml:space="preserve"> PAGEREF _Toc390078373 \h </w:instrText>
      </w:r>
      <w:r>
        <w:fldChar w:fldCharType="separate"/>
      </w:r>
      <w:r>
        <w:t>122</w:t>
      </w:r>
      <w:r>
        <w:fldChar w:fldCharType="end"/>
      </w:r>
    </w:p>
    <w:p>
      <w:pPr>
        <w:pStyle w:val="TOC8"/>
        <w:rPr>
          <w:rFonts w:asciiTheme="minorHAnsi" w:eastAsiaTheme="minorEastAsia" w:hAnsiTheme="minorHAnsi" w:cstheme="minorBidi"/>
          <w:szCs w:val="22"/>
        </w:rPr>
      </w:pPr>
      <w:r>
        <w:t>93EC.</w:t>
      </w:r>
      <w:r>
        <w:tab/>
        <w:t>Extended time for commencing proceedings</w:t>
      </w:r>
      <w:r>
        <w:tab/>
      </w:r>
      <w:r>
        <w:fldChar w:fldCharType="begin"/>
      </w:r>
      <w:r>
        <w:instrText xml:space="preserve"> PAGEREF _Toc390078374 \h </w:instrText>
      </w:r>
      <w:r>
        <w:fldChar w:fldCharType="separate"/>
      </w:r>
      <w:r>
        <w:t>124</w:t>
      </w:r>
      <w:r>
        <w:fldChar w:fldCharType="end"/>
      </w:r>
    </w:p>
    <w:p>
      <w:pPr>
        <w:pStyle w:val="TOC8"/>
        <w:rPr>
          <w:rFonts w:asciiTheme="minorHAnsi" w:eastAsiaTheme="minorEastAsia" w:hAnsiTheme="minorHAnsi" w:cstheme="minorBidi"/>
          <w:szCs w:val="22"/>
        </w:rPr>
      </w:pPr>
      <w:r>
        <w:t>93F.</w:t>
      </w:r>
      <w:r>
        <w:tab/>
        <w:t>Restrictions on awarding and amount of damages if disability less than 30%</w:t>
      </w:r>
      <w:r>
        <w:tab/>
      </w:r>
      <w:r>
        <w:fldChar w:fldCharType="begin"/>
      </w:r>
      <w:r>
        <w:instrText xml:space="preserve"> PAGEREF _Toc390078375 \h </w:instrText>
      </w:r>
      <w:r>
        <w:fldChar w:fldCharType="separate"/>
      </w:r>
      <w:r>
        <w:t>125</w:t>
      </w:r>
      <w:r>
        <w:fldChar w:fldCharType="end"/>
      </w:r>
    </w:p>
    <w:p>
      <w:pPr>
        <w:pStyle w:val="TOC8"/>
        <w:rPr>
          <w:rFonts w:asciiTheme="minorHAnsi" w:eastAsiaTheme="minorEastAsia" w:hAnsiTheme="minorHAnsi" w:cstheme="minorBidi"/>
          <w:szCs w:val="22"/>
        </w:rPr>
      </w:pPr>
      <w:r>
        <w:t>93G.</w:t>
      </w:r>
      <w:r>
        <w:tab/>
        <w:t>Regulations</w:t>
      </w:r>
      <w:r>
        <w:tab/>
      </w:r>
      <w:r>
        <w:fldChar w:fldCharType="begin"/>
      </w:r>
      <w:r>
        <w:instrText xml:space="preserve"> PAGEREF _Toc390078376 \h </w:instrText>
      </w:r>
      <w:r>
        <w:fldChar w:fldCharType="separate"/>
      </w:r>
      <w:r>
        <w:t>127</w:t>
      </w:r>
      <w:r>
        <w:fldChar w:fldCharType="end"/>
      </w:r>
    </w:p>
    <w:p>
      <w:pPr>
        <w:pStyle w:val="TOC6"/>
        <w:tabs>
          <w:tab w:val="right" w:leader="dot" w:pos="7086"/>
        </w:tabs>
        <w:rPr>
          <w:rFonts w:asciiTheme="minorHAnsi" w:eastAsiaTheme="minorEastAsia" w:hAnsiTheme="minorHAnsi" w:cstheme="minorBidi"/>
          <w:b w:val="0"/>
          <w:sz w:val="22"/>
          <w:szCs w:val="22"/>
        </w:rPr>
      </w:pPr>
      <w:r>
        <w:t>Subdivision 3 — 2004 scheme</w:t>
      </w:r>
    </w:p>
    <w:p>
      <w:pPr>
        <w:pStyle w:val="TOC8"/>
        <w:rPr>
          <w:rFonts w:asciiTheme="minorHAnsi" w:eastAsiaTheme="minorEastAsia" w:hAnsiTheme="minorHAnsi" w:cstheme="minorBidi"/>
          <w:szCs w:val="22"/>
        </w:rPr>
      </w:pPr>
      <w:r>
        <w:t>93H.</w:t>
      </w:r>
      <w:r>
        <w:tab/>
        <w:t>Terms used in this Subdivision</w:t>
      </w:r>
      <w:r>
        <w:tab/>
      </w:r>
      <w:r>
        <w:fldChar w:fldCharType="begin"/>
      </w:r>
      <w:r>
        <w:instrText xml:space="preserve"> PAGEREF _Toc390078378 \h </w:instrText>
      </w:r>
      <w:r>
        <w:fldChar w:fldCharType="separate"/>
      </w:r>
      <w:r>
        <w:t>128</w:t>
      </w:r>
      <w:r>
        <w:fldChar w:fldCharType="end"/>
      </w:r>
    </w:p>
    <w:p>
      <w:pPr>
        <w:pStyle w:val="TOC8"/>
        <w:rPr>
          <w:rFonts w:asciiTheme="minorHAnsi" w:eastAsiaTheme="minorEastAsia" w:hAnsiTheme="minorHAnsi" w:cstheme="minorBidi"/>
          <w:szCs w:val="22"/>
        </w:rPr>
      </w:pPr>
      <w:r>
        <w:t>93I.</w:t>
      </w:r>
      <w:r>
        <w:tab/>
        <w:t>Application of this Subdivision</w:t>
      </w:r>
      <w:r>
        <w:tab/>
      </w:r>
      <w:r>
        <w:fldChar w:fldCharType="begin"/>
      </w:r>
      <w:r>
        <w:instrText xml:space="preserve"> PAGEREF _Toc390078379 \h </w:instrText>
      </w:r>
      <w:r>
        <w:fldChar w:fldCharType="separate"/>
      </w:r>
      <w:r>
        <w:t>128</w:t>
      </w:r>
      <w:r>
        <w:fldChar w:fldCharType="end"/>
      </w:r>
    </w:p>
    <w:p>
      <w:pPr>
        <w:pStyle w:val="TOC8"/>
        <w:rPr>
          <w:rFonts w:asciiTheme="minorHAnsi" w:eastAsiaTheme="minorEastAsia" w:hAnsiTheme="minorHAnsi" w:cstheme="minorBidi"/>
          <w:szCs w:val="22"/>
        </w:rPr>
      </w:pPr>
      <w:r>
        <w:t>93J.</w:t>
      </w:r>
      <w:r>
        <w:tab/>
        <w:t>No damages for noise induced hearing loss if not an injury</w:t>
      </w:r>
      <w:r>
        <w:tab/>
      </w:r>
      <w:r>
        <w:fldChar w:fldCharType="begin"/>
      </w:r>
      <w:r>
        <w:instrText xml:space="preserve"> PAGEREF _Toc390078380 \h </w:instrText>
      </w:r>
      <w:r>
        <w:fldChar w:fldCharType="separate"/>
      </w:r>
      <w:r>
        <w:t>129</w:t>
      </w:r>
      <w:r>
        <w:fldChar w:fldCharType="end"/>
      </w:r>
    </w:p>
    <w:p>
      <w:pPr>
        <w:pStyle w:val="TOC8"/>
        <w:rPr>
          <w:rFonts w:asciiTheme="minorHAnsi" w:eastAsiaTheme="minorEastAsia" w:hAnsiTheme="minorHAnsi" w:cstheme="minorBidi"/>
          <w:szCs w:val="22"/>
        </w:rPr>
      </w:pPr>
      <w:r>
        <w:t>93K.</w:t>
      </w:r>
      <w:r>
        <w:tab/>
        <w:t>Restrictions on awarding, and amount of, damages</w:t>
      </w:r>
      <w:r>
        <w:tab/>
      </w:r>
      <w:r>
        <w:fldChar w:fldCharType="begin"/>
      </w:r>
      <w:r>
        <w:instrText xml:space="preserve"> PAGEREF _Toc390078381 \h </w:instrText>
      </w:r>
      <w:r>
        <w:fldChar w:fldCharType="separate"/>
      </w:r>
      <w:r>
        <w:t>129</w:t>
      </w:r>
      <w:r>
        <w:fldChar w:fldCharType="end"/>
      </w:r>
    </w:p>
    <w:p>
      <w:pPr>
        <w:pStyle w:val="TOC8"/>
        <w:rPr>
          <w:rFonts w:asciiTheme="minorHAnsi" w:eastAsiaTheme="minorEastAsia" w:hAnsiTheme="minorHAnsi" w:cstheme="minorBidi"/>
          <w:szCs w:val="22"/>
        </w:rPr>
      </w:pPr>
      <w:r>
        <w:t>93L.</w:t>
      </w:r>
      <w:r>
        <w:tab/>
        <w:t>Election to retain right to seek damages</w:t>
      </w:r>
      <w:r>
        <w:tab/>
      </w:r>
      <w:r>
        <w:fldChar w:fldCharType="begin"/>
      </w:r>
      <w:r>
        <w:instrText xml:space="preserve"> PAGEREF _Toc390078382 \h </w:instrText>
      </w:r>
      <w:r>
        <w:fldChar w:fldCharType="separate"/>
      </w:r>
      <w:r>
        <w:t>132</w:t>
      </w:r>
      <w:r>
        <w:fldChar w:fldCharType="end"/>
      </w:r>
    </w:p>
    <w:p>
      <w:pPr>
        <w:pStyle w:val="TOC8"/>
        <w:rPr>
          <w:rFonts w:asciiTheme="minorHAnsi" w:eastAsiaTheme="minorEastAsia" w:hAnsiTheme="minorHAnsi" w:cstheme="minorBidi"/>
          <w:szCs w:val="22"/>
        </w:rPr>
      </w:pPr>
      <w:r>
        <w:t>93M.</w:t>
      </w:r>
      <w:r>
        <w:tab/>
        <w:t>Termination day</w:t>
      </w:r>
      <w:r>
        <w:tab/>
      </w:r>
      <w:r>
        <w:fldChar w:fldCharType="begin"/>
      </w:r>
      <w:r>
        <w:instrText xml:space="preserve"> PAGEREF _Toc390078383 \h </w:instrText>
      </w:r>
      <w:r>
        <w:fldChar w:fldCharType="separate"/>
      </w:r>
      <w:r>
        <w:t>133</w:t>
      </w:r>
      <w:r>
        <w:fldChar w:fldCharType="end"/>
      </w:r>
    </w:p>
    <w:p>
      <w:pPr>
        <w:pStyle w:val="TOC8"/>
        <w:rPr>
          <w:rFonts w:asciiTheme="minorHAnsi" w:eastAsiaTheme="minorEastAsia" w:hAnsiTheme="minorHAnsi" w:cstheme="minorBidi"/>
          <w:szCs w:val="22"/>
        </w:rPr>
      </w:pPr>
      <w:r>
        <w:t>93N.</w:t>
      </w:r>
      <w:r>
        <w:tab/>
        <w:t>Special evaluation if condition has not sufficiently stabilised</w:t>
      </w:r>
      <w:r>
        <w:tab/>
      </w:r>
      <w:r>
        <w:fldChar w:fldCharType="begin"/>
      </w:r>
      <w:r>
        <w:instrText xml:space="preserve"> PAGEREF _Toc390078384 \h </w:instrText>
      </w:r>
      <w:r>
        <w:fldChar w:fldCharType="separate"/>
      </w:r>
      <w:r>
        <w:t>136</w:t>
      </w:r>
      <w:r>
        <w:fldChar w:fldCharType="end"/>
      </w:r>
    </w:p>
    <w:p>
      <w:pPr>
        <w:pStyle w:val="TOC8"/>
        <w:rPr>
          <w:rFonts w:asciiTheme="minorHAnsi" w:eastAsiaTheme="minorEastAsia" w:hAnsiTheme="minorHAnsi" w:cstheme="minorBidi"/>
          <w:szCs w:val="22"/>
        </w:rPr>
      </w:pPr>
      <w:r>
        <w:t>93O.</w:t>
      </w:r>
      <w:r>
        <w:tab/>
        <w:t>Employer to give worker notice of certain things</w:t>
      </w:r>
      <w:r>
        <w:tab/>
      </w:r>
      <w:r>
        <w:fldChar w:fldCharType="begin"/>
      </w:r>
      <w:r>
        <w:instrText xml:space="preserve"> PAGEREF _Toc390078385 \h </w:instrText>
      </w:r>
      <w:r>
        <w:fldChar w:fldCharType="separate"/>
      </w:r>
      <w:r>
        <w:t>137</w:t>
      </w:r>
      <w:r>
        <w:fldChar w:fldCharType="end"/>
      </w:r>
    </w:p>
    <w:p>
      <w:pPr>
        <w:pStyle w:val="TOC8"/>
        <w:rPr>
          <w:rFonts w:asciiTheme="minorHAnsi" w:eastAsiaTheme="minorEastAsia" w:hAnsiTheme="minorHAnsi" w:cstheme="minorBidi"/>
          <w:szCs w:val="22"/>
        </w:rPr>
      </w:pPr>
      <w:r>
        <w:t>93P.</w:t>
      </w:r>
      <w:r>
        <w:tab/>
        <w:t>How election may affect statutory compensation</w:t>
      </w:r>
      <w:r>
        <w:tab/>
      </w:r>
      <w:r>
        <w:fldChar w:fldCharType="begin"/>
      </w:r>
      <w:r>
        <w:instrText xml:space="preserve"> PAGEREF _Toc390078386 \h </w:instrText>
      </w:r>
      <w:r>
        <w:fldChar w:fldCharType="separate"/>
      </w:r>
      <w:r>
        <w:t>137</w:t>
      </w:r>
      <w:r>
        <w:fldChar w:fldCharType="end"/>
      </w:r>
    </w:p>
    <w:p>
      <w:pPr>
        <w:pStyle w:val="TOC8"/>
        <w:rPr>
          <w:rFonts w:asciiTheme="minorHAnsi" w:eastAsiaTheme="minorEastAsia" w:hAnsiTheme="minorHAnsi" w:cstheme="minorBidi"/>
          <w:szCs w:val="22"/>
        </w:rPr>
      </w:pPr>
      <w:r>
        <w:t>93Q.</w:t>
      </w:r>
      <w:r>
        <w:tab/>
        <w:t>Special provisions about HIV and AIDS</w:t>
      </w:r>
      <w:r>
        <w:tab/>
      </w:r>
      <w:r>
        <w:fldChar w:fldCharType="begin"/>
      </w:r>
      <w:r>
        <w:instrText xml:space="preserve"> PAGEREF _Toc390078387 \h </w:instrText>
      </w:r>
      <w:r>
        <w:fldChar w:fldCharType="separate"/>
      </w:r>
      <w:r>
        <w:t>139</w:t>
      </w:r>
      <w:r>
        <w:fldChar w:fldCharType="end"/>
      </w:r>
    </w:p>
    <w:p>
      <w:pPr>
        <w:pStyle w:val="TOC8"/>
        <w:rPr>
          <w:rFonts w:asciiTheme="minorHAnsi" w:eastAsiaTheme="minorEastAsia" w:hAnsiTheme="minorHAnsi" w:cstheme="minorBidi"/>
          <w:szCs w:val="22"/>
        </w:rPr>
      </w:pPr>
      <w:r>
        <w:t>93R.</w:t>
      </w:r>
      <w:r>
        <w:tab/>
        <w:t>Special provisions about specified industrial diseases</w:t>
      </w:r>
      <w:r>
        <w:tab/>
      </w:r>
      <w:r>
        <w:fldChar w:fldCharType="begin"/>
      </w:r>
      <w:r>
        <w:instrText xml:space="preserve"> PAGEREF _Toc390078388 \h </w:instrText>
      </w:r>
      <w:r>
        <w:fldChar w:fldCharType="separate"/>
      </w:r>
      <w:r>
        <w:t>140</w:t>
      </w:r>
      <w:r>
        <w:fldChar w:fldCharType="end"/>
      </w:r>
    </w:p>
    <w:p>
      <w:pPr>
        <w:pStyle w:val="TOC8"/>
        <w:rPr>
          <w:rFonts w:asciiTheme="minorHAnsi" w:eastAsiaTheme="minorEastAsia" w:hAnsiTheme="minorHAnsi" w:cstheme="minorBidi"/>
          <w:szCs w:val="22"/>
        </w:rPr>
      </w:pPr>
      <w:r>
        <w:t>93S.</w:t>
      </w:r>
      <w:r>
        <w:tab/>
        <w:t>Regulations</w:t>
      </w:r>
      <w:r>
        <w:tab/>
      </w:r>
      <w:r>
        <w:fldChar w:fldCharType="begin"/>
      </w:r>
      <w:r>
        <w:instrText xml:space="preserve"> PAGEREF _Toc390078389 \h </w:instrText>
      </w:r>
      <w:r>
        <w:fldChar w:fldCharType="separate"/>
      </w:r>
      <w:r>
        <w:t>141</w:t>
      </w:r>
      <w:r>
        <w:fldChar w:fldCharType="end"/>
      </w:r>
    </w:p>
    <w:p>
      <w:pPr>
        <w:pStyle w:val="TOC2"/>
        <w:tabs>
          <w:tab w:val="right" w:leader="dot" w:pos="7086"/>
        </w:tabs>
        <w:rPr>
          <w:rFonts w:asciiTheme="minorHAnsi" w:eastAsiaTheme="minorEastAsia" w:hAnsiTheme="minorHAnsi" w:cstheme="minorBidi"/>
          <w:b w:val="0"/>
          <w:sz w:val="22"/>
          <w:szCs w:val="22"/>
        </w:rPr>
      </w:pPr>
      <w:r>
        <w:t>Part V —</w:t>
      </w:r>
      <w:r>
        <w:rPr>
          <w:b w:val="0"/>
        </w:rPr>
        <w:t> </w:t>
      </w:r>
      <w:r>
        <w:t>WorkCover Western Australia Authority</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Constitution, purposes, and powers</w:t>
      </w:r>
    </w:p>
    <w:p>
      <w:pPr>
        <w:pStyle w:val="TOC8"/>
        <w:rPr>
          <w:rFonts w:asciiTheme="minorHAnsi" w:eastAsiaTheme="minorEastAsia" w:hAnsiTheme="minorHAnsi" w:cstheme="minorBidi"/>
          <w:szCs w:val="22"/>
        </w:rPr>
      </w:pPr>
      <w:r>
        <w:t>94</w:t>
      </w:r>
      <w:r>
        <w:rPr>
          <w:snapToGrid w:val="0"/>
        </w:rPr>
        <w:t>.</w:t>
      </w:r>
      <w:r>
        <w:rPr>
          <w:snapToGrid w:val="0"/>
        </w:rPr>
        <w:tab/>
        <w:t>WorkCover Western Australia Authority</w:t>
      </w:r>
      <w:r>
        <w:tab/>
      </w:r>
      <w:r>
        <w:fldChar w:fldCharType="begin"/>
      </w:r>
      <w:r>
        <w:instrText xml:space="preserve"> PAGEREF _Toc390078392 \h </w:instrText>
      </w:r>
      <w:r>
        <w:fldChar w:fldCharType="separate"/>
      </w:r>
      <w:r>
        <w:t>142</w:t>
      </w:r>
      <w:r>
        <w:fldChar w:fldCharType="end"/>
      </w:r>
    </w:p>
    <w:p>
      <w:pPr>
        <w:pStyle w:val="TOC8"/>
        <w:rPr>
          <w:rFonts w:asciiTheme="minorHAnsi" w:eastAsiaTheme="minorEastAsia" w:hAnsiTheme="minorHAnsi" w:cstheme="minorBidi"/>
          <w:szCs w:val="22"/>
        </w:rPr>
      </w:pPr>
      <w:r>
        <w:t>95.</w:t>
      </w:r>
      <w:r>
        <w:tab/>
        <w:t>WorkCover WA’s governing body</w:t>
      </w:r>
      <w:r>
        <w:tab/>
      </w:r>
      <w:r>
        <w:fldChar w:fldCharType="begin"/>
      </w:r>
      <w:r>
        <w:instrText xml:space="preserve"> PAGEREF _Toc390078393 \h </w:instrText>
      </w:r>
      <w:r>
        <w:fldChar w:fldCharType="separate"/>
      </w:r>
      <w:r>
        <w:t>143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Term of office</w:t>
      </w:r>
      <w:r>
        <w:tab/>
      </w:r>
      <w:r>
        <w:fldChar w:fldCharType="begin"/>
      </w:r>
      <w:r>
        <w:instrText xml:space="preserve"> PAGEREF _Toc390078394 \h </w:instrText>
      </w:r>
      <w:r>
        <w:fldChar w:fldCharType="separate"/>
      </w:r>
      <w:r>
        <w:t>145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Meetings</w:t>
      </w:r>
      <w:r>
        <w:tab/>
      </w:r>
      <w:r>
        <w:fldChar w:fldCharType="begin"/>
      </w:r>
      <w:r>
        <w:instrText xml:space="preserve"> PAGEREF _Toc390078395 \h </w:instrText>
      </w:r>
      <w:r>
        <w:fldChar w:fldCharType="separate"/>
      </w:r>
      <w:r>
        <w:t>146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Defects not to invalidate proceedings</w:t>
      </w:r>
      <w:r>
        <w:tab/>
      </w:r>
      <w:r>
        <w:fldChar w:fldCharType="begin"/>
      </w:r>
      <w:r>
        <w:instrText xml:space="preserve"> PAGEREF _Toc390078396 \h </w:instrText>
      </w:r>
      <w:r>
        <w:fldChar w:fldCharType="separate"/>
      </w:r>
      <w:r>
        <w:t>147</w:t>
      </w:r>
      <w:r>
        <w:fldChar w:fldCharType="end"/>
      </w:r>
    </w:p>
    <w:p>
      <w:pPr>
        <w:pStyle w:val="TOC8"/>
        <w:rPr>
          <w:rFonts w:asciiTheme="minorHAnsi" w:eastAsiaTheme="minorEastAsia" w:hAnsiTheme="minorHAnsi" w:cstheme="minorBidi"/>
          <w:szCs w:val="22"/>
        </w:rPr>
      </w:pPr>
      <w:r>
        <w:t>99.</w:t>
      </w:r>
      <w:r>
        <w:tab/>
      </w:r>
      <w:r>
        <w:rPr>
          <w:snapToGrid w:val="0"/>
        </w:rPr>
        <w:t>Conditions of appointment</w:t>
      </w:r>
      <w:r>
        <w:tab/>
      </w:r>
      <w:r>
        <w:fldChar w:fldCharType="begin"/>
      </w:r>
      <w:r>
        <w:instrText xml:space="preserve"> PAGEREF _Toc390078397 \h </w:instrText>
      </w:r>
      <w:r>
        <w:fldChar w:fldCharType="separate"/>
      </w:r>
      <w:r>
        <w:t>147</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Functions of WorkCover WA</w:t>
      </w:r>
      <w:r>
        <w:tab/>
      </w:r>
      <w:r>
        <w:fldChar w:fldCharType="begin"/>
      </w:r>
      <w:r>
        <w:instrText xml:space="preserve"> PAGEREF _Toc390078398 \h </w:instrText>
      </w:r>
      <w:r>
        <w:fldChar w:fldCharType="separate"/>
      </w:r>
      <w:r>
        <w:t>147</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Advisory committees</w:t>
      </w:r>
      <w:r>
        <w:tab/>
      </w:r>
      <w:r>
        <w:fldChar w:fldCharType="begin"/>
      </w:r>
      <w:r>
        <w:instrText xml:space="preserve"> PAGEREF _Toc390078399 \h </w:instrText>
      </w:r>
      <w:r>
        <w:fldChar w:fldCharType="separate"/>
      </w:r>
      <w:r>
        <w:t>149</w:t>
      </w:r>
      <w:r>
        <w:fldChar w:fldCharType="end"/>
      </w:r>
    </w:p>
    <w:p>
      <w:pPr>
        <w:pStyle w:val="TOC8"/>
        <w:rPr>
          <w:rFonts w:asciiTheme="minorHAnsi" w:eastAsiaTheme="minorEastAsia" w:hAnsiTheme="minorHAnsi" w:cstheme="minorBidi"/>
          <w:szCs w:val="22"/>
        </w:rPr>
      </w:pPr>
      <w:r>
        <w:t>100B.</w:t>
      </w:r>
      <w:r>
        <w:tab/>
        <w:t>Disclosure of information</w:t>
      </w:r>
      <w:r>
        <w:tab/>
      </w:r>
      <w:r>
        <w:fldChar w:fldCharType="begin"/>
      </w:r>
      <w:r>
        <w:instrText xml:space="preserve"> PAGEREF _Toc390078400 \h </w:instrText>
      </w:r>
      <w:r>
        <w:fldChar w:fldCharType="separate"/>
      </w:r>
      <w:r>
        <w:t>150</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Powers</w:t>
      </w:r>
      <w:r>
        <w:tab/>
      </w:r>
      <w:r>
        <w:fldChar w:fldCharType="begin"/>
      </w:r>
      <w:r>
        <w:instrText xml:space="preserve"> PAGEREF _Toc390078401 \h </w:instrText>
      </w:r>
      <w:r>
        <w:fldChar w:fldCharType="separate"/>
      </w:r>
      <w:r>
        <w:t>151</w:t>
      </w:r>
      <w:r>
        <w:fldChar w:fldCharType="end"/>
      </w:r>
    </w:p>
    <w:p>
      <w:pPr>
        <w:pStyle w:val="TOC8"/>
        <w:rPr>
          <w:rFonts w:asciiTheme="minorHAnsi" w:eastAsiaTheme="minorEastAsia" w:hAnsiTheme="minorHAnsi" w:cstheme="minorBidi"/>
          <w:szCs w:val="22"/>
        </w:rPr>
      </w:pPr>
      <w:r>
        <w:t>101AA.</w:t>
      </w:r>
      <w:r>
        <w:tab/>
        <w:t>Delegation by WorkCover WA</w:t>
      </w:r>
      <w:r>
        <w:tab/>
      </w:r>
      <w:r>
        <w:fldChar w:fldCharType="begin"/>
      </w:r>
      <w:r>
        <w:instrText xml:space="preserve"> PAGEREF _Toc390078402 \h </w:instrText>
      </w:r>
      <w:r>
        <w:fldChar w:fldCharType="separate"/>
      </w:r>
      <w:r>
        <w:t>152</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 xml:space="preserve">Borrowings by </w:t>
      </w:r>
      <w:r>
        <w:t>WorkCover WA</w:t>
      </w:r>
      <w:r>
        <w:tab/>
      </w:r>
      <w:r>
        <w:fldChar w:fldCharType="begin"/>
      </w:r>
      <w:r>
        <w:instrText xml:space="preserve"> PAGEREF _Toc390078403 \h </w:instrText>
      </w:r>
      <w:r>
        <w:fldChar w:fldCharType="separate"/>
      </w:r>
      <w:r>
        <w:t>152</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Guarantees of borrowings</w:t>
      </w:r>
      <w:r>
        <w:tab/>
      </w:r>
      <w:r>
        <w:fldChar w:fldCharType="begin"/>
      </w:r>
      <w:r>
        <w:instrText xml:space="preserve"> PAGEREF _Toc390078404 \h </w:instrText>
      </w:r>
      <w:r>
        <w:fldChar w:fldCharType="separate"/>
      </w:r>
      <w:r>
        <w:t>153</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Limitation on powers</w:t>
      </w:r>
      <w:r>
        <w:tab/>
      </w:r>
      <w:r>
        <w:fldChar w:fldCharType="begin"/>
      </w:r>
      <w:r>
        <w:instrText xml:space="preserve"> PAGEREF _Toc390078405 \h </w:instrText>
      </w:r>
      <w:r>
        <w:fldChar w:fldCharType="separate"/>
      </w:r>
      <w:r>
        <w:t>154</w:t>
      </w:r>
      <w:r>
        <w:fldChar w:fldCharType="end"/>
      </w:r>
    </w:p>
    <w:p>
      <w:pPr>
        <w:pStyle w:val="TOC8"/>
        <w:rPr>
          <w:rFonts w:asciiTheme="minorHAnsi" w:eastAsiaTheme="minorEastAsia" w:hAnsiTheme="minorHAnsi" w:cstheme="minorBidi"/>
          <w:szCs w:val="22"/>
        </w:rPr>
      </w:pPr>
      <w:r>
        <w:t>103A</w:t>
      </w:r>
      <w:r>
        <w:rPr>
          <w:snapToGrid w:val="0"/>
        </w:rPr>
        <w:t>.</w:t>
      </w:r>
      <w:r>
        <w:rPr>
          <w:snapToGrid w:val="0"/>
        </w:rPr>
        <w:tab/>
        <w:t>Returns</w:t>
      </w:r>
      <w:r>
        <w:tab/>
      </w:r>
      <w:r>
        <w:fldChar w:fldCharType="begin"/>
      </w:r>
      <w:r>
        <w:instrText xml:space="preserve"> PAGEREF _Toc390078406 \h </w:instrText>
      </w:r>
      <w:r>
        <w:fldChar w:fldCharType="separate"/>
      </w:r>
      <w:r>
        <w:t>154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Publishing and furnishing information</w:t>
      </w:r>
      <w:r>
        <w:tab/>
      </w:r>
      <w:r>
        <w:fldChar w:fldCharType="begin"/>
      </w:r>
      <w:r>
        <w:instrText xml:space="preserve"> PAGEREF _Toc390078407 \h </w:instrText>
      </w:r>
      <w:r>
        <w:fldChar w:fldCharType="separate"/>
      </w:r>
      <w:r>
        <w:t>155</w:t>
      </w:r>
      <w:r>
        <w:fldChar w:fldCharType="end"/>
      </w:r>
    </w:p>
    <w:p>
      <w:pPr>
        <w:pStyle w:val="TOC4"/>
        <w:tabs>
          <w:tab w:val="right" w:leader="dot" w:pos="7086"/>
        </w:tabs>
        <w:rPr>
          <w:rFonts w:asciiTheme="minorHAnsi" w:eastAsiaTheme="minorEastAsia" w:hAnsiTheme="minorHAnsi" w:cstheme="minorBidi"/>
          <w:b w:val="0"/>
          <w:szCs w:val="22"/>
        </w:rPr>
      </w:pPr>
      <w:r>
        <w:t>Division 1AA — Personal interest</w:t>
      </w:r>
    </w:p>
    <w:p>
      <w:pPr>
        <w:pStyle w:val="TOC8"/>
        <w:rPr>
          <w:rFonts w:asciiTheme="minorHAnsi" w:eastAsiaTheme="minorEastAsia" w:hAnsiTheme="minorHAnsi" w:cstheme="minorBidi"/>
          <w:szCs w:val="22"/>
        </w:rPr>
      </w:pPr>
      <w:r>
        <w:t>104AA.</w:t>
      </w:r>
      <w:r>
        <w:tab/>
        <w:t>D</w:t>
      </w:r>
      <w:r>
        <w:rPr>
          <w:snapToGrid w:val="0"/>
        </w:rPr>
        <w:t>isclosure of interests</w:t>
      </w:r>
      <w:r>
        <w:tab/>
      </w:r>
      <w:r>
        <w:fldChar w:fldCharType="begin"/>
      </w:r>
      <w:r>
        <w:instrText xml:space="preserve"> PAGEREF _Toc390078409 \h </w:instrText>
      </w:r>
      <w:r>
        <w:fldChar w:fldCharType="separate"/>
      </w:r>
      <w:r>
        <w:t>155</w:t>
      </w:r>
      <w:r>
        <w:fldChar w:fldCharType="end"/>
      </w:r>
    </w:p>
    <w:p>
      <w:pPr>
        <w:pStyle w:val="TOC8"/>
        <w:rPr>
          <w:rFonts w:asciiTheme="minorHAnsi" w:eastAsiaTheme="minorEastAsia" w:hAnsiTheme="minorHAnsi" w:cstheme="minorBidi"/>
          <w:szCs w:val="22"/>
        </w:rPr>
      </w:pPr>
      <w:r>
        <w:t>104AB</w:t>
      </w:r>
      <w:r>
        <w:rPr>
          <w:snapToGrid w:val="0"/>
        </w:rPr>
        <w:t>.</w:t>
      </w:r>
      <w:r>
        <w:rPr>
          <w:snapToGrid w:val="0"/>
        </w:rPr>
        <w:tab/>
        <w:t>Exclusion of interested member</w:t>
      </w:r>
      <w:r>
        <w:tab/>
      </w:r>
      <w:r>
        <w:fldChar w:fldCharType="begin"/>
      </w:r>
      <w:r>
        <w:instrText xml:space="preserve"> PAGEREF _Toc390078410 \h </w:instrText>
      </w:r>
      <w:r>
        <w:fldChar w:fldCharType="separate"/>
      </w:r>
      <w:r>
        <w:t>155</w:t>
      </w:r>
      <w:r>
        <w:fldChar w:fldCharType="end"/>
      </w:r>
    </w:p>
    <w:p>
      <w:pPr>
        <w:pStyle w:val="TOC8"/>
        <w:rPr>
          <w:rFonts w:asciiTheme="minorHAnsi" w:eastAsiaTheme="minorEastAsia" w:hAnsiTheme="minorHAnsi" w:cstheme="minorBidi"/>
          <w:szCs w:val="22"/>
        </w:rPr>
      </w:pPr>
      <w:r>
        <w:t>104AC</w:t>
      </w:r>
      <w:r>
        <w:rPr>
          <w:snapToGrid w:val="0"/>
        </w:rPr>
        <w:t>.</w:t>
      </w:r>
      <w:r>
        <w:rPr>
          <w:snapToGrid w:val="0"/>
        </w:rPr>
        <w:tab/>
        <w:t>Resolution that section 104AB inapplicable</w:t>
      </w:r>
      <w:r>
        <w:tab/>
      </w:r>
      <w:r>
        <w:fldChar w:fldCharType="begin"/>
      </w:r>
      <w:r>
        <w:instrText xml:space="preserve"> PAGEREF _Toc390078411 \h </w:instrText>
      </w:r>
      <w:r>
        <w:fldChar w:fldCharType="separate"/>
      </w:r>
      <w:r>
        <w:t>156</w:t>
      </w:r>
      <w:r>
        <w:fldChar w:fldCharType="end"/>
      </w:r>
    </w:p>
    <w:p>
      <w:pPr>
        <w:pStyle w:val="TOC8"/>
        <w:rPr>
          <w:rFonts w:asciiTheme="minorHAnsi" w:eastAsiaTheme="minorEastAsia" w:hAnsiTheme="minorHAnsi" w:cstheme="minorBidi"/>
          <w:szCs w:val="22"/>
        </w:rPr>
      </w:pPr>
      <w:r>
        <w:t>104AD</w:t>
      </w:r>
      <w:r>
        <w:rPr>
          <w:snapToGrid w:val="0"/>
        </w:rPr>
        <w:t>.</w:t>
      </w:r>
      <w:r>
        <w:rPr>
          <w:snapToGrid w:val="0"/>
        </w:rPr>
        <w:tab/>
        <w:t>Quorum where section 104AB applies</w:t>
      </w:r>
      <w:r>
        <w:tab/>
      </w:r>
      <w:r>
        <w:fldChar w:fldCharType="begin"/>
      </w:r>
      <w:r>
        <w:instrText xml:space="preserve"> PAGEREF _Toc390078412 \h </w:instrText>
      </w:r>
      <w:r>
        <w:fldChar w:fldCharType="separate"/>
      </w:r>
      <w:r>
        <w:t>156</w:t>
      </w:r>
      <w:r>
        <w:fldChar w:fldCharType="end"/>
      </w:r>
    </w:p>
    <w:p>
      <w:pPr>
        <w:pStyle w:val="TOC8"/>
        <w:rPr>
          <w:rFonts w:asciiTheme="minorHAnsi" w:eastAsiaTheme="minorEastAsia" w:hAnsiTheme="minorHAnsi" w:cstheme="minorBidi"/>
          <w:szCs w:val="22"/>
        </w:rPr>
      </w:pPr>
      <w:r>
        <w:t>104AE</w:t>
      </w:r>
      <w:r>
        <w:rPr>
          <w:snapToGrid w:val="0"/>
        </w:rPr>
        <w:t>.</w:t>
      </w:r>
      <w:r>
        <w:rPr>
          <w:snapToGrid w:val="0"/>
        </w:rPr>
        <w:tab/>
        <w:t>Minister may declare sections 104AB and 104AD inapplicable</w:t>
      </w:r>
      <w:r>
        <w:tab/>
      </w:r>
      <w:r>
        <w:fldChar w:fldCharType="begin"/>
      </w:r>
      <w:r>
        <w:instrText xml:space="preserve"> PAGEREF _Toc390078413 \h </w:instrText>
      </w:r>
      <w:r>
        <w:fldChar w:fldCharType="separate"/>
      </w:r>
      <w:r>
        <w:t>156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Accounts and audit</w:t>
      </w:r>
    </w:p>
    <w:p>
      <w:pPr>
        <w:pStyle w:val="TOC8"/>
        <w:rPr>
          <w:rFonts w:asciiTheme="minorHAnsi" w:eastAsiaTheme="minorEastAsia" w:hAnsiTheme="minorHAnsi" w:cstheme="minorBidi"/>
          <w:szCs w:val="22"/>
        </w:rPr>
      </w:pPr>
      <w:r>
        <w:t>105</w:t>
      </w:r>
      <w:r>
        <w:rPr>
          <w:snapToGrid w:val="0"/>
        </w:rPr>
        <w:t>.</w:t>
      </w:r>
      <w: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r>
        <w:tab/>
      </w:r>
      <w:r>
        <w:fldChar w:fldCharType="begin"/>
      </w:r>
      <w:r>
        <w:instrText xml:space="preserve"> PAGEREF _Toc390078415 \h </w:instrText>
      </w:r>
      <w:r>
        <w:fldChar w:fldCharType="separate"/>
      </w:r>
      <w:r>
        <w:t>157</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Workers’ Compensation and Injury Management General Fund</w:t>
      </w:r>
    </w:p>
    <w:p>
      <w:pPr>
        <w:pStyle w:val="TOC8"/>
        <w:rPr>
          <w:rFonts w:asciiTheme="minorHAnsi" w:eastAsiaTheme="minorEastAsia" w:hAnsiTheme="minorHAnsi" w:cstheme="minorBidi"/>
          <w:szCs w:val="22"/>
        </w:rPr>
      </w:pPr>
      <w:r>
        <w:t>106</w:t>
      </w:r>
      <w:r>
        <w:rPr>
          <w:snapToGrid w:val="0"/>
        </w:rPr>
        <w:t>.</w:t>
      </w:r>
      <w:r>
        <w:rPr>
          <w:snapToGrid w:val="0"/>
        </w:rPr>
        <w:tab/>
        <w:t xml:space="preserve">General </w:t>
      </w:r>
      <w:r>
        <w:t>Account</w:t>
      </w:r>
      <w:r>
        <w:tab/>
      </w:r>
      <w:r>
        <w:fldChar w:fldCharType="begin"/>
      </w:r>
      <w:r>
        <w:instrText xml:space="preserve"> PAGEREF _Toc390078417 \h </w:instrText>
      </w:r>
      <w:r>
        <w:fldChar w:fldCharType="separate"/>
      </w:r>
      <w:r>
        <w:t>157</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Estimates</w:t>
      </w:r>
      <w:r>
        <w:tab/>
      </w:r>
      <w:r>
        <w:fldChar w:fldCharType="begin"/>
      </w:r>
      <w:r>
        <w:instrText xml:space="preserve"> PAGEREF _Toc390078418 \h </w:instrText>
      </w:r>
      <w:r>
        <w:fldChar w:fldCharType="separate"/>
      </w:r>
      <w:r>
        <w:t>158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Total contributions</w:t>
      </w:r>
      <w:r>
        <w:tab/>
      </w:r>
      <w:r>
        <w:fldChar w:fldCharType="begin"/>
      </w:r>
      <w:r>
        <w:instrText xml:space="preserve"> PAGEREF _Toc390078419 \h </w:instrText>
      </w:r>
      <w:r>
        <w:fldChar w:fldCharType="separate"/>
      </w:r>
      <w:r>
        <w:t>159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 xml:space="preserve">Contributions to General </w:t>
      </w:r>
      <w:r>
        <w:t>Account</w:t>
      </w:r>
      <w:r>
        <w:rPr>
          <w:snapToGrid w:val="0"/>
        </w:rPr>
        <w:t xml:space="preserve"> by insurers</w:t>
      </w:r>
      <w:r>
        <w:tab/>
      </w:r>
      <w:r>
        <w:fldChar w:fldCharType="begin"/>
      </w:r>
      <w:r>
        <w:instrText xml:space="preserve"> PAGEREF _Toc390078420 \h </w:instrText>
      </w:r>
      <w:r>
        <w:fldChar w:fldCharType="separate"/>
      </w:r>
      <w:r>
        <w:t>160</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Workers’ Compensation and Injury Management Trust Fund</w:t>
      </w:r>
    </w:p>
    <w:p>
      <w:pPr>
        <w:pStyle w:val="TOC8"/>
        <w:rPr>
          <w:rFonts w:asciiTheme="minorHAnsi" w:eastAsiaTheme="minorEastAsia" w:hAnsiTheme="minorHAnsi" w:cstheme="minorBidi"/>
          <w:szCs w:val="22"/>
        </w:rPr>
      </w:pPr>
      <w:r>
        <w:t>110</w:t>
      </w:r>
      <w:r>
        <w:rPr>
          <w:snapToGrid w:val="0"/>
        </w:rPr>
        <w:t>.</w:t>
      </w:r>
      <w:r>
        <w:rPr>
          <w:snapToGrid w:val="0"/>
        </w:rPr>
        <w:tab/>
        <w:t xml:space="preserve">Trust </w:t>
      </w:r>
      <w:r>
        <w:t>Account</w:t>
      </w:r>
      <w:r>
        <w:tab/>
      </w:r>
      <w:r>
        <w:fldChar w:fldCharType="begin"/>
      </w:r>
      <w:r>
        <w:instrText xml:space="preserve"> PAGEREF _Toc390078422 \h </w:instrText>
      </w:r>
      <w:r>
        <w:fldChar w:fldCharType="separate"/>
      </w:r>
      <w:r>
        <w:t>163</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Ministerial control</w:t>
      </w:r>
    </w:p>
    <w:p>
      <w:pPr>
        <w:pStyle w:val="TOC8"/>
        <w:rPr>
          <w:rFonts w:asciiTheme="minorHAnsi" w:eastAsiaTheme="minorEastAsia" w:hAnsiTheme="minorHAnsi" w:cstheme="minorBidi"/>
          <w:szCs w:val="22"/>
        </w:rPr>
      </w:pPr>
      <w:r>
        <w:t>111</w:t>
      </w:r>
      <w:r>
        <w:rPr>
          <w:snapToGrid w:val="0"/>
        </w:rPr>
        <w:t>.</w:t>
      </w:r>
      <w:r>
        <w:rPr>
          <w:snapToGrid w:val="0"/>
        </w:rPr>
        <w:tab/>
        <w:t>Minister may give directions</w:t>
      </w:r>
      <w:r>
        <w:tab/>
      </w:r>
      <w:r>
        <w:fldChar w:fldCharType="begin"/>
      </w:r>
      <w:r>
        <w:instrText xml:space="preserve"> PAGEREF _Toc390078424 \h </w:instrText>
      </w:r>
      <w:r>
        <w:fldChar w:fldCharType="separate"/>
      </w:r>
      <w:r>
        <w:t>164</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to have access to information</w:t>
      </w:r>
      <w:r>
        <w:tab/>
      </w:r>
      <w:r>
        <w:fldChar w:fldCharType="begin"/>
      </w:r>
      <w:r>
        <w:instrText xml:space="preserve"> PAGEREF _Toc390078425 \h </w:instrText>
      </w:r>
      <w:r>
        <w:fldChar w:fldCharType="separate"/>
      </w:r>
      <w:r>
        <w:t>165</w:t>
      </w:r>
      <w:r>
        <w:fldChar w:fldCharType="end"/>
      </w:r>
    </w:p>
    <w:p>
      <w:pPr>
        <w:pStyle w:val="TOC2"/>
        <w:tabs>
          <w:tab w:val="right" w:leader="dot" w:pos="7086"/>
        </w:tabs>
        <w:rPr>
          <w:rFonts w:asciiTheme="minorHAnsi" w:eastAsiaTheme="minorEastAsia" w:hAnsiTheme="minorHAnsi" w:cstheme="minorBidi"/>
          <w:b w:val="0"/>
          <w:sz w:val="22"/>
          <w:szCs w:val="22"/>
        </w:rPr>
      </w:pPr>
      <w:r>
        <w:t>Part VII</w:t>
      </w:r>
      <w:r>
        <w:rPr>
          <w:b w:val="0"/>
        </w:rPr>
        <w:t> </w:t>
      </w:r>
      <w:r>
        <w:t>—</w:t>
      </w:r>
      <w:r>
        <w:rPr>
          <w:b w:val="0"/>
        </w:rPr>
        <w:t> </w:t>
      </w:r>
      <w:r>
        <w:t>Medical assessment and assessment for specialised retraining programs</w:t>
      </w:r>
    </w:p>
    <w:p>
      <w:pPr>
        <w:pStyle w:val="TOC4"/>
        <w:tabs>
          <w:tab w:val="right" w:leader="dot" w:pos="7086"/>
        </w:tabs>
        <w:rPr>
          <w:rFonts w:asciiTheme="minorHAnsi" w:eastAsiaTheme="minorEastAsia" w:hAnsiTheme="minorHAnsi" w:cstheme="minorBidi"/>
          <w:b w:val="0"/>
          <w:szCs w:val="22"/>
        </w:rPr>
      </w:pPr>
      <w:r>
        <w:t>Division 1 — Medical assessment panels</w:t>
      </w:r>
    </w:p>
    <w:p>
      <w:pPr>
        <w:pStyle w:val="TOC8"/>
        <w:rPr>
          <w:rFonts w:asciiTheme="minorHAnsi" w:eastAsiaTheme="minorEastAsia" w:hAnsiTheme="minorHAnsi" w:cstheme="minorBidi"/>
          <w:szCs w:val="22"/>
        </w:rPr>
      </w:pPr>
      <w:r>
        <w:t>145</w:t>
      </w:r>
      <w:r>
        <w:rPr>
          <w:snapToGrid w:val="0"/>
        </w:rPr>
        <w:t>.</w:t>
      </w:r>
      <w:r>
        <w:rPr>
          <w:snapToGrid w:val="0"/>
        </w:rPr>
        <w:tab/>
        <w:t>Exclusion</w:t>
      </w:r>
      <w:r>
        <w:tab/>
      </w:r>
      <w:r>
        <w:fldChar w:fldCharType="begin"/>
      </w:r>
      <w:r>
        <w:instrText xml:space="preserve"> PAGEREF _Toc390078428 \h </w:instrText>
      </w:r>
      <w:r>
        <w:fldChar w:fldCharType="separate"/>
      </w:r>
      <w:r>
        <w:t>167</w:t>
      </w:r>
      <w:r>
        <w:fldChar w:fldCharType="end"/>
      </w:r>
    </w:p>
    <w:p>
      <w:pPr>
        <w:pStyle w:val="TOC8"/>
        <w:rPr>
          <w:rFonts w:asciiTheme="minorHAnsi" w:eastAsiaTheme="minorEastAsia" w:hAnsiTheme="minorHAnsi" w:cstheme="minorBidi"/>
          <w:szCs w:val="22"/>
        </w:rPr>
      </w:pPr>
      <w:r>
        <w:t>145A.</w:t>
      </w:r>
      <w:r>
        <w:tab/>
        <w:t>Questions that have to be referred</w:t>
      </w:r>
      <w:r>
        <w:tab/>
      </w:r>
      <w:r>
        <w:fldChar w:fldCharType="begin"/>
      </w:r>
      <w:r>
        <w:instrText xml:space="preserve"> PAGEREF _Toc390078429 \h </w:instrText>
      </w:r>
      <w:r>
        <w:fldChar w:fldCharType="separate"/>
      </w:r>
      <w:r>
        <w:t>167</w:t>
      </w:r>
      <w:r>
        <w:fldChar w:fldCharType="end"/>
      </w:r>
    </w:p>
    <w:p>
      <w:pPr>
        <w:pStyle w:val="TOC8"/>
        <w:rPr>
          <w:rFonts w:asciiTheme="minorHAnsi" w:eastAsiaTheme="minorEastAsia" w:hAnsiTheme="minorHAnsi" w:cstheme="minorBidi"/>
          <w:szCs w:val="22"/>
        </w:rPr>
      </w:pPr>
      <w:r>
        <w:t>145B</w:t>
      </w:r>
      <w:r>
        <w:rPr>
          <w:snapToGrid w:val="0"/>
        </w:rPr>
        <w:t>.</w:t>
      </w:r>
      <w:r>
        <w:rPr>
          <w:snapToGrid w:val="0"/>
        </w:rPr>
        <w:tab/>
        <w:t>Register for panel membership</w:t>
      </w:r>
      <w:r>
        <w:tab/>
      </w:r>
      <w:r>
        <w:fldChar w:fldCharType="begin"/>
      </w:r>
      <w:r>
        <w:instrText xml:space="preserve"> PAGEREF _Toc390078430 \h </w:instrText>
      </w:r>
      <w:r>
        <w:fldChar w:fldCharType="separate"/>
      </w:r>
      <w:r>
        <w:t>168</w:t>
      </w:r>
      <w:r>
        <w:fldChar w:fldCharType="end"/>
      </w:r>
    </w:p>
    <w:p>
      <w:pPr>
        <w:pStyle w:val="TOC8"/>
        <w:rPr>
          <w:rFonts w:asciiTheme="minorHAnsi" w:eastAsiaTheme="minorEastAsia" w:hAnsiTheme="minorHAnsi" w:cstheme="minorBidi"/>
          <w:szCs w:val="22"/>
        </w:rPr>
      </w:pPr>
      <w:r>
        <w:t>145C</w:t>
      </w:r>
      <w:r>
        <w:rPr>
          <w:snapToGrid w:val="0"/>
        </w:rPr>
        <w:t>.</w:t>
      </w:r>
      <w:r>
        <w:rPr>
          <w:snapToGrid w:val="0"/>
        </w:rPr>
        <w:tab/>
        <w:t>Panel to be constituted</w:t>
      </w:r>
      <w:r>
        <w:tab/>
      </w:r>
      <w:r>
        <w:fldChar w:fldCharType="begin"/>
      </w:r>
      <w:r>
        <w:instrText xml:space="preserve"> PAGEREF _Toc390078431 \h </w:instrText>
      </w:r>
      <w:r>
        <w:fldChar w:fldCharType="separate"/>
      </w:r>
      <w:r>
        <w:t>168</w:t>
      </w:r>
      <w:r>
        <w:fldChar w:fldCharType="end"/>
      </w:r>
    </w:p>
    <w:p>
      <w:pPr>
        <w:pStyle w:val="TOC8"/>
        <w:rPr>
          <w:rFonts w:asciiTheme="minorHAnsi" w:eastAsiaTheme="minorEastAsia" w:hAnsiTheme="minorHAnsi" w:cstheme="minorBidi"/>
          <w:szCs w:val="22"/>
        </w:rPr>
      </w:pPr>
      <w:r>
        <w:t>145D</w:t>
      </w:r>
      <w:r>
        <w:rPr>
          <w:snapToGrid w:val="0"/>
        </w:rPr>
        <w:t>.</w:t>
      </w:r>
      <w:r>
        <w:rPr>
          <w:snapToGrid w:val="0"/>
        </w:rPr>
        <w:tab/>
        <w:t>Procedures</w:t>
      </w:r>
      <w:r>
        <w:tab/>
      </w:r>
      <w:r>
        <w:fldChar w:fldCharType="begin"/>
      </w:r>
      <w:r>
        <w:instrText xml:space="preserve"> PAGEREF _Toc390078432 \h </w:instrText>
      </w:r>
      <w:r>
        <w:fldChar w:fldCharType="separate"/>
      </w:r>
      <w:r>
        <w:t>169</w:t>
      </w:r>
      <w:r>
        <w:fldChar w:fldCharType="end"/>
      </w:r>
    </w:p>
    <w:p>
      <w:pPr>
        <w:pStyle w:val="TOC8"/>
        <w:rPr>
          <w:rFonts w:asciiTheme="minorHAnsi" w:eastAsiaTheme="minorEastAsia" w:hAnsiTheme="minorHAnsi" w:cstheme="minorBidi"/>
          <w:szCs w:val="22"/>
        </w:rPr>
      </w:pPr>
      <w:r>
        <w:t>145E</w:t>
      </w:r>
      <w:r>
        <w:rPr>
          <w:snapToGrid w:val="0"/>
        </w:rPr>
        <w:t>.</w:t>
      </w:r>
      <w:r>
        <w:rPr>
          <w:snapToGrid w:val="0"/>
        </w:rPr>
        <w:tab/>
        <w:t>Determinations</w:t>
      </w:r>
      <w:r>
        <w:tab/>
      </w:r>
      <w:r>
        <w:fldChar w:fldCharType="begin"/>
      </w:r>
      <w:r>
        <w:instrText xml:space="preserve"> PAGEREF _Toc390078433 \h </w:instrText>
      </w:r>
      <w:r>
        <w:fldChar w:fldCharType="separate"/>
      </w:r>
      <w:r>
        <w:t>170</w:t>
      </w:r>
      <w:r>
        <w:fldChar w:fldCharType="end"/>
      </w:r>
    </w:p>
    <w:p>
      <w:pPr>
        <w:pStyle w:val="TOC8"/>
        <w:rPr>
          <w:rFonts w:asciiTheme="minorHAnsi" w:eastAsiaTheme="minorEastAsia" w:hAnsiTheme="minorHAnsi" w:cstheme="minorBidi"/>
          <w:szCs w:val="22"/>
        </w:rPr>
      </w:pPr>
      <w:r>
        <w:t>145F</w:t>
      </w:r>
      <w:r>
        <w:rPr>
          <w:snapToGrid w:val="0"/>
        </w:rPr>
        <w:t>.</w:t>
      </w:r>
      <w:r>
        <w:rPr>
          <w:snapToGrid w:val="0"/>
        </w:rPr>
        <w:tab/>
        <w:t>Review</w:t>
      </w:r>
      <w:r>
        <w:tab/>
      </w:r>
      <w:r>
        <w:fldChar w:fldCharType="begin"/>
      </w:r>
      <w:r>
        <w:instrText xml:space="preserve"> PAGEREF _Toc390078434 \h </w:instrText>
      </w:r>
      <w:r>
        <w:fldChar w:fldCharType="separate"/>
      </w:r>
      <w:r>
        <w:t>171</w:t>
      </w:r>
      <w:r>
        <w:fldChar w:fldCharType="end"/>
      </w:r>
    </w:p>
    <w:p>
      <w:pPr>
        <w:pStyle w:val="TOC8"/>
        <w:rPr>
          <w:rFonts w:asciiTheme="minorHAnsi" w:eastAsiaTheme="minorEastAsia" w:hAnsiTheme="minorHAnsi" w:cstheme="minorBidi"/>
          <w:szCs w:val="22"/>
        </w:rPr>
      </w:pPr>
      <w:r>
        <w:t>145G</w:t>
      </w:r>
      <w:r>
        <w:rPr>
          <w:snapToGrid w:val="0"/>
        </w:rPr>
        <w:t>.</w:t>
      </w:r>
      <w:r>
        <w:rPr>
          <w:snapToGrid w:val="0"/>
        </w:rPr>
        <w:tab/>
        <w:t>Remuneration</w:t>
      </w:r>
      <w:r>
        <w:tab/>
      </w:r>
      <w:r>
        <w:fldChar w:fldCharType="begin"/>
      </w:r>
      <w:r>
        <w:instrText xml:space="preserve"> PAGEREF _Toc390078435 \h </w:instrText>
      </w:r>
      <w:r>
        <w:fldChar w:fldCharType="separate"/>
      </w:r>
      <w:r>
        <w:t>172</w:t>
      </w:r>
      <w:r>
        <w:fldChar w:fldCharType="end"/>
      </w:r>
    </w:p>
    <w:p>
      <w:pPr>
        <w:pStyle w:val="TOC4"/>
        <w:tabs>
          <w:tab w:val="right" w:leader="dot" w:pos="7086"/>
        </w:tabs>
        <w:rPr>
          <w:rFonts w:asciiTheme="minorHAnsi" w:eastAsiaTheme="minorEastAsia" w:hAnsiTheme="minorHAnsi" w:cstheme="minorBidi"/>
          <w:b w:val="0"/>
          <w:szCs w:val="22"/>
        </w:rPr>
      </w:pPr>
      <w:r>
        <w:t>Division 2 — Assessing degree of impairment</w:t>
      </w:r>
    </w:p>
    <w:p>
      <w:pPr>
        <w:pStyle w:val="TOC8"/>
        <w:rPr>
          <w:rFonts w:asciiTheme="minorHAnsi" w:eastAsiaTheme="minorEastAsia" w:hAnsiTheme="minorHAnsi" w:cstheme="minorBidi"/>
          <w:szCs w:val="22"/>
        </w:rPr>
      </w:pPr>
      <w:r>
        <w:t>146.</w:t>
      </w:r>
      <w:r>
        <w:tab/>
        <w:t>Degree of impairment</w:t>
      </w:r>
      <w:r>
        <w:tab/>
      </w:r>
      <w:r>
        <w:fldChar w:fldCharType="begin"/>
      </w:r>
      <w:r>
        <w:instrText xml:space="preserve"> PAGEREF _Toc390078437 \h </w:instrText>
      </w:r>
      <w:r>
        <w:fldChar w:fldCharType="separate"/>
      </w:r>
      <w:r>
        <w:t>172</w:t>
      </w:r>
      <w:r>
        <w:fldChar w:fldCharType="end"/>
      </w:r>
    </w:p>
    <w:p>
      <w:pPr>
        <w:pStyle w:val="TOC8"/>
        <w:rPr>
          <w:rFonts w:asciiTheme="minorHAnsi" w:eastAsiaTheme="minorEastAsia" w:hAnsiTheme="minorHAnsi" w:cstheme="minorBidi"/>
          <w:szCs w:val="22"/>
        </w:rPr>
      </w:pPr>
      <w:r>
        <w:t>146A.</w:t>
      </w:r>
      <w:r>
        <w:tab/>
        <w:t>Evaluation of impairment generally</w:t>
      </w:r>
      <w:r>
        <w:tab/>
      </w:r>
      <w:r>
        <w:fldChar w:fldCharType="begin"/>
      </w:r>
      <w:r>
        <w:instrText xml:space="preserve"> PAGEREF _Toc390078438 \h </w:instrText>
      </w:r>
      <w:r>
        <w:fldChar w:fldCharType="separate"/>
      </w:r>
      <w:r>
        <w:t>173</w:t>
      </w:r>
      <w:r>
        <w:fldChar w:fldCharType="end"/>
      </w:r>
    </w:p>
    <w:p>
      <w:pPr>
        <w:pStyle w:val="TOC8"/>
        <w:rPr>
          <w:rFonts w:asciiTheme="minorHAnsi" w:eastAsiaTheme="minorEastAsia" w:hAnsiTheme="minorHAnsi" w:cstheme="minorBidi"/>
          <w:szCs w:val="22"/>
        </w:rPr>
      </w:pPr>
      <w:r>
        <w:t>146B.</w:t>
      </w:r>
      <w:r>
        <w:tab/>
        <w:t>Evaluation for the purposes of Part III Division 2A</w:t>
      </w:r>
      <w:r>
        <w:tab/>
      </w:r>
      <w:r>
        <w:fldChar w:fldCharType="begin"/>
      </w:r>
      <w:r>
        <w:instrText xml:space="preserve"> PAGEREF _Toc390078439 \h </w:instrText>
      </w:r>
      <w:r>
        <w:fldChar w:fldCharType="separate"/>
      </w:r>
      <w:r>
        <w:t>174</w:t>
      </w:r>
      <w:r>
        <w:fldChar w:fldCharType="end"/>
      </w:r>
    </w:p>
    <w:p>
      <w:pPr>
        <w:pStyle w:val="TOC8"/>
        <w:rPr>
          <w:rFonts w:asciiTheme="minorHAnsi" w:eastAsiaTheme="minorEastAsia" w:hAnsiTheme="minorHAnsi" w:cstheme="minorBidi"/>
          <w:szCs w:val="22"/>
        </w:rPr>
      </w:pPr>
      <w:r>
        <w:t>146C.</w:t>
      </w:r>
      <w:r>
        <w:tab/>
        <w:t>Evaluation for purposes of Part IV Division 2 Subdivision 3</w:t>
      </w:r>
      <w:r>
        <w:tab/>
      </w:r>
      <w:r>
        <w:fldChar w:fldCharType="begin"/>
      </w:r>
      <w:r>
        <w:instrText xml:space="preserve"> PAGEREF _Toc390078440 \h </w:instrText>
      </w:r>
      <w:r>
        <w:fldChar w:fldCharType="separate"/>
      </w:r>
      <w:r>
        <w:t>174</w:t>
      </w:r>
      <w:r>
        <w:fldChar w:fldCharType="end"/>
      </w:r>
    </w:p>
    <w:p>
      <w:pPr>
        <w:pStyle w:val="TOC8"/>
        <w:rPr>
          <w:rFonts w:asciiTheme="minorHAnsi" w:eastAsiaTheme="minorEastAsia" w:hAnsiTheme="minorHAnsi" w:cstheme="minorBidi"/>
          <w:szCs w:val="22"/>
        </w:rPr>
      </w:pPr>
      <w:r>
        <w:t>146D.</w:t>
      </w:r>
      <w:r>
        <w:tab/>
        <w:t>Evaluation for the purposes of Part IXA</w:t>
      </w:r>
      <w:r>
        <w:tab/>
      </w:r>
      <w:r>
        <w:fldChar w:fldCharType="begin"/>
      </w:r>
      <w:r>
        <w:instrText xml:space="preserve"> PAGEREF _Toc390078441 \h </w:instrText>
      </w:r>
      <w:r>
        <w:fldChar w:fldCharType="separate"/>
      </w:r>
      <w:r>
        <w:t>175</w:t>
      </w:r>
      <w:r>
        <w:fldChar w:fldCharType="end"/>
      </w:r>
    </w:p>
    <w:p>
      <w:pPr>
        <w:pStyle w:val="TOC8"/>
        <w:rPr>
          <w:rFonts w:asciiTheme="minorHAnsi" w:eastAsiaTheme="minorEastAsia" w:hAnsiTheme="minorHAnsi" w:cstheme="minorBidi"/>
          <w:szCs w:val="22"/>
        </w:rPr>
      </w:pPr>
      <w:r>
        <w:t>146E.</w:t>
      </w:r>
      <w:r>
        <w:tab/>
        <w:t>Evaluation for the purposes of clause 18A</w:t>
      </w:r>
      <w:r>
        <w:tab/>
      </w:r>
      <w:r>
        <w:fldChar w:fldCharType="begin"/>
      </w:r>
      <w:r>
        <w:instrText xml:space="preserve"> PAGEREF _Toc390078442 \h </w:instrText>
      </w:r>
      <w:r>
        <w:fldChar w:fldCharType="separate"/>
      </w:r>
      <w:r>
        <w:t>175</w:t>
      </w:r>
      <w:r>
        <w:fldChar w:fldCharType="end"/>
      </w:r>
    </w:p>
    <w:p>
      <w:pPr>
        <w:pStyle w:val="TOC8"/>
        <w:rPr>
          <w:rFonts w:asciiTheme="minorHAnsi" w:eastAsiaTheme="minorEastAsia" w:hAnsiTheme="minorHAnsi" w:cstheme="minorBidi"/>
          <w:szCs w:val="22"/>
        </w:rPr>
      </w:pPr>
      <w:r>
        <w:t>146F.</w:t>
      </w:r>
      <w:r>
        <w:tab/>
        <w:t>Approved medical specialist</w:t>
      </w:r>
      <w:r>
        <w:tab/>
      </w:r>
      <w:r>
        <w:fldChar w:fldCharType="begin"/>
      </w:r>
      <w:r>
        <w:instrText xml:space="preserve"> PAGEREF _Toc390078443 \h </w:instrText>
      </w:r>
      <w:r>
        <w:fldChar w:fldCharType="separate"/>
      </w:r>
      <w:r>
        <w:t>176</w:t>
      </w:r>
      <w:r>
        <w:fldChar w:fldCharType="end"/>
      </w:r>
    </w:p>
    <w:p>
      <w:pPr>
        <w:pStyle w:val="TOC8"/>
        <w:rPr>
          <w:rFonts w:asciiTheme="minorHAnsi" w:eastAsiaTheme="minorEastAsia" w:hAnsiTheme="minorHAnsi" w:cstheme="minorBidi"/>
          <w:szCs w:val="22"/>
        </w:rPr>
      </w:pPr>
      <w:r>
        <w:t>146G.</w:t>
      </w:r>
      <w:r>
        <w:tab/>
        <w:t>Powers of approved medical specialist</w:t>
      </w:r>
      <w:r>
        <w:tab/>
      </w:r>
      <w:r>
        <w:fldChar w:fldCharType="begin"/>
      </w:r>
      <w:r>
        <w:instrText xml:space="preserve"> PAGEREF _Toc390078444 \h </w:instrText>
      </w:r>
      <w:r>
        <w:fldChar w:fldCharType="separate"/>
      </w:r>
      <w:r>
        <w:t>177</w:t>
      </w:r>
      <w:r>
        <w:fldChar w:fldCharType="end"/>
      </w:r>
    </w:p>
    <w:p>
      <w:pPr>
        <w:pStyle w:val="TOC8"/>
        <w:rPr>
          <w:rFonts w:asciiTheme="minorHAnsi" w:eastAsiaTheme="minorEastAsia" w:hAnsiTheme="minorHAnsi" w:cstheme="minorBidi"/>
          <w:szCs w:val="22"/>
        </w:rPr>
      </w:pPr>
      <w:r>
        <w:t>146H.</w:t>
      </w:r>
      <w:r>
        <w:tab/>
        <w:t>Outcome of assessment</w:t>
      </w:r>
      <w:r>
        <w:tab/>
      </w:r>
      <w:r>
        <w:fldChar w:fldCharType="begin"/>
      </w:r>
      <w:r>
        <w:instrText xml:space="preserve"> PAGEREF _Toc390078445 \h </w:instrText>
      </w:r>
      <w:r>
        <w:fldChar w:fldCharType="separate"/>
      </w:r>
      <w:r>
        <w:t>178</w:t>
      </w:r>
      <w:r>
        <w:fldChar w:fldCharType="end"/>
      </w:r>
    </w:p>
    <w:p>
      <w:pPr>
        <w:pStyle w:val="TOC8"/>
        <w:rPr>
          <w:rFonts w:asciiTheme="minorHAnsi" w:eastAsiaTheme="minorEastAsia" w:hAnsiTheme="minorHAnsi" w:cstheme="minorBidi"/>
          <w:szCs w:val="22"/>
        </w:rPr>
      </w:pPr>
      <w:r>
        <w:t>146I.</w:t>
      </w:r>
      <w:r>
        <w:tab/>
        <w:t>Release of information relevant to assessment</w:t>
      </w:r>
      <w:r>
        <w:tab/>
      </w:r>
      <w:r>
        <w:fldChar w:fldCharType="begin"/>
      </w:r>
      <w:r>
        <w:instrText xml:space="preserve"> PAGEREF _Toc390078446 \h </w:instrText>
      </w:r>
      <w:r>
        <w:fldChar w:fldCharType="separate"/>
      </w:r>
      <w:r>
        <w:t>180</w:t>
      </w:r>
      <w:r>
        <w:fldChar w:fldCharType="end"/>
      </w:r>
    </w:p>
    <w:p>
      <w:pPr>
        <w:pStyle w:val="TOC8"/>
        <w:rPr>
          <w:rFonts w:asciiTheme="minorHAnsi" w:eastAsiaTheme="minorEastAsia" w:hAnsiTheme="minorHAnsi" w:cstheme="minorBidi"/>
          <w:szCs w:val="22"/>
        </w:rPr>
      </w:pPr>
      <w:r>
        <w:t>146J.</w:t>
      </w:r>
      <w:r>
        <w:tab/>
        <w:t>Decisions of approved medical specialist</w:t>
      </w:r>
      <w:r>
        <w:tab/>
      </w:r>
      <w:r>
        <w:fldChar w:fldCharType="begin"/>
      </w:r>
      <w:r>
        <w:instrText xml:space="preserve"> PAGEREF _Toc390078447 \h </w:instrText>
      </w:r>
      <w:r>
        <w:fldChar w:fldCharType="separate"/>
      </w:r>
      <w:r>
        <w:t>180</w:t>
      </w:r>
      <w:r>
        <w:fldChar w:fldCharType="end"/>
      </w:r>
    </w:p>
    <w:p>
      <w:pPr>
        <w:pStyle w:val="TOC4"/>
        <w:tabs>
          <w:tab w:val="right" w:leader="dot" w:pos="7086"/>
        </w:tabs>
        <w:rPr>
          <w:rFonts w:asciiTheme="minorHAnsi" w:eastAsiaTheme="minorEastAsia" w:hAnsiTheme="minorHAnsi" w:cstheme="minorBidi"/>
          <w:b w:val="0"/>
          <w:szCs w:val="22"/>
        </w:rPr>
      </w:pPr>
      <w:r>
        <w:t>Division 3 — Approved medical specialist panels</w:t>
      </w:r>
    </w:p>
    <w:p>
      <w:pPr>
        <w:pStyle w:val="TOC8"/>
        <w:rPr>
          <w:rFonts w:asciiTheme="minorHAnsi" w:eastAsiaTheme="minorEastAsia" w:hAnsiTheme="minorHAnsi" w:cstheme="minorBidi"/>
          <w:szCs w:val="22"/>
        </w:rPr>
      </w:pPr>
      <w:r>
        <w:t>146K.</w:t>
      </w:r>
      <w:r>
        <w:tab/>
        <w:t>Panel to be constituted</w:t>
      </w:r>
      <w:r>
        <w:tab/>
      </w:r>
      <w:r>
        <w:fldChar w:fldCharType="begin"/>
      </w:r>
      <w:r>
        <w:instrText xml:space="preserve"> PAGEREF _Toc390078449 \h </w:instrText>
      </w:r>
      <w:r>
        <w:fldChar w:fldCharType="separate"/>
      </w:r>
      <w:r>
        <w:t>180</w:t>
      </w:r>
      <w:r>
        <w:fldChar w:fldCharType="end"/>
      </w:r>
    </w:p>
    <w:p>
      <w:pPr>
        <w:pStyle w:val="TOC8"/>
        <w:rPr>
          <w:rFonts w:asciiTheme="minorHAnsi" w:eastAsiaTheme="minorEastAsia" w:hAnsiTheme="minorHAnsi" w:cstheme="minorBidi"/>
          <w:szCs w:val="22"/>
        </w:rPr>
      </w:pPr>
      <w:r>
        <w:t>146L.</w:t>
      </w:r>
      <w:r>
        <w:tab/>
        <w:t>Procedures</w:t>
      </w:r>
      <w:r>
        <w:tab/>
      </w:r>
      <w:r>
        <w:fldChar w:fldCharType="begin"/>
      </w:r>
      <w:r>
        <w:instrText xml:space="preserve"> PAGEREF _Toc390078450 \h </w:instrText>
      </w:r>
      <w:r>
        <w:fldChar w:fldCharType="separate"/>
      </w:r>
      <w:r>
        <w:t>181</w:t>
      </w:r>
      <w:r>
        <w:fldChar w:fldCharType="end"/>
      </w:r>
    </w:p>
    <w:p>
      <w:pPr>
        <w:pStyle w:val="TOC8"/>
        <w:rPr>
          <w:rFonts w:asciiTheme="minorHAnsi" w:eastAsiaTheme="minorEastAsia" w:hAnsiTheme="minorHAnsi" w:cstheme="minorBidi"/>
          <w:szCs w:val="22"/>
        </w:rPr>
      </w:pPr>
      <w:r>
        <w:t>146M.</w:t>
      </w:r>
      <w:r>
        <w:tab/>
        <w:t>Failure to comply with requirement of approved medical specialist panel</w:t>
      </w:r>
      <w:r>
        <w:tab/>
      </w:r>
      <w:r>
        <w:fldChar w:fldCharType="begin"/>
      </w:r>
      <w:r>
        <w:instrText xml:space="preserve"> PAGEREF _Toc390078451 \h </w:instrText>
      </w:r>
      <w:r>
        <w:fldChar w:fldCharType="separate"/>
      </w:r>
      <w:r>
        <w:t>182</w:t>
      </w:r>
      <w:r>
        <w:fldChar w:fldCharType="end"/>
      </w:r>
    </w:p>
    <w:p>
      <w:pPr>
        <w:pStyle w:val="TOC8"/>
        <w:rPr>
          <w:rFonts w:asciiTheme="minorHAnsi" w:eastAsiaTheme="minorEastAsia" w:hAnsiTheme="minorHAnsi" w:cstheme="minorBidi"/>
          <w:szCs w:val="22"/>
        </w:rPr>
      </w:pPr>
      <w:r>
        <w:t>146N.</w:t>
      </w:r>
      <w:r>
        <w:tab/>
        <w:t>Assessment of impairment by approved medical specialist panel</w:t>
      </w:r>
      <w:r>
        <w:tab/>
      </w:r>
      <w:r>
        <w:fldChar w:fldCharType="begin"/>
      </w:r>
      <w:r>
        <w:instrText xml:space="preserve"> PAGEREF _Toc390078452 \h </w:instrText>
      </w:r>
      <w:r>
        <w:fldChar w:fldCharType="separate"/>
      </w:r>
      <w:r>
        <w:t>183</w:t>
      </w:r>
      <w:r>
        <w:fldChar w:fldCharType="end"/>
      </w:r>
    </w:p>
    <w:p>
      <w:pPr>
        <w:pStyle w:val="TOC8"/>
        <w:rPr>
          <w:rFonts w:asciiTheme="minorHAnsi" w:eastAsiaTheme="minorEastAsia" w:hAnsiTheme="minorHAnsi" w:cstheme="minorBidi"/>
          <w:szCs w:val="22"/>
        </w:rPr>
      </w:pPr>
      <w:r>
        <w:t>146O.</w:t>
      </w:r>
      <w:r>
        <w:tab/>
        <w:t>Outcome of assessment by approved medical specialist panel</w:t>
      </w:r>
      <w:r>
        <w:tab/>
      </w:r>
      <w:r>
        <w:fldChar w:fldCharType="begin"/>
      </w:r>
      <w:r>
        <w:instrText xml:space="preserve"> PAGEREF _Toc390078453 \h </w:instrText>
      </w:r>
      <w:r>
        <w:fldChar w:fldCharType="separate"/>
      </w:r>
      <w:r>
        <w:t>183</w:t>
      </w:r>
      <w:r>
        <w:fldChar w:fldCharType="end"/>
      </w:r>
    </w:p>
    <w:p>
      <w:pPr>
        <w:pStyle w:val="TOC8"/>
        <w:rPr>
          <w:rFonts w:asciiTheme="minorHAnsi" w:eastAsiaTheme="minorEastAsia" w:hAnsiTheme="minorHAnsi" w:cstheme="minorBidi"/>
          <w:szCs w:val="22"/>
        </w:rPr>
      </w:pPr>
      <w:r>
        <w:t>146P.</w:t>
      </w:r>
      <w:r>
        <w:tab/>
        <w:t>No assessment without unanimous agreement</w:t>
      </w:r>
      <w:r>
        <w:tab/>
      </w:r>
      <w:r>
        <w:fldChar w:fldCharType="begin"/>
      </w:r>
      <w:r>
        <w:instrText xml:space="preserve"> PAGEREF _Toc390078454 \h </w:instrText>
      </w:r>
      <w:r>
        <w:fldChar w:fldCharType="separate"/>
      </w:r>
      <w:r>
        <w:t>185</w:t>
      </w:r>
      <w:r>
        <w:fldChar w:fldCharType="end"/>
      </w:r>
    </w:p>
    <w:p>
      <w:pPr>
        <w:pStyle w:val="TOC8"/>
        <w:rPr>
          <w:rFonts w:asciiTheme="minorHAnsi" w:eastAsiaTheme="minorEastAsia" w:hAnsiTheme="minorHAnsi" w:cstheme="minorBidi"/>
          <w:szCs w:val="22"/>
        </w:rPr>
      </w:pPr>
      <w:r>
        <w:t>146Q.</w:t>
      </w:r>
      <w:r>
        <w:tab/>
        <w:t>Remuneration</w:t>
      </w:r>
      <w:r>
        <w:tab/>
      </w:r>
      <w:r>
        <w:fldChar w:fldCharType="begin"/>
      </w:r>
      <w:r>
        <w:instrText xml:space="preserve"> PAGEREF _Toc390078455 \h </w:instrText>
      </w:r>
      <w:r>
        <w:fldChar w:fldCharType="separate"/>
      </w:r>
      <w:r>
        <w:t>185</w:t>
      </w:r>
      <w:r>
        <w:fldChar w:fldCharType="end"/>
      </w:r>
    </w:p>
    <w:p>
      <w:pPr>
        <w:pStyle w:val="TOC4"/>
        <w:tabs>
          <w:tab w:val="right" w:leader="dot" w:pos="7086"/>
        </w:tabs>
        <w:rPr>
          <w:rFonts w:asciiTheme="minorHAnsi" w:eastAsiaTheme="minorEastAsia" w:hAnsiTheme="minorHAnsi" w:cstheme="minorBidi"/>
          <w:b w:val="0"/>
          <w:szCs w:val="22"/>
        </w:rPr>
      </w:pPr>
      <w:r>
        <w:t>Division 4 — WorkCover Guides</w:t>
      </w:r>
    </w:p>
    <w:p>
      <w:pPr>
        <w:pStyle w:val="TOC8"/>
        <w:rPr>
          <w:rFonts w:asciiTheme="minorHAnsi" w:eastAsiaTheme="minorEastAsia" w:hAnsiTheme="minorHAnsi" w:cstheme="minorBidi"/>
          <w:szCs w:val="22"/>
        </w:rPr>
      </w:pPr>
      <w:r>
        <w:t>146R.</w:t>
      </w:r>
      <w:r>
        <w:tab/>
        <w:t>WorkCover Guides</w:t>
      </w:r>
      <w:r>
        <w:tab/>
      </w:r>
      <w:r>
        <w:fldChar w:fldCharType="begin"/>
      </w:r>
      <w:r>
        <w:instrText xml:space="preserve"> PAGEREF _Toc390078457 \h </w:instrText>
      </w:r>
      <w:r>
        <w:fldChar w:fldCharType="separate"/>
      </w:r>
      <w:r>
        <w:t>185</w:t>
      </w:r>
      <w:r>
        <w:fldChar w:fldCharType="end"/>
      </w:r>
    </w:p>
    <w:p>
      <w:pPr>
        <w:pStyle w:val="TOC4"/>
        <w:tabs>
          <w:tab w:val="right" w:leader="dot" w:pos="7086"/>
        </w:tabs>
        <w:rPr>
          <w:rFonts w:asciiTheme="minorHAnsi" w:eastAsiaTheme="minorEastAsia" w:hAnsiTheme="minorHAnsi" w:cstheme="minorBidi"/>
          <w:b w:val="0"/>
          <w:szCs w:val="22"/>
        </w:rPr>
      </w:pPr>
      <w:r>
        <w:t>Division 5 — Assessment for specialised retraining programs</w:t>
      </w:r>
    </w:p>
    <w:p>
      <w:pPr>
        <w:pStyle w:val="TOC8"/>
        <w:rPr>
          <w:rFonts w:asciiTheme="minorHAnsi" w:eastAsiaTheme="minorEastAsia" w:hAnsiTheme="minorHAnsi" w:cstheme="minorBidi"/>
          <w:szCs w:val="22"/>
        </w:rPr>
      </w:pPr>
      <w:r>
        <w:t>146S.</w:t>
      </w:r>
      <w:r>
        <w:tab/>
        <w:t>Register for panel membership</w:t>
      </w:r>
      <w:r>
        <w:tab/>
      </w:r>
      <w:r>
        <w:fldChar w:fldCharType="begin"/>
      </w:r>
      <w:r>
        <w:instrText xml:space="preserve"> PAGEREF _Toc390078459 \h </w:instrText>
      </w:r>
      <w:r>
        <w:fldChar w:fldCharType="separate"/>
      </w:r>
      <w:r>
        <w:t>186</w:t>
      </w:r>
      <w:r>
        <w:fldChar w:fldCharType="end"/>
      </w:r>
    </w:p>
    <w:p>
      <w:pPr>
        <w:pStyle w:val="TOC8"/>
        <w:rPr>
          <w:rFonts w:asciiTheme="minorHAnsi" w:eastAsiaTheme="minorEastAsia" w:hAnsiTheme="minorHAnsi" w:cstheme="minorBidi"/>
          <w:szCs w:val="22"/>
        </w:rPr>
      </w:pPr>
      <w:r>
        <w:t>146T.</w:t>
      </w:r>
      <w:r>
        <w:tab/>
        <w:t>Panel to be constituted</w:t>
      </w:r>
      <w:r>
        <w:tab/>
      </w:r>
      <w:r>
        <w:fldChar w:fldCharType="begin"/>
      </w:r>
      <w:r>
        <w:instrText xml:space="preserve"> PAGEREF _Toc390078460 \h </w:instrText>
      </w:r>
      <w:r>
        <w:fldChar w:fldCharType="separate"/>
      </w:r>
      <w:r>
        <w:t>186</w:t>
      </w:r>
      <w:r>
        <w:fldChar w:fldCharType="end"/>
      </w:r>
    </w:p>
    <w:p>
      <w:pPr>
        <w:pStyle w:val="TOC8"/>
        <w:rPr>
          <w:rFonts w:asciiTheme="minorHAnsi" w:eastAsiaTheme="minorEastAsia" w:hAnsiTheme="minorHAnsi" w:cstheme="minorBidi"/>
          <w:szCs w:val="22"/>
        </w:rPr>
      </w:pPr>
      <w:r>
        <w:t>146U.</w:t>
      </w:r>
      <w:r>
        <w:tab/>
        <w:t>Procedures</w:t>
      </w:r>
      <w:r>
        <w:tab/>
      </w:r>
      <w:r>
        <w:fldChar w:fldCharType="begin"/>
      </w:r>
      <w:r>
        <w:instrText xml:space="preserve"> PAGEREF _Toc390078461 \h </w:instrText>
      </w:r>
      <w:r>
        <w:fldChar w:fldCharType="separate"/>
      </w:r>
      <w:r>
        <w:t>187</w:t>
      </w:r>
      <w:r>
        <w:fldChar w:fldCharType="end"/>
      </w:r>
    </w:p>
    <w:p>
      <w:pPr>
        <w:pStyle w:val="TOC8"/>
        <w:rPr>
          <w:rFonts w:asciiTheme="minorHAnsi" w:eastAsiaTheme="minorEastAsia" w:hAnsiTheme="minorHAnsi" w:cstheme="minorBidi"/>
          <w:szCs w:val="22"/>
        </w:rPr>
      </w:pPr>
      <w:r>
        <w:t>146V.</w:t>
      </w:r>
      <w:r>
        <w:tab/>
        <w:t>Assessments</w:t>
      </w:r>
      <w:r>
        <w:tab/>
      </w:r>
      <w:r>
        <w:fldChar w:fldCharType="begin"/>
      </w:r>
      <w:r>
        <w:instrText xml:space="preserve"> PAGEREF _Toc390078462 \h </w:instrText>
      </w:r>
      <w:r>
        <w:fldChar w:fldCharType="separate"/>
      </w:r>
      <w:r>
        <w:t>188</w:t>
      </w:r>
      <w:r>
        <w:fldChar w:fldCharType="end"/>
      </w:r>
    </w:p>
    <w:p>
      <w:pPr>
        <w:pStyle w:val="TOC8"/>
        <w:rPr>
          <w:rFonts w:asciiTheme="minorHAnsi" w:eastAsiaTheme="minorEastAsia" w:hAnsiTheme="minorHAnsi" w:cstheme="minorBidi"/>
          <w:szCs w:val="22"/>
        </w:rPr>
      </w:pPr>
      <w:r>
        <w:t>146W.</w:t>
      </w:r>
      <w:r>
        <w:tab/>
        <w:t>Remuneration</w:t>
      </w:r>
      <w:r>
        <w:tab/>
      </w:r>
      <w:r>
        <w:fldChar w:fldCharType="begin"/>
      </w:r>
      <w:r>
        <w:instrText xml:space="preserve"> PAGEREF _Toc390078463 \h </w:instrText>
      </w:r>
      <w:r>
        <w:fldChar w:fldCharType="separate"/>
      </w:r>
      <w:r>
        <w:t>189</w:t>
      </w:r>
      <w:r>
        <w:fldChar w:fldCharType="end"/>
      </w:r>
    </w:p>
    <w:p>
      <w:pPr>
        <w:pStyle w:val="TOC2"/>
        <w:tabs>
          <w:tab w:val="right" w:leader="dot" w:pos="7086"/>
        </w:tabs>
        <w:rPr>
          <w:rFonts w:asciiTheme="minorHAnsi" w:eastAsiaTheme="minorEastAsia" w:hAnsiTheme="minorHAnsi" w:cstheme="minorBidi"/>
          <w:b w:val="0"/>
          <w:sz w:val="22"/>
          <w:szCs w:val="22"/>
        </w:rPr>
      </w:pPr>
      <w:r>
        <w:t>Part VIII — Premium rates</w:t>
      </w:r>
    </w:p>
    <w:p>
      <w:pPr>
        <w:pStyle w:val="TOC8"/>
        <w:rPr>
          <w:rFonts w:asciiTheme="minorHAnsi" w:eastAsiaTheme="minorEastAsia" w:hAnsiTheme="minorHAnsi" w:cstheme="minorBidi"/>
          <w:szCs w:val="22"/>
        </w:rPr>
      </w:pPr>
      <w:r>
        <w:t>151</w:t>
      </w:r>
      <w:r>
        <w:rPr>
          <w:snapToGrid w:val="0"/>
        </w:rPr>
        <w:t>.</w:t>
      </w:r>
      <w:r>
        <w:rPr>
          <w:snapToGrid w:val="0"/>
        </w:rPr>
        <w:tab/>
        <w:t>Fixing premiums</w:t>
      </w:r>
      <w:r>
        <w:tab/>
      </w:r>
      <w:r>
        <w:fldChar w:fldCharType="begin"/>
      </w:r>
      <w:r>
        <w:instrText xml:space="preserve"> PAGEREF _Toc390078465 \h </w:instrText>
      </w:r>
      <w:r>
        <w:fldChar w:fldCharType="separate"/>
      </w:r>
      <w:r>
        <w:t>191</w:t>
      </w:r>
      <w:r>
        <w:fldChar w:fldCharType="end"/>
      </w:r>
    </w:p>
    <w:p>
      <w:pPr>
        <w:pStyle w:val="TOC8"/>
        <w:rPr>
          <w:rFonts w:asciiTheme="minorHAnsi" w:eastAsiaTheme="minorEastAsia" w:hAnsiTheme="minorHAnsi" w:cstheme="minorBidi"/>
          <w:szCs w:val="22"/>
        </w:rPr>
      </w:pPr>
      <w:r>
        <w:t>151A</w:t>
      </w:r>
      <w:r>
        <w:rPr>
          <w:snapToGrid w:val="0"/>
        </w:rPr>
        <w:t>.</w:t>
      </w:r>
      <w:r>
        <w:rPr>
          <w:snapToGrid w:val="0"/>
        </w:rPr>
        <w:tab/>
        <w:t>Report as to rates</w:t>
      </w:r>
      <w:r>
        <w:tab/>
      </w:r>
      <w:r>
        <w:fldChar w:fldCharType="begin"/>
      </w:r>
      <w:r>
        <w:instrText xml:space="preserve"> PAGEREF _Toc390078466 \h </w:instrText>
      </w:r>
      <w:r>
        <w:fldChar w:fldCharType="separate"/>
      </w:r>
      <w:r>
        <w:t>192</w:t>
      </w:r>
      <w:r>
        <w:fldChar w:fldCharType="end"/>
      </w:r>
    </w:p>
    <w:p>
      <w:pPr>
        <w:pStyle w:val="TOC8"/>
        <w:rPr>
          <w:rFonts w:asciiTheme="minorHAnsi" w:eastAsiaTheme="minorEastAsia" w:hAnsiTheme="minorHAnsi" w:cstheme="minorBidi"/>
          <w:szCs w:val="22"/>
        </w:rPr>
      </w:pPr>
      <w:r>
        <w:t>152.</w:t>
      </w:r>
      <w:r>
        <w:tab/>
        <w:t>Loading not to exceed 100% unless permitted by WorkCover WA</w:t>
      </w:r>
      <w:r>
        <w:tab/>
      </w:r>
      <w:r>
        <w:fldChar w:fldCharType="begin"/>
      </w:r>
      <w:r>
        <w:instrText xml:space="preserve"> PAGEREF _Toc390078467 \h </w:instrText>
      </w:r>
      <w:r>
        <w:fldChar w:fldCharType="separate"/>
      </w:r>
      <w:r>
        <w:t>192</w:t>
      </w:r>
      <w:r>
        <w:fldChar w:fldCharType="end"/>
      </w:r>
    </w:p>
    <w:p>
      <w:pPr>
        <w:pStyle w:val="TOC8"/>
        <w:rPr>
          <w:rFonts w:asciiTheme="minorHAnsi" w:eastAsiaTheme="minorEastAsia" w:hAnsiTheme="minorHAnsi" w:cstheme="minorBidi"/>
          <w:szCs w:val="22"/>
        </w:rPr>
      </w:pPr>
      <w:r>
        <w:t>153.</w:t>
      </w:r>
      <w:r>
        <w:tab/>
      </w:r>
      <w:r>
        <w:rPr>
          <w:snapToGrid w:val="0"/>
        </w:rPr>
        <w:t>Fixing maximum loading or discount</w:t>
      </w:r>
      <w:r>
        <w:tab/>
      </w:r>
      <w:r>
        <w:fldChar w:fldCharType="begin"/>
      </w:r>
      <w:r>
        <w:instrText xml:space="preserve"> PAGEREF _Toc390078468 \h </w:instrText>
      </w:r>
      <w:r>
        <w:fldChar w:fldCharType="separate"/>
      </w:r>
      <w:r>
        <w:t>192</w:t>
      </w:r>
      <w:r>
        <w:fldChar w:fldCharType="end"/>
      </w:r>
    </w:p>
    <w:p>
      <w:pPr>
        <w:pStyle w:val="TOC8"/>
        <w:rPr>
          <w:rFonts w:asciiTheme="minorHAnsi" w:eastAsiaTheme="minorEastAsia" w:hAnsiTheme="minorHAnsi" w:cstheme="minorBidi"/>
          <w:szCs w:val="22"/>
        </w:rPr>
      </w:pPr>
      <w:r>
        <w:t>153A</w:t>
      </w:r>
      <w:r>
        <w:rPr>
          <w:snapToGrid w:val="0"/>
        </w:rPr>
        <w:t>.</w:t>
      </w:r>
      <w:r>
        <w:rPr>
          <w:snapToGrid w:val="0"/>
        </w:rPr>
        <w:tab/>
        <w:t>Minimum premiums</w:t>
      </w:r>
      <w:r>
        <w:tab/>
      </w:r>
      <w:r>
        <w:fldChar w:fldCharType="begin"/>
      </w:r>
      <w:r>
        <w:instrText xml:space="preserve"> PAGEREF _Toc390078469 \h </w:instrText>
      </w:r>
      <w:r>
        <w:fldChar w:fldCharType="separate"/>
      </w:r>
      <w:r>
        <w:t>193</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Appeals</w:t>
      </w:r>
      <w:r>
        <w:tab/>
      </w:r>
      <w:r>
        <w:fldChar w:fldCharType="begin"/>
      </w:r>
      <w:r>
        <w:instrText xml:space="preserve"> PAGEREF _Toc390078470 \h </w:instrText>
      </w:r>
      <w:r>
        <w:fldChar w:fldCharType="separate"/>
      </w:r>
      <w:r>
        <w:t>193</w:t>
      </w:r>
      <w:r>
        <w:fldChar w:fldCharType="end"/>
      </w:r>
    </w:p>
    <w:p>
      <w:pPr>
        <w:pStyle w:val="TOC8"/>
        <w:rPr>
          <w:rFonts w:asciiTheme="minorHAnsi" w:eastAsiaTheme="minorEastAsia" w:hAnsiTheme="minorHAnsi" w:cstheme="minorBidi"/>
          <w:szCs w:val="22"/>
        </w:rPr>
      </w:pPr>
      <w:r>
        <w:t>154A.</w:t>
      </w:r>
      <w:r>
        <w:tab/>
        <w:t>Regulations for provision of information</w:t>
      </w:r>
      <w:r>
        <w:tab/>
      </w:r>
      <w:r>
        <w:fldChar w:fldCharType="begin"/>
      </w:r>
      <w:r>
        <w:instrText xml:space="preserve"> PAGEREF _Toc390078471 \h </w:instrText>
      </w:r>
      <w:r>
        <w:fldChar w:fldCharType="separate"/>
      </w:r>
      <w:r>
        <w:t>194</w:t>
      </w:r>
      <w:r>
        <w:fldChar w:fldCharType="end"/>
      </w:r>
    </w:p>
    <w:p>
      <w:pPr>
        <w:pStyle w:val="TOC8"/>
        <w:rPr>
          <w:rFonts w:asciiTheme="minorHAnsi" w:eastAsiaTheme="minorEastAsia" w:hAnsiTheme="minorHAnsi" w:cstheme="minorBidi"/>
          <w:szCs w:val="22"/>
        </w:rPr>
      </w:pPr>
      <w:r>
        <w:t>154AB.</w:t>
      </w:r>
      <w:r>
        <w:tab/>
        <w:t>Special directions by Minister</w:t>
      </w:r>
      <w:r>
        <w:tab/>
      </w:r>
      <w:r>
        <w:fldChar w:fldCharType="begin"/>
      </w:r>
      <w:r>
        <w:instrText xml:space="preserve"> PAGEREF _Toc390078472 \h </w:instrText>
      </w:r>
      <w:r>
        <w:fldChar w:fldCharType="separate"/>
      </w:r>
      <w:r>
        <w:t>195</w:t>
      </w:r>
      <w:r>
        <w:fldChar w:fldCharType="end"/>
      </w:r>
    </w:p>
    <w:p>
      <w:pPr>
        <w:pStyle w:val="TOC8"/>
        <w:rPr>
          <w:rFonts w:asciiTheme="minorHAnsi" w:eastAsiaTheme="minorEastAsia" w:hAnsiTheme="minorHAnsi" w:cstheme="minorBidi"/>
          <w:szCs w:val="22"/>
        </w:rPr>
      </w:pPr>
      <w:r>
        <w:t>154AC.</w:t>
      </w:r>
      <w:r>
        <w:tab/>
        <w:t>Regulations for subsidy from Supplementation Fund</w:t>
      </w:r>
      <w:r>
        <w:tab/>
      </w:r>
      <w:r>
        <w:fldChar w:fldCharType="begin"/>
      </w:r>
      <w:r>
        <w:instrText xml:space="preserve"> PAGEREF _Toc390078473 \h </w:instrText>
      </w:r>
      <w:r>
        <w:fldChar w:fldCharType="separate"/>
      </w:r>
      <w:r>
        <w:t>195</w:t>
      </w:r>
      <w:r>
        <w:fldChar w:fldCharType="end"/>
      </w:r>
    </w:p>
    <w:p>
      <w:pPr>
        <w:pStyle w:val="TOC2"/>
        <w:tabs>
          <w:tab w:val="right" w:leader="dot" w:pos="7086"/>
        </w:tabs>
        <w:rPr>
          <w:rFonts w:asciiTheme="minorHAnsi" w:eastAsiaTheme="minorEastAsia" w:hAnsiTheme="minorHAnsi" w:cstheme="minorBidi"/>
          <w:b w:val="0"/>
          <w:sz w:val="22"/>
          <w:szCs w:val="22"/>
        </w:rPr>
      </w:pPr>
      <w:r>
        <w:t>Part IX</w:t>
      </w:r>
      <w:r>
        <w:rPr>
          <w:b w:val="0"/>
        </w:rPr>
        <w:t> </w:t>
      </w:r>
      <w:r>
        <w:t>—</w:t>
      </w:r>
      <w:r>
        <w:rPr>
          <w:b w:val="0"/>
        </w:rPr>
        <w:t> </w:t>
      </w:r>
      <w:r>
        <w:t>Injury management</w:t>
      </w:r>
    </w:p>
    <w:p>
      <w:pPr>
        <w:pStyle w:val="TOC8"/>
        <w:rPr>
          <w:rFonts w:asciiTheme="minorHAnsi" w:eastAsiaTheme="minorEastAsia" w:hAnsiTheme="minorHAnsi" w:cstheme="minorBidi"/>
          <w:szCs w:val="22"/>
        </w:rPr>
      </w:pPr>
      <w:r>
        <w:t>155.</w:t>
      </w:r>
      <w:r>
        <w:tab/>
        <w:t>Terms used in this Part</w:t>
      </w:r>
      <w:r>
        <w:tab/>
      </w:r>
      <w:r>
        <w:fldChar w:fldCharType="begin"/>
      </w:r>
      <w:r>
        <w:instrText xml:space="preserve"> PAGEREF _Toc390078475 \h </w:instrText>
      </w:r>
      <w:r>
        <w:fldChar w:fldCharType="separate"/>
      </w:r>
      <w:r>
        <w:t>196</w:t>
      </w:r>
      <w:r>
        <w:fldChar w:fldCharType="end"/>
      </w:r>
    </w:p>
    <w:p>
      <w:pPr>
        <w:pStyle w:val="TOC8"/>
        <w:rPr>
          <w:rFonts w:asciiTheme="minorHAnsi" w:eastAsiaTheme="minorEastAsia" w:hAnsiTheme="minorHAnsi" w:cstheme="minorBidi"/>
          <w:szCs w:val="22"/>
        </w:rPr>
      </w:pPr>
      <w:r>
        <w:t>155A.</w:t>
      </w:r>
      <w:r>
        <w:tab/>
        <w:t>Code of practice (injury management)</w:t>
      </w:r>
      <w:r>
        <w:tab/>
      </w:r>
      <w:r>
        <w:fldChar w:fldCharType="begin"/>
      </w:r>
      <w:r>
        <w:instrText xml:space="preserve"> PAGEREF _Toc390078476 \h </w:instrText>
      </w:r>
      <w:r>
        <w:fldChar w:fldCharType="separate"/>
      </w:r>
      <w:r>
        <w:t>196</w:t>
      </w:r>
      <w:r>
        <w:fldChar w:fldCharType="end"/>
      </w:r>
    </w:p>
    <w:p>
      <w:pPr>
        <w:pStyle w:val="TOC8"/>
        <w:rPr>
          <w:rFonts w:asciiTheme="minorHAnsi" w:eastAsiaTheme="minorEastAsia" w:hAnsiTheme="minorHAnsi" w:cstheme="minorBidi"/>
          <w:szCs w:val="22"/>
        </w:rPr>
      </w:pPr>
      <w:r>
        <w:t>155B.</w:t>
      </w:r>
      <w:r>
        <w:tab/>
        <w:t>Establishment of injury management systems for employer’s workers</w:t>
      </w:r>
      <w:r>
        <w:tab/>
      </w:r>
      <w:r>
        <w:fldChar w:fldCharType="begin"/>
      </w:r>
      <w:r>
        <w:instrText xml:space="preserve"> PAGEREF _Toc390078477 \h </w:instrText>
      </w:r>
      <w:r>
        <w:fldChar w:fldCharType="separate"/>
      </w:r>
      <w:r>
        <w:t>197</w:t>
      </w:r>
      <w:r>
        <w:fldChar w:fldCharType="end"/>
      </w:r>
    </w:p>
    <w:p>
      <w:pPr>
        <w:pStyle w:val="TOC8"/>
        <w:rPr>
          <w:rFonts w:asciiTheme="minorHAnsi" w:eastAsiaTheme="minorEastAsia" w:hAnsiTheme="minorHAnsi" w:cstheme="minorBidi"/>
          <w:szCs w:val="22"/>
        </w:rPr>
      </w:pPr>
      <w:r>
        <w:t>155C.</w:t>
      </w:r>
      <w:r>
        <w:tab/>
        <w:t>Establishment of return to work programs for individual workers</w:t>
      </w:r>
      <w:r>
        <w:tab/>
      </w:r>
      <w:r>
        <w:fldChar w:fldCharType="begin"/>
      </w:r>
      <w:r>
        <w:instrText xml:space="preserve"> PAGEREF _Toc390078478 \h </w:instrText>
      </w:r>
      <w:r>
        <w:fldChar w:fldCharType="separate"/>
      </w:r>
      <w:r>
        <w:t>197</w:t>
      </w:r>
      <w:r>
        <w:fldChar w:fldCharType="end"/>
      </w:r>
    </w:p>
    <w:p>
      <w:pPr>
        <w:pStyle w:val="TOC8"/>
        <w:rPr>
          <w:rFonts w:asciiTheme="minorHAnsi" w:eastAsiaTheme="minorEastAsia" w:hAnsiTheme="minorHAnsi" w:cstheme="minorBidi"/>
          <w:szCs w:val="22"/>
        </w:rPr>
      </w:pPr>
      <w:r>
        <w:t>155D.</w:t>
      </w:r>
      <w:r>
        <w:tab/>
        <w:t>Injury management: insurers’ obligations</w:t>
      </w:r>
      <w:r>
        <w:tab/>
      </w:r>
      <w:r>
        <w:fldChar w:fldCharType="begin"/>
      </w:r>
      <w:r>
        <w:instrText xml:space="preserve"> PAGEREF _Toc390078479 \h </w:instrText>
      </w:r>
      <w:r>
        <w:fldChar w:fldCharType="separate"/>
      </w:r>
      <w:r>
        <w:t>198</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Approval of vocational rehabilitation providers</w:t>
      </w:r>
      <w:r>
        <w:tab/>
      </w:r>
      <w:r>
        <w:fldChar w:fldCharType="begin"/>
      </w:r>
      <w:r>
        <w:instrText xml:space="preserve"> PAGEREF _Toc390078480 \h </w:instrText>
      </w:r>
      <w:r>
        <w:fldChar w:fldCharType="separate"/>
      </w:r>
      <w:r>
        <w:t>199</w:t>
      </w:r>
      <w:r>
        <w:fldChar w:fldCharType="end"/>
      </w:r>
    </w:p>
    <w:p>
      <w:pPr>
        <w:pStyle w:val="TOC8"/>
        <w:rPr>
          <w:rFonts w:asciiTheme="minorHAnsi" w:eastAsiaTheme="minorEastAsia" w:hAnsiTheme="minorHAnsi" w:cstheme="minorBidi"/>
          <w:szCs w:val="22"/>
        </w:rPr>
      </w:pPr>
      <w:r>
        <w:t>156A.</w:t>
      </w:r>
      <w:r>
        <w:tab/>
        <w:t>Vocational rehabilitation services</w:t>
      </w:r>
      <w:r>
        <w:tab/>
      </w:r>
      <w:r>
        <w:fldChar w:fldCharType="begin"/>
      </w:r>
      <w:r>
        <w:instrText xml:space="preserve"> PAGEREF _Toc390078481 \h </w:instrText>
      </w:r>
      <w:r>
        <w:fldChar w:fldCharType="separate"/>
      </w:r>
      <w:r>
        <w:t>200</w:t>
      </w:r>
      <w:r>
        <w:fldChar w:fldCharType="end"/>
      </w:r>
    </w:p>
    <w:p>
      <w:pPr>
        <w:pStyle w:val="TOC8"/>
        <w:rPr>
          <w:rFonts w:asciiTheme="minorHAnsi" w:eastAsiaTheme="minorEastAsia" w:hAnsiTheme="minorHAnsi" w:cstheme="minorBidi"/>
          <w:szCs w:val="22"/>
        </w:rPr>
      </w:pPr>
      <w:r>
        <w:t>156B</w:t>
      </w:r>
      <w:r>
        <w:rPr>
          <w:snapToGrid w:val="0"/>
        </w:rPr>
        <w:t>.</w:t>
      </w:r>
      <w:r>
        <w:rPr>
          <w:snapToGrid w:val="0"/>
        </w:rPr>
        <w:tab/>
        <w:t>Arbitrators’ powers in relation to return to work programs</w:t>
      </w:r>
      <w:r>
        <w:tab/>
      </w:r>
      <w:r>
        <w:fldChar w:fldCharType="begin"/>
      </w:r>
      <w:r>
        <w:instrText xml:space="preserve"> PAGEREF _Toc390078482 \h </w:instrText>
      </w:r>
      <w:r>
        <w:fldChar w:fldCharType="separate"/>
      </w:r>
      <w:r>
        <w:t>200</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Information about injury management matters</w:t>
      </w:r>
      <w:r>
        <w:tab/>
      </w:r>
      <w:r>
        <w:fldChar w:fldCharType="begin"/>
      </w:r>
      <w:r>
        <w:instrText xml:space="preserve"> PAGEREF _Toc390078483 \h </w:instrText>
      </w:r>
      <w:r>
        <w:fldChar w:fldCharType="separate"/>
      </w:r>
      <w:r>
        <w:t>201</w:t>
      </w:r>
      <w:r>
        <w:fldChar w:fldCharType="end"/>
      </w:r>
    </w:p>
    <w:p>
      <w:pPr>
        <w:pStyle w:val="TOC8"/>
        <w:rPr>
          <w:rFonts w:asciiTheme="minorHAnsi" w:eastAsiaTheme="minorEastAsia" w:hAnsiTheme="minorHAnsi" w:cstheme="minorBidi"/>
          <w:szCs w:val="22"/>
        </w:rPr>
      </w:pPr>
      <w:r>
        <w:t>157A.</w:t>
      </w:r>
      <w:r>
        <w:tab/>
        <w:t>Early identification of injuries that require, or may require, management</w:t>
      </w:r>
      <w:r>
        <w:tab/>
      </w:r>
      <w:r>
        <w:fldChar w:fldCharType="begin"/>
      </w:r>
      <w:r>
        <w:instrText xml:space="preserve"> PAGEREF _Toc390078484 \h </w:instrText>
      </w:r>
      <w:r>
        <w:fldChar w:fldCharType="separate"/>
      </w:r>
      <w:r>
        <w:t>201</w:t>
      </w:r>
      <w:r>
        <w:fldChar w:fldCharType="end"/>
      </w:r>
    </w:p>
    <w:p>
      <w:pPr>
        <w:pStyle w:val="TOC8"/>
        <w:rPr>
          <w:rFonts w:asciiTheme="minorHAnsi" w:eastAsiaTheme="minorEastAsia" w:hAnsiTheme="minorHAnsi" w:cstheme="minorBidi"/>
          <w:szCs w:val="22"/>
        </w:rPr>
      </w:pPr>
      <w:r>
        <w:t>157B.</w:t>
      </w:r>
      <w:r>
        <w:tab/>
        <w:t>Mediation and assistance</w:t>
      </w:r>
      <w:r>
        <w:tab/>
      </w:r>
      <w:r>
        <w:fldChar w:fldCharType="begin"/>
      </w:r>
      <w:r>
        <w:instrText xml:space="preserve"> PAGEREF _Toc390078485 \h </w:instrText>
      </w:r>
      <w:r>
        <w:fldChar w:fldCharType="separate"/>
      </w:r>
      <w:r>
        <w:t>203</w:t>
      </w:r>
      <w:r>
        <w:fldChar w:fldCharType="end"/>
      </w:r>
    </w:p>
    <w:p>
      <w:pPr>
        <w:pStyle w:val="TOC2"/>
        <w:tabs>
          <w:tab w:val="right" w:leader="dot" w:pos="7086"/>
        </w:tabs>
        <w:rPr>
          <w:rFonts w:asciiTheme="minorHAnsi" w:eastAsiaTheme="minorEastAsia" w:hAnsiTheme="minorHAnsi" w:cstheme="minorBidi"/>
          <w:b w:val="0"/>
          <w:sz w:val="22"/>
          <w:szCs w:val="22"/>
        </w:rPr>
      </w:pPr>
      <w:r>
        <w:t>Part IXA</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158.</w:t>
      </w:r>
      <w:r>
        <w:tab/>
        <w:t>Meaning of “retraining criteria”</w:t>
      </w:r>
      <w:r>
        <w:tab/>
      </w:r>
      <w:r>
        <w:fldChar w:fldCharType="begin"/>
      </w:r>
      <w:r>
        <w:instrText xml:space="preserve"> PAGEREF _Toc390078487 \h </w:instrText>
      </w:r>
      <w:r>
        <w:fldChar w:fldCharType="separate"/>
      </w:r>
      <w:r>
        <w:t>204</w:t>
      </w:r>
      <w:r>
        <w:fldChar w:fldCharType="end"/>
      </w:r>
    </w:p>
    <w:p>
      <w:pPr>
        <w:pStyle w:val="TOC8"/>
        <w:rPr>
          <w:rFonts w:asciiTheme="minorHAnsi" w:eastAsiaTheme="minorEastAsia" w:hAnsiTheme="minorHAnsi" w:cstheme="minorBidi"/>
          <w:szCs w:val="22"/>
        </w:rPr>
      </w:pPr>
      <w:r>
        <w:t>158A.</w:t>
      </w:r>
      <w:r>
        <w:tab/>
        <w:t>Eligibility to participate in specialised retraining programs</w:t>
      </w:r>
      <w:r>
        <w:tab/>
      </w:r>
      <w:r>
        <w:fldChar w:fldCharType="begin"/>
      </w:r>
      <w:r>
        <w:instrText xml:space="preserve"> PAGEREF _Toc390078488 \h </w:instrText>
      </w:r>
      <w:r>
        <w:fldChar w:fldCharType="separate"/>
      </w:r>
      <w:r>
        <w:t>205</w:t>
      </w:r>
      <w:r>
        <w:fldChar w:fldCharType="end"/>
      </w:r>
    </w:p>
    <w:p>
      <w:pPr>
        <w:pStyle w:val="TOC8"/>
        <w:rPr>
          <w:rFonts w:asciiTheme="minorHAnsi" w:eastAsiaTheme="minorEastAsia" w:hAnsiTheme="minorHAnsi" w:cstheme="minorBidi"/>
          <w:szCs w:val="22"/>
        </w:rPr>
      </w:pPr>
      <w:r>
        <w:t>158B.</w:t>
      </w:r>
      <w:r>
        <w:tab/>
        <w:t>Final day for recording agreed matters, referring disputed matters for determination</w:t>
      </w:r>
      <w:r>
        <w:tab/>
      </w:r>
      <w:r>
        <w:fldChar w:fldCharType="begin"/>
      </w:r>
      <w:r>
        <w:instrText xml:space="preserve"> PAGEREF _Toc390078489 \h </w:instrText>
      </w:r>
      <w:r>
        <w:fldChar w:fldCharType="separate"/>
      </w:r>
      <w:r>
        <w:t>206</w:t>
      </w:r>
      <w:r>
        <w:fldChar w:fldCharType="end"/>
      </w:r>
    </w:p>
    <w:p>
      <w:pPr>
        <w:pStyle w:val="TOC8"/>
        <w:rPr>
          <w:rFonts w:asciiTheme="minorHAnsi" w:eastAsiaTheme="minorEastAsia" w:hAnsiTheme="minorHAnsi" w:cstheme="minorBidi"/>
          <w:szCs w:val="22"/>
        </w:rPr>
      </w:pPr>
      <w:r>
        <w:t>158C.</w:t>
      </w:r>
      <w:r>
        <w:tab/>
        <w:t>Disputes as to degree of permanent whole of person impairment</w:t>
      </w:r>
      <w:r>
        <w:tab/>
      </w:r>
      <w:r>
        <w:fldChar w:fldCharType="begin"/>
      </w:r>
      <w:r>
        <w:instrText xml:space="preserve"> PAGEREF _Toc390078490 \h </w:instrText>
      </w:r>
      <w:r>
        <w:fldChar w:fldCharType="separate"/>
      </w:r>
      <w:r>
        <w:t>208</w:t>
      </w:r>
      <w:r>
        <w:fldChar w:fldCharType="end"/>
      </w:r>
    </w:p>
    <w:p>
      <w:pPr>
        <w:pStyle w:val="TOC8"/>
        <w:rPr>
          <w:rFonts w:asciiTheme="minorHAnsi" w:eastAsiaTheme="minorEastAsia" w:hAnsiTheme="minorHAnsi" w:cstheme="minorBidi"/>
          <w:szCs w:val="22"/>
        </w:rPr>
      </w:pPr>
      <w:r>
        <w:t>158D.</w:t>
      </w:r>
      <w:r>
        <w:tab/>
        <w:t>Disputes as to retraining criteria</w:t>
      </w:r>
      <w:r>
        <w:tab/>
      </w:r>
      <w:r>
        <w:fldChar w:fldCharType="begin"/>
      </w:r>
      <w:r>
        <w:instrText xml:space="preserve"> PAGEREF _Toc390078491 \h </w:instrText>
      </w:r>
      <w:r>
        <w:fldChar w:fldCharType="separate"/>
      </w:r>
      <w:r>
        <w:t>209</w:t>
      </w:r>
      <w:r>
        <w:fldChar w:fldCharType="end"/>
      </w:r>
    </w:p>
    <w:p>
      <w:pPr>
        <w:pStyle w:val="TOC8"/>
        <w:rPr>
          <w:rFonts w:asciiTheme="minorHAnsi" w:eastAsiaTheme="minorEastAsia" w:hAnsiTheme="minorHAnsi" w:cstheme="minorBidi"/>
          <w:szCs w:val="22"/>
        </w:rPr>
      </w:pPr>
      <w:r>
        <w:t>158E.</w:t>
      </w:r>
      <w:r>
        <w:tab/>
        <w:t>Specialised retraining program agreements</w:t>
      </w:r>
      <w:r>
        <w:tab/>
      </w:r>
      <w:r>
        <w:fldChar w:fldCharType="begin"/>
      </w:r>
      <w:r>
        <w:instrText xml:space="preserve"> PAGEREF _Toc390078492 \h </w:instrText>
      </w:r>
      <w:r>
        <w:fldChar w:fldCharType="separate"/>
      </w:r>
      <w:r>
        <w:t>210</w:t>
      </w:r>
      <w:r>
        <w:fldChar w:fldCharType="end"/>
      </w:r>
    </w:p>
    <w:p>
      <w:pPr>
        <w:pStyle w:val="TOC8"/>
        <w:rPr>
          <w:rFonts w:asciiTheme="minorHAnsi" w:eastAsiaTheme="minorEastAsia" w:hAnsiTheme="minorHAnsi" w:cstheme="minorBidi"/>
          <w:szCs w:val="22"/>
        </w:rPr>
      </w:pPr>
      <w:r>
        <w:t>158F.</w:t>
      </w:r>
      <w:r>
        <w:tab/>
        <w:t>WorkCover WA to direct payments in relation to specialised retraining programs</w:t>
      </w:r>
      <w:r>
        <w:tab/>
      </w:r>
      <w:r>
        <w:fldChar w:fldCharType="begin"/>
      </w:r>
      <w:r>
        <w:instrText xml:space="preserve"> PAGEREF _Toc390078493 \h </w:instrText>
      </w:r>
      <w:r>
        <w:fldChar w:fldCharType="separate"/>
      </w:r>
      <w:r>
        <w:t>211</w:t>
      </w:r>
      <w:r>
        <w:fldChar w:fldCharType="end"/>
      </w:r>
    </w:p>
    <w:p>
      <w:pPr>
        <w:pStyle w:val="TOC8"/>
        <w:rPr>
          <w:rFonts w:asciiTheme="minorHAnsi" w:eastAsiaTheme="minorEastAsia" w:hAnsiTheme="minorHAnsi" w:cstheme="minorBidi"/>
          <w:szCs w:val="22"/>
        </w:rPr>
      </w:pPr>
      <w:r>
        <w:t>158G.</w:t>
      </w:r>
      <w:r>
        <w:tab/>
        <w:t>Obligations of employers, insurers</w:t>
      </w:r>
      <w:r>
        <w:tab/>
      </w:r>
      <w:r>
        <w:fldChar w:fldCharType="begin"/>
      </w:r>
      <w:r>
        <w:instrText xml:space="preserve"> PAGEREF _Toc390078494 \h </w:instrText>
      </w:r>
      <w:r>
        <w:fldChar w:fldCharType="separate"/>
      </w:r>
      <w:r>
        <w:t>213</w:t>
      </w:r>
      <w:r>
        <w:fldChar w:fldCharType="end"/>
      </w:r>
    </w:p>
    <w:p>
      <w:pPr>
        <w:pStyle w:val="TOC8"/>
        <w:rPr>
          <w:rFonts w:asciiTheme="minorHAnsi" w:eastAsiaTheme="minorEastAsia" w:hAnsiTheme="minorHAnsi" w:cstheme="minorBidi"/>
          <w:szCs w:val="22"/>
        </w:rPr>
      </w:pPr>
      <w:r>
        <w:t>158H.</w:t>
      </w:r>
      <w:r>
        <w:tab/>
        <w:t>3 monthly reviews of performance, payments under specialised retraining programs</w:t>
      </w:r>
      <w:r>
        <w:tab/>
      </w:r>
      <w:r>
        <w:fldChar w:fldCharType="begin"/>
      </w:r>
      <w:r>
        <w:instrText xml:space="preserve"> PAGEREF _Toc390078495 \h </w:instrText>
      </w:r>
      <w:r>
        <w:fldChar w:fldCharType="separate"/>
      </w:r>
      <w:r>
        <w:t>214</w:t>
      </w:r>
      <w:r>
        <w:fldChar w:fldCharType="end"/>
      </w:r>
    </w:p>
    <w:p>
      <w:pPr>
        <w:pStyle w:val="TOC8"/>
        <w:rPr>
          <w:rFonts w:asciiTheme="minorHAnsi" w:eastAsiaTheme="minorEastAsia" w:hAnsiTheme="minorHAnsi" w:cstheme="minorBidi"/>
          <w:szCs w:val="22"/>
        </w:rPr>
      </w:pPr>
      <w:r>
        <w:t>158I.</w:t>
      </w:r>
      <w:r>
        <w:tab/>
        <w:t>WorkCover WA may direct modification, suspension, cessation of payments under specialised retraining programs</w:t>
      </w:r>
      <w:r>
        <w:tab/>
      </w:r>
      <w:r>
        <w:fldChar w:fldCharType="begin"/>
      </w:r>
      <w:r>
        <w:instrText xml:space="preserve"> PAGEREF _Toc390078496 \h </w:instrText>
      </w:r>
      <w:r>
        <w:fldChar w:fldCharType="separate"/>
      </w:r>
      <w:r>
        <w:t>214</w:t>
      </w:r>
      <w:r>
        <w:fldChar w:fldCharType="end"/>
      </w:r>
    </w:p>
    <w:p>
      <w:pPr>
        <w:pStyle w:val="TOC8"/>
        <w:rPr>
          <w:rFonts w:asciiTheme="minorHAnsi" w:eastAsiaTheme="minorEastAsia" w:hAnsiTheme="minorHAnsi" w:cstheme="minorBidi"/>
          <w:szCs w:val="22"/>
        </w:rPr>
      </w:pPr>
      <w:r>
        <w:t>158J.</w:t>
      </w:r>
      <w:r>
        <w:tab/>
        <w:t>Cessation of payments</w:t>
      </w:r>
      <w:r>
        <w:tab/>
      </w:r>
      <w:r>
        <w:fldChar w:fldCharType="begin"/>
      </w:r>
      <w:r>
        <w:instrText xml:space="preserve"> PAGEREF _Toc390078497 \h </w:instrText>
      </w:r>
      <w:r>
        <w:fldChar w:fldCharType="separate"/>
      </w:r>
      <w:r>
        <w:t>215</w:t>
      </w:r>
      <w:r>
        <w:fldChar w:fldCharType="end"/>
      </w:r>
    </w:p>
    <w:p>
      <w:pPr>
        <w:pStyle w:val="TOC8"/>
        <w:rPr>
          <w:rFonts w:asciiTheme="minorHAnsi" w:eastAsiaTheme="minorEastAsia" w:hAnsiTheme="minorHAnsi" w:cstheme="minorBidi"/>
          <w:szCs w:val="22"/>
        </w:rPr>
      </w:pPr>
      <w:r>
        <w:t>158K.</w:t>
      </w:r>
      <w:r>
        <w:tab/>
        <w:t>Directions not open to challenge etc.</w:t>
      </w:r>
      <w:r>
        <w:tab/>
      </w:r>
      <w:r>
        <w:fldChar w:fldCharType="begin"/>
      </w:r>
      <w:r>
        <w:instrText xml:space="preserve"> PAGEREF _Toc390078498 \h </w:instrText>
      </w:r>
      <w:r>
        <w:fldChar w:fldCharType="separate"/>
      </w:r>
      <w:r>
        <w:t>215</w:t>
      </w:r>
      <w:r>
        <w:fldChar w:fldCharType="end"/>
      </w:r>
    </w:p>
    <w:p>
      <w:pPr>
        <w:pStyle w:val="TOC8"/>
        <w:rPr>
          <w:rFonts w:asciiTheme="minorHAnsi" w:eastAsiaTheme="minorEastAsia" w:hAnsiTheme="minorHAnsi" w:cstheme="minorBidi"/>
          <w:szCs w:val="22"/>
        </w:rPr>
      </w:pPr>
      <w:r>
        <w:t>158L.</w:t>
      </w:r>
      <w:r>
        <w:tab/>
        <w:t>Other effects of participation in specialised retraining program</w:t>
      </w:r>
      <w:r>
        <w:tab/>
      </w:r>
      <w:r>
        <w:fldChar w:fldCharType="begin"/>
      </w:r>
      <w:r>
        <w:instrText xml:space="preserve"> PAGEREF _Toc390078499 \h </w:instrText>
      </w:r>
      <w:r>
        <w:fldChar w:fldCharType="separate"/>
      </w:r>
      <w:r>
        <w:t>215</w:t>
      </w:r>
      <w:r>
        <w:fldChar w:fldCharType="end"/>
      </w:r>
    </w:p>
    <w:p>
      <w:pPr>
        <w:pStyle w:val="TOC2"/>
        <w:tabs>
          <w:tab w:val="right" w:leader="dot" w:pos="7086"/>
        </w:tabs>
        <w:rPr>
          <w:rFonts w:asciiTheme="minorHAnsi" w:eastAsiaTheme="minorEastAsia" w:hAnsiTheme="minorHAnsi" w:cstheme="minorBidi"/>
          <w:b w:val="0"/>
          <w:sz w:val="22"/>
          <w:szCs w:val="22"/>
        </w:rPr>
      </w:pPr>
      <w:r>
        <w:t>Part X — Insurance</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Liability of employers and insurers</w:t>
      </w:r>
    </w:p>
    <w:p>
      <w:pPr>
        <w:pStyle w:val="TOC8"/>
        <w:rPr>
          <w:rFonts w:asciiTheme="minorHAnsi" w:eastAsiaTheme="minorEastAsia" w:hAnsiTheme="minorHAnsi" w:cstheme="minorBidi"/>
          <w:szCs w:val="22"/>
        </w:rPr>
      </w:pPr>
      <w:r>
        <w:t>160</w:t>
      </w:r>
      <w:r>
        <w:rPr>
          <w:snapToGrid w:val="0"/>
        </w:rPr>
        <w:t>.</w:t>
      </w:r>
      <w:r>
        <w:rPr>
          <w:snapToGrid w:val="0"/>
        </w:rPr>
        <w:tab/>
        <w:t>Employer to obtain insurance</w:t>
      </w:r>
      <w:r>
        <w:tab/>
      </w:r>
      <w:r>
        <w:fldChar w:fldCharType="begin"/>
      </w:r>
      <w:r>
        <w:instrText xml:space="preserve"> PAGEREF _Toc390078502 \h </w:instrText>
      </w:r>
      <w:r>
        <w:fldChar w:fldCharType="separate"/>
      </w:r>
      <w:r>
        <w:t>217</w:t>
      </w:r>
      <w:r>
        <w:fldChar w:fldCharType="end"/>
      </w:r>
    </w:p>
    <w:p>
      <w:pPr>
        <w:pStyle w:val="TOC8"/>
        <w:rPr>
          <w:rFonts w:asciiTheme="minorHAnsi" w:eastAsiaTheme="minorEastAsia" w:hAnsiTheme="minorHAnsi" w:cstheme="minorBidi"/>
          <w:szCs w:val="22"/>
        </w:rPr>
      </w:pPr>
      <w:r>
        <w:t>160A.</w:t>
      </w:r>
      <w:r>
        <w:tab/>
        <w:t>Insurance in respect of working directors</w:t>
      </w:r>
      <w:r>
        <w:tab/>
      </w:r>
      <w:r>
        <w:fldChar w:fldCharType="begin"/>
      </w:r>
      <w:r>
        <w:instrText xml:space="preserve"> PAGEREF _Toc390078503 \h </w:instrText>
      </w:r>
      <w:r>
        <w:fldChar w:fldCharType="separate"/>
      </w:r>
      <w:r>
        <w:t>220</w:t>
      </w:r>
      <w:r>
        <w:fldChar w:fldCharType="end"/>
      </w:r>
    </w:p>
    <w:p>
      <w:pPr>
        <w:pStyle w:val="TOC8"/>
        <w:rPr>
          <w:rFonts w:asciiTheme="minorHAnsi" w:eastAsiaTheme="minorEastAsia" w:hAnsiTheme="minorHAnsi" w:cstheme="minorBidi"/>
          <w:szCs w:val="22"/>
        </w:rPr>
      </w:pPr>
      <w:r>
        <w:t>161A</w:t>
      </w:r>
      <w:r>
        <w:rPr>
          <w:snapToGrid w:val="0"/>
        </w:rPr>
        <w:t>.</w:t>
      </w:r>
      <w:r>
        <w:rPr>
          <w:snapToGrid w:val="0"/>
        </w:rPr>
        <w:tab/>
        <w:t>Penalty — issue or renewal of policy without approval</w:t>
      </w:r>
      <w:r>
        <w:tab/>
      </w:r>
      <w:r>
        <w:fldChar w:fldCharType="begin"/>
      </w:r>
      <w:r>
        <w:instrText xml:space="preserve"> PAGEREF _Toc390078504 \h </w:instrText>
      </w:r>
      <w:r>
        <w:fldChar w:fldCharType="separate"/>
      </w:r>
      <w:r>
        <w:t>220</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Approvals</w:t>
      </w:r>
      <w:r>
        <w:tab/>
      </w:r>
      <w:r>
        <w:fldChar w:fldCharType="begin"/>
      </w:r>
      <w:r>
        <w:instrText xml:space="preserve"> PAGEREF _Toc390078505 \h </w:instrText>
      </w:r>
      <w:r>
        <w:fldChar w:fldCharType="separate"/>
      </w:r>
      <w:r>
        <w:t>221</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The State Government Insurance Commission sole insurer against certain industrial diseases</w:t>
      </w:r>
      <w:r>
        <w:tab/>
      </w:r>
      <w:r>
        <w:fldChar w:fldCharType="begin"/>
      </w:r>
      <w:r>
        <w:instrText xml:space="preserve"> PAGEREF _Toc390078506 \h </w:instrText>
      </w:r>
      <w:r>
        <w:fldChar w:fldCharType="separate"/>
      </w:r>
      <w:r>
        <w:t>222</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Payment of industrial disease premium and issue of policy</w:t>
      </w:r>
      <w:r>
        <w:tab/>
      </w:r>
      <w:r>
        <w:fldChar w:fldCharType="begin"/>
      </w:r>
      <w:r>
        <w:instrText xml:space="preserve"> PAGEREF _Toc390078507 \h </w:instrText>
      </w:r>
      <w:r>
        <w:fldChar w:fldCharType="separate"/>
      </w:r>
      <w:r>
        <w:t>223</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Exempt employer</w:t>
      </w:r>
      <w:r>
        <w:tab/>
      </w:r>
      <w:r>
        <w:fldChar w:fldCharType="begin"/>
      </w:r>
      <w:r>
        <w:instrText xml:space="preserve"> PAGEREF _Toc390078508 \h </w:instrText>
      </w:r>
      <w:r>
        <w:fldChar w:fldCharType="separate"/>
      </w:r>
      <w:r>
        <w:t>223</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Review of exemptions</w:t>
      </w:r>
      <w:r>
        <w:tab/>
      </w:r>
      <w:r>
        <w:fldChar w:fldCharType="begin"/>
      </w:r>
      <w:r>
        <w:instrText xml:space="preserve"> PAGEREF _Toc390078509 \h </w:instrText>
      </w:r>
      <w:r>
        <w:fldChar w:fldCharType="separate"/>
      </w:r>
      <w:r>
        <w:t>224</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Other cancellations</w:t>
      </w:r>
      <w:r>
        <w:tab/>
      </w:r>
      <w:r>
        <w:fldChar w:fldCharType="begin"/>
      </w:r>
      <w:r>
        <w:instrText xml:space="preserve"> PAGEREF _Toc390078510 \h </w:instrText>
      </w:r>
      <w:r>
        <w:fldChar w:fldCharType="separate"/>
      </w:r>
      <w:r>
        <w:t>226</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cessation of exemption</w:t>
      </w:r>
      <w:r>
        <w:tab/>
      </w:r>
      <w:r>
        <w:fldChar w:fldCharType="begin"/>
      </w:r>
      <w:r>
        <w:instrText xml:space="preserve"> PAGEREF _Toc390078511 \h </w:instrText>
      </w:r>
      <w:r>
        <w:fldChar w:fldCharType="separate"/>
      </w:r>
      <w:r>
        <w:t>226</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Cessation of exemption</w:t>
      </w:r>
      <w:r>
        <w:tab/>
      </w:r>
      <w:r>
        <w:fldChar w:fldCharType="begin"/>
      </w:r>
      <w:r>
        <w:instrText xml:space="preserve"> PAGEREF _Toc390078512 \h </w:instrText>
      </w:r>
      <w:r>
        <w:fldChar w:fldCharType="separate"/>
      </w:r>
      <w:r>
        <w:t>226</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Forms of policy</w:t>
      </w:r>
      <w:r>
        <w:tab/>
      </w:r>
      <w:r>
        <w:fldChar w:fldCharType="begin"/>
      </w:r>
      <w:r>
        <w:instrText xml:space="preserve"> PAGEREF _Toc390078513 \h </w:instrText>
      </w:r>
      <w:r>
        <w:fldChar w:fldCharType="separate"/>
      </w:r>
      <w:r>
        <w:t>227</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Penalty — uninsured worker</w:t>
      </w:r>
      <w:r>
        <w:tab/>
      </w:r>
      <w:r>
        <w:fldChar w:fldCharType="begin"/>
      </w:r>
      <w:r>
        <w:instrText xml:space="preserve"> PAGEREF _Toc390078514 \h </w:instrText>
      </w:r>
      <w:r>
        <w:fldChar w:fldCharType="separate"/>
      </w:r>
      <w:r>
        <w:t>227</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Insurance offices to furnish certain statements</w:t>
      </w:r>
      <w:r>
        <w:tab/>
      </w:r>
      <w:r>
        <w:fldChar w:fldCharType="begin"/>
      </w:r>
      <w:r>
        <w:instrText xml:space="preserve"> PAGEREF _Toc390078515 \h </w:instrText>
      </w:r>
      <w:r>
        <w:fldChar w:fldCharType="separate"/>
      </w:r>
      <w:r>
        <w:t>230</w:t>
      </w:r>
      <w:r>
        <w:fldChar w:fldCharType="end"/>
      </w:r>
    </w:p>
    <w:p>
      <w:pPr>
        <w:pStyle w:val="TOC8"/>
        <w:rPr>
          <w:rFonts w:asciiTheme="minorHAnsi" w:eastAsiaTheme="minorEastAsia" w:hAnsiTheme="minorHAnsi" w:cstheme="minorBidi"/>
          <w:szCs w:val="22"/>
        </w:rPr>
      </w:pPr>
      <w:r>
        <w:t>172.</w:t>
      </w:r>
      <w:r>
        <w:tab/>
        <w:t>WorkCover WA may pass on certain information to insurer</w:t>
      </w:r>
      <w:r>
        <w:tab/>
      </w:r>
      <w:r>
        <w:fldChar w:fldCharType="begin"/>
      </w:r>
      <w:r>
        <w:instrText xml:space="preserve"> PAGEREF _Toc390078516 \h </w:instrText>
      </w:r>
      <w:r>
        <w:fldChar w:fldCharType="separate"/>
      </w:r>
      <w:r>
        <w:t>232</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Worker’s rights against insurer</w:t>
      </w:r>
      <w:r>
        <w:tab/>
      </w:r>
      <w:r>
        <w:fldChar w:fldCharType="begin"/>
      </w:r>
      <w:r>
        <w:instrText xml:space="preserve"> PAGEREF _Toc390078517 \h </w:instrText>
      </w:r>
      <w:r>
        <w:fldChar w:fldCharType="separate"/>
      </w:r>
      <w:r>
        <w:t>232</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 xml:space="preserve">Payment to worker from General </w:t>
      </w:r>
      <w:r>
        <w:t>Account</w:t>
      </w:r>
      <w:r>
        <w:tab/>
      </w:r>
      <w:r>
        <w:fldChar w:fldCharType="begin"/>
      </w:r>
      <w:r>
        <w:instrText xml:space="preserve"> PAGEREF _Toc390078518 \h </w:instrText>
      </w:r>
      <w:r>
        <w:fldChar w:fldCharType="separate"/>
      </w:r>
      <w:r>
        <w:t>233</w:t>
      </w:r>
      <w:r>
        <w:fldChar w:fldCharType="end"/>
      </w:r>
    </w:p>
    <w:p>
      <w:pPr>
        <w:pStyle w:val="TOC8"/>
        <w:rPr>
          <w:rFonts w:asciiTheme="minorHAnsi" w:eastAsiaTheme="minorEastAsia" w:hAnsiTheme="minorHAnsi" w:cstheme="minorBidi"/>
          <w:szCs w:val="22"/>
        </w:rPr>
      </w:pPr>
      <w:r>
        <w:t>174AA.</w:t>
      </w:r>
      <w:r>
        <w:tab/>
        <w:t>Recovery from responsible officers of body corporate</w:t>
      </w:r>
      <w:r>
        <w:tab/>
      </w:r>
      <w:r>
        <w:fldChar w:fldCharType="begin"/>
      </w:r>
      <w:r>
        <w:instrText xml:space="preserve"> PAGEREF _Toc390078519 \h </w:instrText>
      </w:r>
      <w:r>
        <w:fldChar w:fldCharType="separate"/>
      </w:r>
      <w:r>
        <w:t>235</w:t>
      </w:r>
      <w:r>
        <w:fldChar w:fldCharType="end"/>
      </w:r>
    </w:p>
    <w:p>
      <w:pPr>
        <w:pStyle w:val="TOC8"/>
        <w:rPr>
          <w:rFonts w:asciiTheme="minorHAnsi" w:eastAsiaTheme="minorEastAsia" w:hAnsiTheme="minorHAnsi" w:cstheme="minorBidi"/>
          <w:szCs w:val="22"/>
        </w:rPr>
      </w:pPr>
      <w:r>
        <w:t>174AB.</w:t>
      </w:r>
      <w:r>
        <w:tab/>
        <w:t>WorkCover WA may exercise rights of employer</w:t>
      </w:r>
      <w:r>
        <w:tab/>
      </w:r>
      <w:r>
        <w:fldChar w:fldCharType="begin"/>
      </w:r>
      <w:r>
        <w:instrText xml:space="preserve"> PAGEREF _Toc390078520 \h </w:instrText>
      </w:r>
      <w:r>
        <w:fldChar w:fldCharType="separate"/>
      </w:r>
      <w:r>
        <w:t>236</w:t>
      </w:r>
      <w:r>
        <w:fldChar w:fldCharType="end"/>
      </w:r>
    </w:p>
    <w:p>
      <w:pPr>
        <w:pStyle w:val="TOC8"/>
        <w:rPr>
          <w:rFonts w:asciiTheme="minorHAnsi" w:eastAsiaTheme="minorEastAsia" w:hAnsiTheme="minorHAnsi" w:cstheme="minorBidi"/>
          <w:szCs w:val="22"/>
        </w:rPr>
      </w:pPr>
      <w:r>
        <w:t>174AC.</w:t>
      </w:r>
      <w:r>
        <w:tab/>
        <w:t>WorkCover WA’s right of subrogation</w:t>
      </w:r>
      <w:r>
        <w:tab/>
      </w:r>
      <w:r>
        <w:fldChar w:fldCharType="begin"/>
      </w:r>
      <w:r>
        <w:instrText xml:space="preserve"> PAGEREF _Toc390078521 \h </w:instrText>
      </w:r>
      <w:r>
        <w:fldChar w:fldCharType="separate"/>
      </w:r>
      <w:r>
        <w:t>237</w:t>
      </w:r>
      <w:r>
        <w:fldChar w:fldCharType="end"/>
      </w:r>
    </w:p>
    <w:p>
      <w:pPr>
        <w:pStyle w:val="TOC8"/>
        <w:rPr>
          <w:rFonts w:asciiTheme="minorHAnsi" w:eastAsiaTheme="minorEastAsia" w:hAnsiTheme="minorHAnsi" w:cstheme="minorBidi"/>
          <w:szCs w:val="22"/>
        </w:rPr>
      </w:pPr>
      <w:r>
        <w:t>174A</w:t>
      </w:r>
      <w:r>
        <w:rPr>
          <w:snapToGrid w:val="0"/>
        </w:rPr>
        <w:t>.</w:t>
      </w:r>
      <w:r>
        <w:rPr>
          <w:snapToGrid w:val="0"/>
        </w:rPr>
        <w:tab/>
        <w:t>Insurer may not refuse to indemnify in certain circumstances</w:t>
      </w:r>
      <w:r>
        <w:tab/>
      </w:r>
      <w:r>
        <w:fldChar w:fldCharType="begin"/>
      </w:r>
      <w:r>
        <w:instrText xml:space="preserve"> PAGEREF _Toc390078522 \h </w:instrText>
      </w:r>
      <w:r>
        <w:fldChar w:fldCharType="separate"/>
      </w:r>
      <w:r>
        <w:t>238</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Insurance by principals, contractors, and sub</w:t>
      </w:r>
      <w:r>
        <w:noBreakHyphen/>
        <w:t>contractors</w:t>
      </w:r>
    </w:p>
    <w:p>
      <w:pPr>
        <w:pStyle w:val="TOC8"/>
        <w:rPr>
          <w:rFonts w:asciiTheme="minorHAnsi" w:eastAsiaTheme="minorEastAsia" w:hAnsiTheme="minorHAnsi" w:cstheme="minorBidi"/>
          <w:szCs w:val="22"/>
        </w:rPr>
      </w:pPr>
      <w:r>
        <w:t>175</w:t>
      </w:r>
      <w:r>
        <w:rPr>
          <w:snapToGrid w:val="0"/>
        </w:rPr>
        <w:t>.</w:t>
      </w:r>
      <w:r>
        <w:rPr>
          <w:snapToGrid w:val="0"/>
        </w:rPr>
        <w:tab/>
        <w:t>Principal contractor and sub</w:t>
      </w:r>
      <w:r>
        <w:rPr>
          <w:snapToGrid w:val="0"/>
        </w:rPr>
        <w:noBreakHyphen/>
        <w:t>contractor deemed employers</w:t>
      </w:r>
      <w:r>
        <w:tab/>
      </w:r>
      <w:r>
        <w:fldChar w:fldCharType="begin"/>
      </w:r>
      <w:r>
        <w:instrText xml:space="preserve"> PAGEREF _Toc390078524 \h </w:instrText>
      </w:r>
      <w:r>
        <w:fldChar w:fldCharType="separate"/>
      </w:r>
      <w:r>
        <w:t>238</w:t>
      </w:r>
      <w:r>
        <w:fldChar w:fldCharType="end"/>
      </w:r>
    </w:p>
    <w:p>
      <w:pPr>
        <w:pStyle w:val="TOC8"/>
        <w:rPr>
          <w:rFonts w:asciiTheme="minorHAnsi" w:eastAsiaTheme="minorEastAsia" w:hAnsiTheme="minorHAnsi" w:cstheme="minorBidi"/>
          <w:szCs w:val="22"/>
        </w:rPr>
      </w:pPr>
      <w:r>
        <w:t>175AA.</w:t>
      </w:r>
      <w:r>
        <w:tab/>
        <w:t>Certain persons deemed workers</w:t>
      </w:r>
      <w:r>
        <w:tab/>
      </w:r>
      <w:r>
        <w:fldChar w:fldCharType="begin"/>
      </w:r>
      <w:r>
        <w:instrText xml:space="preserve"> PAGEREF _Toc390078525 \h </w:instrText>
      </w:r>
      <w:r>
        <w:fldChar w:fldCharType="separate"/>
      </w:r>
      <w:r>
        <w:t>240</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Inspectors</w:t>
      </w:r>
    </w:p>
    <w:p>
      <w:pPr>
        <w:pStyle w:val="TOC8"/>
        <w:rPr>
          <w:rFonts w:asciiTheme="minorHAnsi" w:eastAsiaTheme="minorEastAsia" w:hAnsiTheme="minorHAnsi" w:cstheme="minorBidi"/>
          <w:szCs w:val="22"/>
        </w:rPr>
      </w:pPr>
      <w:r>
        <w:t>175A</w:t>
      </w:r>
      <w:r>
        <w:rPr>
          <w:snapToGrid w:val="0"/>
        </w:rPr>
        <w:t>.</w:t>
      </w:r>
      <w:r>
        <w:rPr>
          <w:snapToGrid w:val="0"/>
        </w:rPr>
        <w:tab/>
        <w:t>Authorisation</w:t>
      </w:r>
      <w:r>
        <w:tab/>
      </w:r>
      <w:r>
        <w:fldChar w:fldCharType="begin"/>
      </w:r>
      <w:r>
        <w:instrText xml:space="preserve"> PAGEREF _Toc390078527 \h </w:instrText>
      </w:r>
      <w:r>
        <w:fldChar w:fldCharType="separate"/>
      </w:r>
      <w:r>
        <w:t>242</w:t>
      </w:r>
      <w:r>
        <w:fldChar w:fldCharType="end"/>
      </w:r>
    </w:p>
    <w:p>
      <w:pPr>
        <w:pStyle w:val="TOC8"/>
        <w:rPr>
          <w:rFonts w:asciiTheme="minorHAnsi" w:eastAsiaTheme="minorEastAsia" w:hAnsiTheme="minorHAnsi" w:cstheme="minorBidi"/>
          <w:szCs w:val="22"/>
        </w:rPr>
      </w:pPr>
      <w:r>
        <w:t>175B</w:t>
      </w:r>
      <w:r>
        <w:rPr>
          <w:snapToGrid w:val="0"/>
        </w:rPr>
        <w:t>.</w:t>
      </w:r>
      <w:r>
        <w:rPr>
          <w:snapToGrid w:val="0"/>
        </w:rPr>
        <w:tab/>
        <w:t>Powers</w:t>
      </w:r>
      <w:r>
        <w:tab/>
      </w:r>
      <w:r>
        <w:fldChar w:fldCharType="begin"/>
      </w:r>
      <w:r>
        <w:instrText xml:space="preserve"> PAGEREF _Toc390078528 \h </w:instrText>
      </w:r>
      <w:r>
        <w:fldChar w:fldCharType="separate"/>
      </w:r>
      <w:r>
        <w:t>243</w:t>
      </w:r>
      <w:r>
        <w:fldChar w:fldCharType="end"/>
      </w:r>
    </w:p>
    <w:p>
      <w:pPr>
        <w:pStyle w:val="TOC8"/>
        <w:rPr>
          <w:rFonts w:asciiTheme="minorHAnsi" w:eastAsiaTheme="minorEastAsia" w:hAnsiTheme="minorHAnsi" w:cstheme="minorBidi"/>
          <w:szCs w:val="22"/>
        </w:rPr>
      </w:pPr>
      <w:r>
        <w:t>175C</w:t>
      </w:r>
      <w:r>
        <w:rPr>
          <w:snapToGrid w:val="0"/>
        </w:rPr>
        <w:t>.</w:t>
      </w:r>
      <w:r>
        <w:rPr>
          <w:snapToGrid w:val="0"/>
        </w:rPr>
        <w:tab/>
        <w:t>Interpreters</w:t>
      </w:r>
      <w:r>
        <w:tab/>
      </w:r>
      <w:r>
        <w:fldChar w:fldCharType="begin"/>
      </w:r>
      <w:r>
        <w:instrText xml:space="preserve"> PAGEREF _Toc390078529 \h </w:instrText>
      </w:r>
      <w:r>
        <w:fldChar w:fldCharType="separate"/>
      </w:r>
      <w:r>
        <w:t>245</w:t>
      </w:r>
      <w:r>
        <w:fldChar w:fldCharType="end"/>
      </w:r>
    </w:p>
    <w:p>
      <w:pPr>
        <w:pStyle w:val="TOC8"/>
        <w:rPr>
          <w:rFonts w:asciiTheme="minorHAnsi" w:eastAsiaTheme="minorEastAsia" w:hAnsiTheme="minorHAnsi" w:cstheme="minorBidi"/>
          <w:szCs w:val="22"/>
        </w:rPr>
      </w:pPr>
      <w:r>
        <w:t>175D</w:t>
      </w:r>
      <w:r>
        <w:rPr>
          <w:snapToGrid w:val="0"/>
        </w:rPr>
        <w:t>.</w:t>
      </w:r>
      <w:r>
        <w:rPr>
          <w:snapToGrid w:val="0"/>
        </w:rPr>
        <w:tab/>
        <w:t>Offences</w:t>
      </w:r>
      <w:r>
        <w:tab/>
      </w:r>
      <w:r>
        <w:fldChar w:fldCharType="begin"/>
      </w:r>
      <w:r>
        <w:instrText xml:space="preserve"> PAGEREF _Toc390078530 \h </w:instrText>
      </w:r>
      <w:r>
        <w:fldChar w:fldCharType="separate"/>
      </w:r>
      <w:r>
        <w:t>245</w:t>
      </w:r>
      <w:r>
        <w:fldChar w:fldCharType="end"/>
      </w:r>
    </w:p>
    <w:p>
      <w:pPr>
        <w:pStyle w:val="TOC2"/>
        <w:tabs>
          <w:tab w:val="right" w:leader="dot" w:pos="7086"/>
        </w:tabs>
        <w:rPr>
          <w:rFonts w:asciiTheme="minorHAnsi" w:eastAsiaTheme="minorEastAsia" w:hAnsiTheme="minorHAnsi" w:cstheme="minorBidi"/>
          <w:b w:val="0"/>
          <w:sz w:val="22"/>
          <w:szCs w:val="22"/>
        </w:rPr>
      </w:pPr>
      <w:r>
        <w:t>Part XA — Infringement notices and modified penalties</w:t>
      </w:r>
    </w:p>
    <w:p>
      <w:pPr>
        <w:pStyle w:val="TOC8"/>
        <w:rPr>
          <w:rFonts w:asciiTheme="minorHAnsi" w:eastAsiaTheme="minorEastAsia" w:hAnsiTheme="minorHAnsi" w:cstheme="minorBidi"/>
          <w:szCs w:val="22"/>
        </w:rPr>
      </w:pPr>
      <w:r>
        <w:t>175E.</w:t>
      </w:r>
      <w:r>
        <w:tab/>
        <w:t>Definitions</w:t>
      </w:r>
      <w:r>
        <w:tab/>
      </w:r>
      <w:r>
        <w:fldChar w:fldCharType="begin"/>
      </w:r>
      <w:r>
        <w:instrText xml:space="preserve"> PAGEREF _Toc390078532 \h </w:instrText>
      </w:r>
      <w:r>
        <w:fldChar w:fldCharType="separate"/>
      </w:r>
      <w:r>
        <w:t>247</w:t>
      </w:r>
      <w:r>
        <w:fldChar w:fldCharType="end"/>
      </w:r>
    </w:p>
    <w:p>
      <w:pPr>
        <w:pStyle w:val="TOC8"/>
        <w:rPr>
          <w:rFonts w:asciiTheme="minorHAnsi" w:eastAsiaTheme="minorEastAsia" w:hAnsiTheme="minorHAnsi" w:cstheme="minorBidi"/>
          <w:szCs w:val="22"/>
        </w:rPr>
      </w:pPr>
      <w:r>
        <w:t>175F.</w:t>
      </w:r>
      <w:r>
        <w:tab/>
        <w:t>Authorised officers</w:t>
      </w:r>
      <w:r>
        <w:tab/>
      </w:r>
      <w:r>
        <w:fldChar w:fldCharType="begin"/>
      </w:r>
      <w:r>
        <w:instrText xml:space="preserve"> PAGEREF _Toc390078533 \h </w:instrText>
      </w:r>
      <w:r>
        <w:fldChar w:fldCharType="separate"/>
      </w:r>
      <w:r>
        <w:t>247</w:t>
      </w:r>
      <w:r>
        <w:fldChar w:fldCharType="end"/>
      </w:r>
    </w:p>
    <w:p>
      <w:pPr>
        <w:pStyle w:val="TOC8"/>
        <w:rPr>
          <w:rFonts w:asciiTheme="minorHAnsi" w:eastAsiaTheme="minorEastAsia" w:hAnsiTheme="minorHAnsi" w:cstheme="minorBidi"/>
          <w:szCs w:val="22"/>
        </w:rPr>
      </w:pPr>
      <w:r>
        <w:t>175G.</w:t>
      </w:r>
      <w:r>
        <w:tab/>
        <w:t>Giving of notice</w:t>
      </w:r>
      <w:r>
        <w:tab/>
      </w:r>
      <w:r>
        <w:fldChar w:fldCharType="begin"/>
      </w:r>
      <w:r>
        <w:instrText xml:space="preserve"> PAGEREF _Toc390078534 \h </w:instrText>
      </w:r>
      <w:r>
        <w:fldChar w:fldCharType="separate"/>
      </w:r>
      <w:r>
        <w:t>248</w:t>
      </w:r>
      <w:r>
        <w:fldChar w:fldCharType="end"/>
      </w:r>
    </w:p>
    <w:p>
      <w:pPr>
        <w:pStyle w:val="TOC8"/>
        <w:rPr>
          <w:rFonts w:asciiTheme="minorHAnsi" w:eastAsiaTheme="minorEastAsia" w:hAnsiTheme="minorHAnsi" w:cstheme="minorBidi"/>
          <w:szCs w:val="22"/>
        </w:rPr>
      </w:pPr>
      <w:r>
        <w:t>175H.</w:t>
      </w:r>
      <w:r>
        <w:tab/>
        <w:t>Content of notice</w:t>
      </w:r>
      <w:r>
        <w:tab/>
      </w:r>
      <w:r>
        <w:fldChar w:fldCharType="begin"/>
      </w:r>
      <w:r>
        <w:instrText xml:space="preserve"> PAGEREF _Toc390078535 \h </w:instrText>
      </w:r>
      <w:r>
        <w:fldChar w:fldCharType="separate"/>
      </w:r>
      <w:r>
        <w:t>248</w:t>
      </w:r>
      <w:r>
        <w:fldChar w:fldCharType="end"/>
      </w:r>
    </w:p>
    <w:p>
      <w:pPr>
        <w:pStyle w:val="TOC8"/>
        <w:rPr>
          <w:rFonts w:asciiTheme="minorHAnsi" w:eastAsiaTheme="minorEastAsia" w:hAnsiTheme="minorHAnsi" w:cstheme="minorBidi"/>
          <w:szCs w:val="22"/>
        </w:rPr>
      </w:pPr>
      <w:r>
        <w:t>175I.</w:t>
      </w:r>
      <w:r>
        <w:tab/>
        <w:t>Extension of time</w:t>
      </w:r>
      <w:r>
        <w:tab/>
      </w:r>
      <w:r>
        <w:fldChar w:fldCharType="begin"/>
      </w:r>
      <w:r>
        <w:instrText xml:space="preserve"> PAGEREF _Toc390078536 \h </w:instrText>
      </w:r>
      <w:r>
        <w:fldChar w:fldCharType="separate"/>
      </w:r>
      <w:r>
        <w:t>249</w:t>
      </w:r>
      <w:r>
        <w:fldChar w:fldCharType="end"/>
      </w:r>
    </w:p>
    <w:p>
      <w:pPr>
        <w:pStyle w:val="TOC8"/>
        <w:rPr>
          <w:rFonts w:asciiTheme="minorHAnsi" w:eastAsiaTheme="minorEastAsia" w:hAnsiTheme="minorHAnsi" w:cstheme="minorBidi"/>
          <w:szCs w:val="22"/>
        </w:rPr>
      </w:pPr>
      <w:r>
        <w:t>175J.</w:t>
      </w:r>
      <w:r>
        <w:tab/>
        <w:t>Withdrawal of notice</w:t>
      </w:r>
      <w:r>
        <w:tab/>
      </w:r>
      <w:r>
        <w:fldChar w:fldCharType="begin"/>
      </w:r>
      <w:r>
        <w:instrText xml:space="preserve"> PAGEREF _Toc390078537 \h </w:instrText>
      </w:r>
      <w:r>
        <w:fldChar w:fldCharType="separate"/>
      </w:r>
      <w:r>
        <w:t>249</w:t>
      </w:r>
      <w:r>
        <w:fldChar w:fldCharType="end"/>
      </w:r>
    </w:p>
    <w:p>
      <w:pPr>
        <w:pStyle w:val="TOC8"/>
        <w:rPr>
          <w:rFonts w:asciiTheme="minorHAnsi" w:eastAsiaTheme="minorEastAsia" w:hAnsiTheme="minorHAnsi" w:cstheme="minorBidi"/>
          <w:szCs w:val="22"/>
        </w:rPr>
      </w:pPr>
      <w:r>
        <w:t>175K.</w:t>
      </w:r>
      <w:r>
        <w:tab/>
        <w:t>Benefit of paying modified penalty</w:t>
      </w:r>
      <w:r>
        <w:tab/>
      </w:r>
      <w:r>
        <w:fldChar w:fldCharType="begin"/>
      </w:r>
      <w:r>
        <w:instrText xml:space="preserve"> PAGEREF _Toc390078538 \h </w:instrText>
      </w:r>
      <w:r>
        <w:fldChar w:fldCharType="separate"/>
      </w:r>
      <w:r>
        <w:t>249</w:t>
      </w:r>
      <w:r>
        <w:fldChar w:fldCharType="end"/>
      </w:r>
    </w:p>
    <w:p>
      <w:pPr>
        <w:pStyle w:val="TOC8"/>
        <w:rPr>
          <w:rFonts w:asciiTheme="minorHAnsi" w:eastAsiaTheme="minorEastAsia" w:hAnsiTheme="minorHAnsi" w:cstheme="minorBidi"/>
          <w:szCs w:val="22"/>
        </w:rPr>
      </w:pPr>
      <w:r>
        <w:t>175L.</w:t>
      </w:r>
      <w:r>
        <w:tab/>
        <w:t>No admission implied by payment</w:t>
      </w:r>
      <w:r>
        <w:tab/>
      </w:r>
      <w:r>
        <w:fldChar w:fldCharType="begin"/>
      </w:r>
      <w:r>
        <w:instrText xml:space="preserve"> PAGEREF _Toc390078539 \h </w:instrText>
      </w:r>
      <w:r>
        <w:fldChar w:fldCharType="separate"/>
      </w:r>
      <w:r>
        <w:t>249</w:t>
      </w:r>
      <w:r>
        <w:fldChar w:fldCharType="end"/>
      </w:r>
    </w:p>
    <w:p>
      <w:pPr>
        <w:pStyle w:val="TOC8"/>
        <w:rPr>
          <w:rFonts w:asciiTheme="minorHAnsi" w:eastAsiaTheme="minorEastAsia" w:hAnsiTheme="minorHAnsi" w:cstheme="minorBidi"/>
          <w:szCs w:val="22"/>
        </w:rPr>
      </w:pPr>
      <w:r>
        <w:t>175M.</w:t>
      </w:r>
      <w:r>
        <w:tab/>
        <w:t>Application of penalties collected</w:t>
      </w:r>
      <w:r>
        <w:tab/>
      </w:r>
      <w:r>
        <w:fldChar w:fldCharType="begin"/>
      </w:r>
      <w:r>
        <w:instrText xml:space="preserve"> PAGEREF _Toc390078540 \h </w:instrText>
      </w:r>
      <w:r>
        <w:fldChar w:fldCharType="separate"/>
      </w:r>
      <w:r>
        <w:t>250</w:t>
      </w:r>
      <w:r>
        <w:fldChar w:fldCharType="end"/>
      </w:r>
    </w:p>
    <w:p>
      <w:pPr>
        <w:pStyle w:val="TOC2"/>
        <w:tabs>
          <w:tab w:val="right" w:leader="dot" w:pos="7086"/>
        </w:tabs>
        <w:rPr>
          <w:rFonts w:asciiTheme="minorHAnsi" w:eastAsiaTheme="minorEastAsia" w:hAnsiTheme="minorHAnsi" w:cstheme="minorBidi"/>
          <w:b w:val="0"/>
          <w:sz w:val="22"/>
          <w:szCs w:val="22"/>
        </w:rPr>
      </w:pPr>
      <w:r>
        <w:t>Part XI</w:t>
      </w:r>
      <w:r>
        <w:rPr>
          <w:b w:val="0"/>
        </w:rPr>
        <w:t> </w:t>
      </w:r>
      <w:r>
        <w:t>—</w:t>
      </w:r>
      <w:r>
        <w:rPr>
          <w:b w:val="0"/>
        </w:rPr>
        <w:t> </w:t>
      </w:r>
      <w:r>
        <w:t>Dispute resolution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176.</w:t>
      </w:r>
      <w:r>
        <w:tab/>
        <w:t>Exclusive jurisdiction</w:t>
      </w:r>
      <w:r>
        <w:tab/>
      </w:r>
      <w:r>
        <w:fldChar w:fldCharType="begin"/>
      </w:r>
      <w:r>
        <w:instrText xml:space="preserve"> PAGEREF _Toc390078543 \h </w:instrText>
      </w:r>
      <w:r>
        <w:fldChar w:fldCharType="separate"/>
      </w:r>
      <w:r>
        <w:t>251</w:t>
      </w:r>
      <w:r>
        <w:fldChar w:fldCharType="end"/>
      </w:r>
    </w:p>
    <w:p>
      <w:pPr>
        <w:pStyle w:val="TOC8"/>
        <w:rPr>
          <w:rFonts w:asciiTheme="minorHAnsi" w:eastAsiaTheme="minorEastAsia" w:hAnsiTheme="minorHAnsi" w:cstheme="minorBidi"/>
          <w:szCs w:val="22"/>
        </w:rPr>
      </w:pPr>
      <w:r>
        <w:t>177.</w:t>
      </w:r>
      <w:r>
        <w:tab/>
        <w:t>Evidence of communication between worker and injury management officer</w:t>
      </w:r>
      <w:r>
        <w:tab/>
      </w:r>
      <w:r>
        <w:fldChar w:fldCharType="begin"/>
      </w:r>
      <w:r>
        <w:instrText xml:space="preserve"> PAGEREF _Toc390078544 \h </w:instrText>
      </w:r>
      <w:r>
        <w:fldChar w:fldCharType="separate"/>
      </w:r>
      <w:r>
        <w:t>251</w:t>
      </w:r>
      <w:r>
        <w:fldChar w:fldCharType="end"/>
      </w:r>
    </w:p>
    <w:p>
      <w:pPr>
        <w:pStyle w:val="TOC4"/>
        <w:tabs>
          <w:tab w:val="right" w:leader="dot" w:pos="7086"/>
        </w:tabs>
        <w:rPr>
          <w:rFonts w:asciiTheme="minorHAnsi" w:eastAsiaTheme="minorEastAsia" w:hAnsiTheme="minorHAnsi" w:cstheme="minorBidi"/>
          <w:b w:val="0"/>
          <w:szCs w:val="22"/>
        </w:rPr>
      </w:pPr>
      <w:r>
        <w:t>Division 2 — Requirements before commencing proceeding</w:t>
      </w:r>
    </w:p>
    <w:p>
      <w:pPr>
        <w:pStyle w:val="TOC8"/>
        <w:rPr>
          <w:rFonts w:asciiTheme="minorHAnsi" w:eastAsiaTheme="minorEastAsia" w:hAnsiTheme="minorHAnsi" w:cstheme="minorBidi"/>
          <w:szCs w:val="22"/>
        </w:rPr>
      </w:pPr>
      <w:r>
        <w:t>178.</w:t>
      </w:r>
      <w:r>
        <w:tab/>
        <w:t>Notice of injury and claim</w:t>
      </w:r>
      <w:r>
        <w:tab/>
      </w:r>
      <w:r>
        <w:fldChar w:fldCharType="begin"/>
      </w:r>
      <w:r>
        <w:instrText xml:space="preserve"> PAGEREF _Toc390078546 \h </w:instrText>
      </w:r>
      <w:r>
        <w:fldChar w:fldCharType="separate"/>
      </w:r>
      <w:r>
        <w:t>252</w:t>
      </w:r>
      <w:r>
        <w:fldChar w:fldCharType="end"/>
      </w:r>
    </w:p>
    <w:p>
      <w:pPr>
        <w:pStyle w:val="TOC8"/>
        <w:rPr>
          <w:rFonts w:asciiTheme="minorHAnsi" w:eastAsiaTheme="minorEastAsia" w:hAnsiTheme="minorHAnsi" w:cstheme="minorBidi"/>
          <w:szCs w:val="22"/>
        </w:rPr>
      </w:pPr>
      <w:r>
        <w:t>179.</w:t>
      </w:r>
      <w:r>
        <w:tab/>
        <w:t>Service of notice of injury</w:t>
      </w:r>
      <w:r>
        <w:tab/>
      </w:r>
      <w:r>
        <w:fldChar w:fldCharType="begin"/>
      </w:r>
      <w:r>
        <w:instrText xml:space="preserve"> PAGEREF _Toc390078547 \h </w:instrText>
      </w:r>
      <w:r>
        <w:fldChar w:fldCharType="separate"/>
      </w:r>
      <w:r>
        <w:t>253</w:t>
      </w:r>
      <w:r>
        <w:fldChar w:fldCharType="end"/>
      </w:r>
    </w:p>
    <w:p>
      <w:pPr>
        <w:pStyle w:val="TOC8"/>
        <w:rPr>
          <w:rFonts w:asciiTheme="minorHAnsi" w:eastAsiaTheme="minorEastAsia" w:hAnsiTheme="minorHAnsi" w:cstheme="minorBidi"/>
          <w:szCs w:val="22"/>
        </w:rPr>
      </w:pPr>
      <w:r>
        <w:t>180.</w:t>
      </w:r>
      <w:r>
        <w:tab/>
        <w:t>Provision of certain documents before commencement of proceeding</w:t>
      </w:r>
      <w:r>
        <w:tab/>
      </w:r>
      <w:r>
        <w:fldChar w:fldCharType="begin"/>
      </w:r>
      <w:r>
        <w:instrText xml:space="preserve"> PAGEREF _Toc390078548 \h </w:instrText>
      </w:r>
      <w:r>
        <w:fldChar w:fldCharType="separate"/>
      </w:r>
      <w:r>
        <w:t>254</w:t>
      </w:r>
      <w:r>
        <w:fldChar w:fldCharType="end"/>
      </w:r>
    </w:p>
    <w:p>
      <w:pPr>
        <w:pStyle w:val="TOC4"/>
        <w:tabs>
          <w:tab w:val="right" w:leader="dot" w:pos="7086"/>
        </w:tabs>
        <w:rPr>
          <w:rFonts w:asciiTheme="minorHAnsi" w:eastAsiaTheme="minorEastAsia" w:hAnsiTheme="minorHAnsi" w:cstheme="minorBidi"/>
          <w:b w:val="0"/>
          <w:szCs w:val="22"/>
        </w:rPr>
      </w:pPr>
      <w:r>
        <w:t>Division 3 — Proceedings before an arbitrator</w:t>
      </w:r>
    </w:p>
    <w:p>
      <w:pPr>
        <w:pStyle w:val="TOC8"/>
        <w:rPr>
          <w:rFonts w:asciiTheme="minorHAnsi" w:eastAsiaTheme="minorEastAsia" w:hAnsiTheme="minorHAnsi" w:cstheme="minorBidi"/>
          <w:szCs w:val="22"/>
        </w:rPr>
      </w:pPr>
      <w:r>
        <w:t>181.</w:t>
      </w:r>
      <w:r>
        <w:tab/>
        <w:t>Arbitrators to determine disputes</w:t>
      </w:r>
      <w:r>
        <w:tab/>
      </w:r>
      <w:r>
        <w:fldChar w:fldCharType="begin"/>
      </w:r>
      <w:r>
        <w:instrText xml:space="preserve"> PAGEREF _Toc390078550 \h </w:instrText>
      </w:r>
      <w:r>
        <w:fldChar w:fldCharType="separate"/>
      </w:r>
      <w:r>
        <w:t>256</w:t>
      </w:r>
      <w:r>
        <w:fldChar w:fldCharType="end"/>
      </w:r>
    </w:p>
    <w:p>
      <w:pPr>
        <w:pStyle w:val="TOC8"/>
        <w:rPr>
          <w:rFonts w:asciiTheme="minorHAnsi" w:eastAsiaTheme="minorEastAsia" w:hAnsiTheme="minorHAnsi" w:cstheme="minorBidi"/>
          <w:szCs w:val="22"/>
        </w:rPr>
      </w:pPr>
      <w:r>
        <w:t>182.</w:t>
      </w:r>
      <w:r>
        <w:tab/>
        <w:t>Who is to be given a copy of an application</w:t>
      </w:r>
      <w:r>
        <w:tab/>
      </w:r>
      <w:r>
        <w:fldChar w:fldCharType="begin"/>
      </w:r>
      <w:r>
        <w:instrText xml:space="preserve"> PAGEREF _Toc390078551 \h </w:instrText>
      </w:r>
      <w:r>
        <w:fldChar w:fldCharType="separate"/>
      </w:r>
      <w:r>
        <w:t>257</w:t>
      </w:r>
      <w:r>
        <w:fldChar w:fldCharType="end"/>
      </w:r>
    </w:p>
    <w:p>
      <w:pPr>
        <w:pStyle w:val="TOC8"/>
        <w:rPr>
          <w:rFonts w:asciiTheme="minorHAnsi" w:eastAsiaTheme="minorEastAsia" w:hAnsiTheme="minorHAnsi" w:cstheme="minorBidi"/>
          <w:szCs w:val="22"/>
        </w:rPr>
      </w:pPr>
      <w:r>
        <w:t>183.</w:t>
      </w:r>
      <w:r>
        <w:tab/>
        <w:t>Information exchange between parties</w:t>
      </w:r>
      <w:r>
        <w:tab/>
      </w:r>
      <w:r>
        <w:fldChar w:fldCharType="begin"/>
      </w:r>
      <w:r>
        <w:instrText xml:space="preserve"> PAGEREF _Toc390078552 \h </w:instrText>
      </w:r>
      <w:r>
        <w:fldChar w:fldCharType="separate"/>
      </w:r>
      <w:r>
        <w:t>257</w:t>
      </w:r>
      <w:r>
        <w:fldChar w:fldCharType="end"/>
      </w:r>
    </w:p>
    <w:p>
      <w:pPr>
        <w:pStyle w:val="TOC8"/>
        <w:rPr>
          <w:rFonts w:asciiTheme="minorHAnsi" w:eastAsiaTheme="minorEastAsia" w:hAnsiTheme="minorHAnsi" w:cstheme="minorBidi"/>
          <w:szCs w:val="22"/>
        </w:rPr>
      </w:pPr>
      <w:r>
        <w:t>184.</w:t>
      </w:r>
      <w:r>
        <w:tab/>
        <w:t>Interim assessment and minor claims</w:t>
      </w:r>
      <w:r>
        <w:tab/>
      </w:r>
      <w:r>
        <w:fldChar w:fldCharType="begin"/>
      </w:r>
      <w:r>
        <w:instrText xml:space="preserve"> PAGEREF _Toc390078553 \h </w:instrText>
      </w:r>
      <w:r>
        <w:fldChar w:fldCharType="separate"/>
      </w:r>
      <w:r>
        <w:t>259</w:t>
      </w:r>
      <w:r>
        <w:fldChar w:fldCharType="end"/>
      </w:r>
    </w:p>
    <w:p>
      <w:pPr>
        <w:pStyle w:val="TOC8"/>
        <w:rPr>
          <w:rFonts w:asciiTheme="minorHAnsi" w:eastAsiaTheme="minorEastAsia" w:hAnsiTheme="minorHAnsi" w:cstheme="minorBidi"/>
          <w:szCs w:val="22"/>
        </w:rPr>
      </w:pPr>
      <w:r>
        <w:t>185.</w:t>
      </w:r>
      <w:r>
        <w:tab/>
        <w:t>Arbitrator to attempt conciliation</w:t>
      </w:r>
      <w:r>
        <w:tab/>
      </w:r>
      <w:r>
        <w:fldChar w:fldCharType="begin"/>
      </w:r>
      <w:r>
        <w:instrText xml:space="preserve"> PAGEREF _Toc390078554 \h </w:instrText>
      </w:r>
      <w:r>
        <w:fldChar w:fldCharType="separate"/>
      </w:r>
      <w:r>
        <w:t>259</w:t>
      </w:r>
      <w:r>
        <w:fldChar w:fldCharType="end"/>
      </w:r>
    </w:p>
    <w:p>
      <w:pPr>
        <w:pStyle w:val="TOC8"/>
        <w:rPr>
          <w:rFonts w:asciiTheme="minorHAnsi" w:eastAsiaTheme="minorEastAsia" w:hAnsiTheme="minorHAnsi" w:cstheme="minorBidi"/>
          <w:szCs w:val="22"/>
        </w:rPr>
      </w:pPr>
      <w:r>
        <w:t>186.</w:t>
      </w:r>
      <w:r>
        <w:tab/>
        <w:t>Arbitrator may review decision</w:t>
      </w:r>
      <w:r>
        <w:tab/>
      </w:r>
      <w:r>
        <w:fldChar w:fldCharType="begin"/>
      </w:r>
      <w:r>
        <w:instrText xml:space="preserve"> PAGEREF _Toc390078555 \h </w:instrText>
      </w:r>
      <w:r>
        <w:fldChar w:fldCharType="separate"/>
      </w:r>
      <w:r>
        <w:t>260</w:t>
      </w:r>
      <w:r>
        <w:fldChar w:fldCharType="end"/>
      </w:r>
    </w:p>
    <w:p>
      <w:pPr>
        <w:pStyle w:val="TOC8"/>
        <w:rPr>
          <w:rFonts w:asciiTheme="minorHAnsi" w:eastAsiaTheme="minorEastAsia" w:hAnsiTheme="minorHAnsi" w:cstheme="minorBidi"/>
          <w:szCs w:val="22"/>
        </w:rPr>
      </w:pPr>
      <w:r>
        <w:t>187.</w:t>
      </w:r>
      <w:r>
        <w:tab/>
        <w:t>Decisions of arbitrator</w:t>
      </w:r>
      <w:r>
        <w:tab/>
      </w:r>
      <w:r>
        <w:fldChar w:fldCharType="begin"/>
      </w:r>
      <w:r>
        <w:instrText xml:space="preserve"> PAGEREF _Toc390078556 \h </w:instrText>
      </w:r>
      <w:r>
        <w:fldChar w:fldCharType="separate"/>
      </w:r>
      <w:r>
        <w:t>260</w:t>
      </w:r>
      <w:r>
        <w:fldChar w:fldCharType="end"/>
      </w:r>
    </w:p>
    <w:p>
      <w:pPr>
        <w:pStyle w:val="TOC4"/>
        <w:tabs>
          <w:tab w:val="right" w:leader="dot" w:pos="7086"/>
        </w:tabs>
        <w:rPr>
          <w:rFonts w:asciiTheme="minorHAnsi" w:eastAsiaTheme="minorEastAsia" w:hAnsiTheme="minorHAnsi" w:cstheme="minorBidi"/>
          <w:b w:val="0"/>
          <w:szCs w:val="22"/>
        </w:rPr>
      </w:pPr>
      <w:r>
        <w:t>Division 4 — Practice and procedure</w:t>
      </w:r>
    </w:p>
    <w:p>
      <w:pPr>
        <w:pStyle w:val="TOC8"/>
        <w:rPr>
          <w:rFonts w:asciiTheme="minorHAnsi" w:eastAsiaTheme="minorEastAsia" w:hAnsiTheme="minorHAnsi" w:cstheme="minorBidi"/>
          <w:szCs w:val="22"/>
        </w:rPr>
      </w:pPr>
      <w:r>
        <w:t>188.</w:t>
      </w:r>
      <w:r>
        <w:tab/>
        <w:t>Practice and procedure, generally</w:t>
      </w:r>
      <w:r>
        <w:tab/>
      </w:r>
      <w:r>
        <w:fldChar w:fldCharType="begin"/>
      </w:r>
      <w:r>
        <w:instrText xml:space="preserve"> PAGEREF _Toc390078558 \h </w:instrText>
      </w:r>
      <w:r>
        <w:fldChar w:fldCharType="separate"/>
      </w:r>
      <w:r>
        <w:t>261</w:t>
      </w:r>
      <w:r>
        <w:fldChar w:fldCharType="end"/>
      </w:r>
    </w:p>
    <w:p>
      <w:pPr>
        <w:pStyle w:val="TOC8"/>
        <w:rPr>
          <w:rFonts w:asciiTheme="minorHAnsi" w:eastAsiaTheme="minorEastAsia" w:hAnsiTheme="minorHAnsi" w:cstheme="minorBidi"/>
          <w:szCs w:val="22"/>
        </w:rPr>
      </w:pPr>
      <w:r>
        <w:t>189.</w:t>
      </w:r>
      <w:r>
        <w:tab/>
        <w:t>Relief or redress not restricted to claim</w:t>
      </w:r>
      <w:r>
        <w:tab/>
      </w:r>
      <w:r>
        <w:fldChar w:fldCharType="begin"/>
      </w:r>
      <w:r>
        <w:instrText xml:space="preserve"> PAGEREF _Toc390078559 \h </w:instrText>
      </w:r>
      <w:r>
        <w:fldChar w:fldCharType="separate"/>
      </w:r>
      <w:r>
        <w:t>262</w:t>
      </w:r>
      <w:r>
        <w:fldChar w:fldCharType="end"/>
      </w:r>
    </w:p>
    <w:p>
      <w:pPr>
        <w:pStyle w:val="TOC8"/>
        <w:rPr>
          <w:rFonts w:asciiTheme="minorHAnsi" w:eastAsiaTheme="minorEastAsia" w:hAnsiTheme="minorHAnsi" w:cstheme="minorBidi"/>
          <w:szCs w:val="22"/>
        </w:rPr>
      </w:pPr>
      <w:r>
        <w:t>190.</w:t>
      </w:r>
      <w:r>
        <w:tab/>
        <w:t>Directions</w:t>
      </w:r>
      <w:r>
        <w:tab/>
      </w:r>
      <w:r>
        <w:fldChar w:fldCharType="begin"/>
      </w:r>
      <w:r>
        <w:instrText xml:space="preserve"> PAGEREF _Toc390078560 \h </w:instrText>
      </w:r>
      <w:r>
        <w:fldChar w:fldCharType="separate"/>
      </w:r>
      <w:r>
        <w:t>262</w:t>
      </w:r>
      <w:r>
        <w:fldChar w:fldCharType="end"/>
      </w:r>
    </w:p>
    <w:p>
      <w:pPr>
        <w:pStyle w:val="TOC8"/>
        <w:rPr>
          <w:rFonts w:asciiTheme="minorHAnsi" w:eastAsiaTheme="minorEastAsia" w:hAnsiTheme="minorHAnsi" w:cstheme="minorBidi"/>
          <w:szCs w:val="22"/>
        </w:rPr>
      </w:pPr>
      <w:r>
        <w:t>191.</w:t>
      </w:r>
      <w:r>
        <w:tab/>
        <w:t>Dependants</w:t>
      </w:r>
      <w:r>
        <w:tab/>
      </w:r>
      <w:r>
        <w:fldChar w:fldCharType="begin"/>
      </w:r>
      <w:r>
        <w:instrText xml:space="preserve"> PAGEREF _Toc390078561 \h </w:instrText>
      </w:r>
      <w:r>
        <w:fldChar w:fldCharType="separate"/>
      </w:r>
      <w:r>
        <w:t>262</w:t>
      </w:r>
      <w:r>
        <w:fldChar w:fldCharType="end"/>
      </w:r>
    </w:p>
    <w:p>
      <w:pPr>
        <w:pStyle w:val="TOC8"/>
        <w:rPr>
          <w:rFonts w:asciiTheme="minorHAnsi" w:eastAsiaTheme="minorEastAsia" w:hAnsiTheme="minorHAnsi" w:cstheme="minorBidi"/>
          <w:szCs w:val="22"/>
        </w:rPr>
      </w:pPr>
      <w:r>
        <w:t>192.</w:t>
      </w:r>
      <w:r>
        <w:tab/>
        <w:t>Arbitrator may regard illegal contracts of employment as valid</w:t>
      </w:r>
      <w:r>
        <w:tab/>
      </w:r>
      <w:r>
        <w:fldChar w:fldCharType="begin"/>
      </w:r>
      <w:r>
        <w:instrText xml:space="preserve"> PAGEREF _Toc390078562 \h </w:instrText>
      </w:r>
      <w:r>
        <w:fldChar w:fldCharType="separate"/>
      </w:r>
      <w:r>
        <w:t>262</w:t>
      </w:r>
      <w:r>
        <w:fldChar w:fldCharType="end"/>
      </w:r>
    </w:p>
    <w:p>
      <w:pPr>
        <w:pStyle w:val="TOC8"/>
        <w:rPr>
          <w:rFonts w:asciiTheme="minorHAnsi" w:eastAsiaTheme="minorEastAsia" w:hAnsiTheme="minorHAnsi" w:cstheme="minorBidi"/>
          <w:szCs w:val="22"/>
        </w:rPr>
      </w:pPr>
      <w:r>
        <w:t>193.</w:t>
      </w:r>
      <w:r>
        <w:tab/>
        <w:t>Power of arbitrator to require information</w:t>
      </w:r>
      <w:r>
        <w:tab/>
      </w:r>
      <w:r>
        <w:fldChar w:fldCharType="begin"/>
      </w:r>
      <w:r>
        <w:instrText xml:space="preserve"> PAGEREF _Toc390078563 \h </w:instrText>
      </w:r>
      <w:r>
        <w:fldChar w:fldCharType="separate"/>
      </w:r>
      <w:r>
        <w:t>263</w:t>
      </w:r>
      <w:r>
        <w:fldChar w:fldCharType="end"/>
      </w:r>
    </w:p>
    <w:p>
      <w:pPr>
        <w:pStyle w:val="TOC8"/>
        <w:rPr>
          <w:rFonts w:asciiTheme="minorHAnsi" w:eastAsiaTheme="minorEastAsia" w:hAnsiTheme="minorHAnsi" w:cstheme="minorBidi"/>
          <w:szCs w:val="22"/>
        </w:rPr>
      </w:pPr>
      <w:r>
        <w:t>194.</w:t>
      </w:r>
      <w:r>
        <w:tab/>
        <w:t>Arbitrator may provide documents, material and information to party</w:t>
      </w:r>
      <w:r>
        <w:tab/>
      </w:r>
      <w:r>
        <w:fldChar w:fldCharType="begin"/>
      </w:r>
      <w:r>
        <w:instrText xml:space="preserve"> PAGEREF _Toc390078564 \h </w:instrText>
      </w:r>
      <w:r>
        <w:fldChar w:fldCharType="separate"/>
      </w:r>
      <w:r>
        <w:t>264</w:t>
      </w:r>
      <w:r>
        <w:fldChar w:fldCharType="end"/>
      </w:r>
    </w:p>
    <w:p>
      <w:pPr>
        <w:pStyle w:val="TOC8"/>
        <w:rPr>
          <w:rFonts w:asciiTheme="minorHAnsi" w:eastAsiaTheme="minorEastAsia" w:hAnsiTheme="minorHAnsi" w:cstheme="minorBidi"/>
          <w:szCs w:val="22"/>
        </w:rPr>
      </w:pPr>
      <w:r>
        <w:t>195.</w:t>
      </w:r>
      <w:r>
        <w:tab/>
        <w:t>Representation</w:t>
      </w:r>
      <w:r>
        <w:tab/>
      </w:r>
      <w:r>
        <w:fldChar w:fldCharType="begin"/>
      </w:r>
      <w:r>
        <w:instrText xml:space="preserve"> PAGEREF _Toc390078565 \h </w:instrText>
      </w:r>
      <w:r>
        <w:fldChar w:fldCharType="separate"/>
      </w:r>
      <w:r>
        <w:t>265</w:t>
      </w:r>
      <w:r>
        <w:fldChar w:fldCharType="end"/>
      </w:r>
    </w:p>
    <w:p>
      <w:pPr>
        <w:pStyle w:val="TOC8"/>
        <w:rPr>
          <w:rFonts w:asciiTheme="minorHAnsi" w:eastAsiaTheme="minorEastAsia" w:hAnsiTheme="minorHAnsi" w:cstheme="minorBidi"/>
          <w:szCs w:val="22"/>
        </w:rPr>
      </w:pPr>
      <w:r>
        <w:t>196.</w:t>
      </w:r>
      <w:r>
        <w:tab/>
        <w:t>Arbitrator may appoint guardian</w:t>
      </w:r>
      <w:r>
        <w:tab/>
      </w:r>
      <w:r>
        <w:fldChar w:fldCharType="begin"/>
      </w:r>
      <w:r>
        <w:instrText xml:space="preserve"> PAGEREF _Toc390078566 \h </w:instrText>
      </w:r>
      <w:r>
        <w:fldChar w:fldCharType="separate"/>
      </w:r>
      <w:r>
        <w:t>265</w:t>
      </w:r>
      <w:r>
        <w:fldChar w:fldCharType="end"/>
      </w:r>
    </w:p>
    <w:p>
      <w:pPr>
        <w:pStyle w:val="TOC8"/>
        <w:rPr>
          <w:rFonts w:asciiTheme="minorHAnsi" w:eastAsiaTheme="minorEastAsia" w:hAnsiTheme="minorHAnsi" w:cstheme="minorBidi"/>
          <w:szCs w:val="22"/>
        </w:rPr>
      </w:pPr>
      <w:r>
        <w:t>197.</w:t>
      </w:r>
      <w:r>
        <w:tab/>
        <w:t>Interpreters and assistants</w:t>
      </w:r>
      <w:r>
        <w:tab/>
      </w:r>
      <w:r>
        <w:fldChar w:fldCharType="begin"/>
      </w:r>
      <w:r>
        <w:instrText xml:space="preserve"> PAGEREF _Toc390078567 \h </w:instrText>
      </w:r>
      <w:r>
        <w:fldChar w:fldCharType="separate"/>
      </w:r>
      <w:r>
        <w:t>266</w:t>
      </w:r>
      <w:r>
        <w:fldChar w:fldCharType="end"/>
      </w:r>
    </w:p>
    <w:p>
      <w:pPr>
        <w:pStyle w:val="TOC8"/>
        <w:rPr>
          <w:rFonts w:asciiTheme="minorHAnsi" w:eastAsiaTheme="minorEastAsia" w:hAnsiTheme="minorHAnsi" w:cstheme="minorBidi"/>
          <w:szCs w:val="22"/>
        </w:rPr>
      </w:pPr>
      <w:r>
        <w:t>198.</w:t>
      </w:r>
      <w:r>
        <w:tab/>
        <w:t>Electronic hearings and proceedings without hearings</w:t>
      </w:r>
      <w:r>
        <w:tab/>
      </w:r>
      <w:r>
        <w:fldChar w:fldCharType="begin"/>
      </w:r>
      <w:r>
        <w:instrText xml:space="preserve"> PAGEREF _Toc390078568 \h </w:instrText>
      </w:r>
      <w:r>
        <w:fldChar w:fldCharType="separate"/>
      </w:r>
      <w:r>
        <w:t>266</w:t>
      </w:r>
      <w:r>
        <w:fldChar w:fldCharType="end"/>
      </w:r>
    </w:p>
    <w:p>
      <w:pPr>
        <w:pStyle w:val="TOC8"/>
        <w:rPr>
          <w:rFonts w:asciiTheme="minorHAnsi" w:eastAsiaTheme="minorEastAsia" w:hAnsiTheme="minorHAnsi" w:cstheme="minorBidi"/>
          <w:szCs w:val="22"/>
        </w:rPr>
      </w:pPr>
      <w:r>
        <w:t>199.</w:t>
      </w:r>
      <w:r>
        <w:tab/>
        <w:t>Hearings to be held in private</w:t>
      </w:r>
      <w:r>
        <w:tab/>
      </w:r>
      <w:r>
        <w:fldChar w:fldCharType="begin"/>
      </w:r>
      <w:r>
        <w:instrText xml:space="preserve"> PAGEREF _Toc390078569 \h </w:instrText>
      </w:r>
      <w:r>
        <w:fldChar w:fldCharType="separate"/>
      </w:r>
      <w:r>
        <w:t>267</w:t>
      </w:r>
      <w:r>
        <w:fldChar w:fldCharType="end"/>
      </w:r>
    </w:p>
    <w:p>
      <w:pPr>
        <w:pStyle w:val="TOC8"/>
        <w:rPr>
          <w:rFonts w:asciiTheme="minorHAnsi" w:eastAsiaTheme="minorEastAsia" w:hAnsiTheme="minorHAnsi" w:cstheme="minorBidi"/>
          <w:szCs w:val="22"/>
        </w:rPr>
      </w:pPr>
      <w:r>
        <w:t>200.</w:t>
      </w:r>
      <w:r>
        <w:tab/>
        <w:t>Notice of hearings</w:t>
      </w:r>
      <w:r>
        <w:tab/>
      </w:r>
      <w:r>
        <w:fldChar w:fldCharType="begin"/>
      </w:r>
      <w:r>
        <w:instrText xml:space="preserve"> PAGEREF _Toc390078570 \h </w:instrText>
      </w:r>
      <w:r>
        <w:fldChar w:fldCharType="separate"/>
      </w:r>
      <w:r>
        <w:t>267</w:t>
      </w:r>
      <w:r>
        <w:fldChar w:fldCharType="end"/>
      </w:r>
    </w:p>
    <w:p>
      <w:pPr>
        <w:pStyle w:val="TOC8"/>
        <w:rPr>
          <w:rFonts w:asciiTheme="minorHAnsi" w:eastAsiaTheme="minorEastAsia" w:hAnsiTheme="minorHAnsi" w:cstheme="minorBidi"/>
          <w:szCs w:val="22"/>
        </w:rPr>
      </w:pPr>
      <w:r>
        <w:t>201.</w:t>
      </w:r>
      <w:r>
        <w:tab/>
        <w:t>Expert or professional assistance</w:t>
      </w:r>
      <w:r>
        <w:tab/>
      </w:r>
      <w:r>
        <w:fldChar w:fldCharType="begin"/>
      </w:r>
      <w:r>
        <w:instrText xml:space="preserve"> PAGEREF _Toc390078571 \h </w:instrText>
      </w:r>
      <w:r>
        <w:fldChar w:fldCharType="separate"/>
      </w:r>
      <w:r>
        <w:t>268</w:t>
      </w:r>
      <w:r>
        <w:fldChar w:fldCharType="end"/>
      </w:r>
    </w:p>
    <w:p>
      <w:pPr>
        <w:pStyle w:val="TOC8"/>
        <w:rPr>
          <w:rFonts w:asciiTheme="minorHAnsi" w:eastAsiaTheme="minorEastAsia" w:hAnsiTheme="minorHAnsi" w:cstheme="minorBidi"/>
          <w:szCs w:val="22"/>
        </w:rPr>
      </w:pPr>
      <w:r>
        <w:t>202.</w:t>
      </w:r>
      <w:r>
        <w:tab/>
        <w:t>Summoning witnesses</w:t>
      </w:r>
      <w:r>
        <w:tab/>
      </w:r>
      <w:r>
        <w:fldChar w:fldCharType="begin"/>
      </w:r>
      <w:r>
        <w:instrText xml:space="preserve"> PAGEREF _Toc390078572 \h </w:instrText>
      </w:r>
      <w:r>
        <w:fldChar w:fldCharType="separate"/>
      </w:r>
      <w:r>
        <w:t>268</w:t>
      </w:r>
      <w:r>
        <w:fldChar w:fldCharType="end"/>
      </w:r>
    </w:p>
    <w:p>
      <w:pPr>
        <w:pStyle w:val="TOC8"/>
        <w:rPr>
          <w:rFonts w:asciiTheme="minorHAnsi" w:eastAsiaTheme="minorEastAsia" w:hAnsiTheme="minorHAnsi" w:cstheme="minorBidi"/>
          <w:szCs w:val="22"/>
        </w:rPr>
      </w:pPr>
      <w:r>
        <w:t>203.</w:t>
      </w:r>
      <w:r>
        <w:tab/>
        <w:t>Powers relating to witnesses</w:t>
      </w:r>
      <w:r>
        <w:tab/>
      </w:r>
      <w:r>
        <w:fldChar w:fldCharType="begin"/>
      </w:r>
      <w:r>
        <w:instrText xml:space="preserve"> PAGEREF _Toc390078573 \h </w:instrText>
      </w:r>
      <w:r>
        <w:fldChar w:fldCharType="separate"/>
      </w:r>
      <w:r>
        <w:t>268</w:t>
      </w:r>
      <w:r>
        <w:fldChar w:fldCharType="end"/>
      </w:r>
    </w:p>
    <w:p>
      <w:pPr>
        <w:pStyle w:val="TOC8"/>
        <w:rPr>
          <w:rFonts w:asciiTheme="minorHAnsi" w:eastAsiaTheme="minorEastAsia" w:hAnsiTheme="minorHAnsi" w:cstheme="minorBidi"/>
          <w:szCs w:val="22"/>
        </w:rPr>
      </w:pPr>
      <w:r>
        <w:t>204.</w:t>
      </w:r>
      <w:r>
        <w:tab/>
        <w:t>Privilege against self</w:t>
      </w:r>
      <w:r>
        <w:noBreakHyphen/>
        <w:t>incrimination</w:t>
      </w:r>
      <w:r>
        <w:tab/>
      </w:r>
      <w:r>
        <w:fldChar w:fldCharType="begin"/>
      </w:r>
      <w:r>
        <w:instrText xml:space="preserve"> PAGEREF _Toc390078574 \h </w:instrText>
      </w:r>
      <w:r>
        <w:fldChar w:fldCharType="separate"/>
      </w:r>
      <w:r>
        <w:t>269</w:t>
      </w:r>
      <w:r>
        <w:fldChar w:fldCharType="end"/>
      </w:r>
    </w:p>
    <w:p>
      <w:pPr>
        <w:pStyle w:val="TOC8"/>
        <w:rPr>
          <w:rFonts w:asciiTheme="minorHAnsi" w:eastAsiaTheme="minorEastAsia" w:hAnsiTheme="minorHAnsi" w:cstheme="minorBidi"/>
          <w:szCs w:val="22"/>
        </w:rPr>
      </w:pPr>
      <w:r>
        <w:t>205.</w:t>
      </w:r>
      <w:r>
        <w:tab/>
        <w:t>Legal professional privilege in relation to medical reports</w:t>
      </w:r>
      <w:r>
        <w:tab/>
      </w:r>
      <w:r>
        <w:fldChar w:fldCharType="begin"/>
      </w:r>
      <w:r>
        <w:instrText xml:space="preserve"> PAGEREF _Toc390078575 \h </w:instrText>
      </w:r>
      <w:r>
        <w:fldChar w:fldCharType="separate"/>
      </w:r>
      <w:r>
        <w:t>269</w:t>
      </w:r>
      <w:r>
        <w:fldChar w:fldCharType="end"/>
      </w:r>
    </w:p>
    <w:p>
      <w:pPr>
        <w:pStyle w:val="TOC8"/>
        <w:rPr>
          <w:rFonts w:asciiTheme="minorHAnsi" w:eastAsiaTheme="minorEastAsia" w:hAnsiTheme="minorHAnsi" w:cstheme="minorBidi"/>
          <w:szCs w:val="22"/>
        </w:rPr>
      </w:pPr>
      <w:r>
        <w:t>206.</w:t>
      </w:r>
      <w:r>
        <w:tab/>
        <w:t>Other claims of privilege</w:t>
      </w:r>
      <w:r>
        <w:tab/>
      </w:r>
      <w:r>
        <w:fldChar w:fldCharType="begin"/>
      </w:r>
      <w:r>
        <w:instrText xml:space="preserve"> PAGEREF _Toc390078576 \h </w:instrText>
      </w:r>
      <w:r>
        <w:fldChar w:fldCharType="separate"/>
      </w:r>
      <w:r>
        <w:t>270</w:t>
      </w:r>
      <w:r>
        <w:fldChar w:fldCharType="end"/>
      </w:r>
    </w:p>
    <w:p>
      <w:pPr>
        <w:pStyle w:val="TOC8"/>
        <w:rPr>
          <w:rFonts w:asciiTheme="minorHAnsi" w:eastAsiaTheme="minorEastAsia" w:hAnsiTheme="minorHAnsi" w:cstheme="minorBidi"/>
          <w:szCs w:val="22"/>
        </w:rPr>
      </w:pPr>
      <w:r>
        <w:t>207.</w:t>
      </w:r>
      <w:r>
        <w:tab/>
        <w:t>Oaths and affirmations</w:t>
      </w:r>
      <w:r>
        <w:tab/>
      </w:r>
      <w:r>
        <w:fldChar w:fldCharType="begin"/>
      </w:r>
      <w:r>
        <w:instrText xml:space="preserve"> PAGEREF _Toc390078577 \h </w:instrText>
      </w:r>
      <w:r>
        <w:fldChar w:fldCharType="separate"/>
      </w:r>
      <w:r>
        <w:t>270</w:t>
      </w:r>
      <w:r>
        <w:fldChar w:fldCharType="end"/>
      </w:r>
    </w:p>
    <w:p>
      <w:pPr>
        <w:pStyle w:val="TOC8"/>
        <w:rPr>
          <w:rFonts w:asciiTheme="minorHAnsi" w:eastAsiaTheme="minorEastAsia" w:hAnsiTheme="minorHAnsi" w:cstheme="minorBidi"/>
          <w:szCs w:val="22"/>
        </w:rPr>
      </w:pPr>
      <w:r>
        <w:t>208.</w:t>
      </w:r>
      <w:r>
        <w:tab/>
        <w:t>Authorising person to take evidence</w:t>
      </w:r>
      <w:r>
        <w:tab/>
      </w:r>
      <w:r>
        <w:fldChar w:fldCharType="begin"/>
      </w:r>
      <w:r>
        <w:instrText xml:space="preserve"> PAGEREF _Toc390078578 \h </w:instrText>
      </w:r>
      <w:r>
        <w:fldChar w:fldCharType="separate"/>
      </w:r>
      <w:r>
        <w:t>270</w:t>
      </w:r>
      <w:r>
        <w:fldChar w:fldCharType="end"/>
      </w:r>
    </w:p>
    <w:p>
      <w:pPr>
        <w:pStyle w:val="TOC8"/>
        <w:rPr>
          <w:rFonts w:asciiTheme="minorHAnsi" w:eastAsiaTheme="minorEastAsia" w:hAnsiTheme="minorHAnsi" w:cstheme="minorBidi"/>
          <w:szCs w:val="22"/>
        </w:rPr>
      </w:pPr>
      <w:r>
        <w:t>209.</w:t>
      </w:r>
      <w:r>
        <w:tab/>
        <w:t>Dealing with things produced</w:t>
      </w:r>
      <w:r>
        <w:tab/>
      </w:r>
      <w:r>
        <w:fldChar w:fldCharType="begin"/>
      </w:r>
      <w:r>
        <w:instrText xml:space="preserve"> PAGEREF _Toc390078579 \h </w:instrText>
      </w:r>
      <w:r>
        <w:fldChar w:fldCharType="separate"/>
      </w:r>
      <w:r>
        <w:t>271</w:t>
      </w:r>
      <w:r>
        <w:fldChar w:fldCharType="end"/>
      </w:r>
    </w:p>
    <w:p>
      <w:pPr>
        <w:pStyle w:val="TOC8"/>
        <w:rPr>
          <w:rFonts w:asciiTheme="minorHAnsi" w:eastAsiaTheme="minorEastAsia" w:hAnsiTheme="minorHAnsi" w:cstheme="minorBidi"/>
          <w:szCs w:val="22"/>
        </w:rPr>
      </w:pPr>
      <w:r>
        <w:t>210.</w:t>
      </w:r>
      <w:r>
        <w:tab/>
        <w:t>Referral of medical dispute for assessment</w:t>
      </w:r>
      <w:r>
        <w:tab/>
      </w:r>
      <w:r>
        <w:fldChar w:fldCharType="begin"/>
      </w:r>
      <w:r>
        <w:instrText xml:space="preserve"> PAGEREF _Toc390078580 \h </w:instrText>
      </w:r>
      <w:r>
        <w:fldChar w:fldCharType="separate"/>
      </w:r>
      <w:r>
        <w:t>271</w:t>
      </w:r>
      <w:r>
        <w:fldChar w:fldCharType="end"/>
      </w:r>
    </w:p>
    <w:p>
      <w:pPr>
        <w:pStyle w:val="TOC4"/>
        <w:tabs>
          <w:tab w:val="right" w:leader="dot" w:pos="7086"/>
        </w:tabs>
        <w:rPr>
          <w:rFonts w:asciiTheme="minorHAnsi" w:eastAsiaTheme="minorEastAsia" w:hAnsiTheme="minorHAnsi" w:cstheme="minorBidi"/>
          <w:b w:val="0"/>
          <w:szCs w:val="22"/>
        </w:rPr>
      </w:pPr>
      <w:r>
        <w:t>Division 5 — Decisions</w:t>
      </w:r>
    </w:p>
    <w:p>
      <w:pPr>
        <w:pStyle w:val="TOC6"/>
        <w:tabs>
          <w:tab w:val="right" w:leader="dot" w:pos="7086"/>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211.</w:t>
      </w:r>
      <w:r>
        <w:tab/>
        <w:t>Decisions generally</w:t>
      </w:r>
      <w:r>
        <w:tab/>
      </w:r>
      <w:r>
        <w:fldChar w:fldCharType="begin"/>
      </w:r>
      <w:r>
        <w:instrText xml:space="preserve"> PAGEREF _Toc390078583 \h </w:instrText>
      </w:r>
      <w:r>
        <w:fldChar w:fldCharType="separate"/>
      </w:r>
      <w:r>
        <w:t>272</w:t>
      </w:r>
      <w:r>
        <w:fldChar w:fldCharType="end"/>
      </w:r>
    </w:p>
    <w:p>
      <w:pPr>
        <w:pStyle w:val="TOC8"/>
        <w:rPr>
          <w:rFonts w:asciiTheme="minorHAnsi" w:eastAsiaTheme="minorEastAsia" w:hAnsiTheme="minorHAnsi" w:cstheme="minorBidi"/>
          <w:szCs w:val="22"/>
        </w:rPr>
      </w:pPr>
      <w:r>
        <w:t>212.</w:t>
      </w:r>
      <w:r>
        <w:tab/>
        <w:t>Conditional and ancillary orders and directions</w:t>
      </w:r>
      <w:r>
        <w:tab/>
      </w:r>
      <w:r>
        <w:fldChar w:fldCharType="begin"/>
      </w:r>
      <w:r>
        <w:instrText xml:space="preserve"> PAGEREF _Toc390078584 \h </w:instrText>
      </w:r>
      <w:r>
        <w:fldChar w:fldCharType="separate"/>
      </w:r>
      <w:r>
        <w:t>273</w:t>
      </w:r>
      <w:r>
        <w:fldChar w:fldCharType="end"/>
      </w:r>
    </w:p>
    <w:p>
      <w:pPr>
        <w:pStyle w:val="TOC8"/>
        <w:rPr>
          <w:rFonts w:asciiTheme="minorHAnsi" w:eastAsiaTheme="minorEastAsia" w:hAnsiTheme="minorHAnsi" w:cstheme="minorBidi"/>
          <w:szCs w:val="22"/>
        </w:rPr>
      </w:pPr>
      <w:r>
        <w:t>213.</w:t>
      </w:r>
      <w:r>
        <w:tab/>
        <w:t>Form and content of decision and reasons</w:t>
      </w:r>
      <w:r>
        <w:tab/>
      </w:r>
      <w:r>
        <w:fldChar w:fldCharType="begin"/>
      </w:r>
      <w:r>
        <w:instrText xml:space="preserve"> PAGEREF _Toc390078585 \h </w:instrText>
      </w:r>
      <w:r>
        <w:fldChar w:fldCharType="separate"/>
      </w:r>
      <w:r>
        <w:t>273</w:t>
      </w:r>
      <w:r>
        <w:fldChar w:fldCharType="end"/>
      </w:r>
    </w:p>
    <w:p>
      <w:pPr>
        <w:pStyle w:val="TOC8"/>
        <w:rPr>
          <w:rFonts w:asciiTheme="minorHAnsi" w:eastAsiaTheme="minorEastAsia" w:hAnsiTheme="minorHAnsi" w:cstheme="minorBidi"/>
          <w:szCs w:val="22"/>
        </w:rPr>
      </w:pPr>
      <w:r>
        <w:t>214.</w:t>
      </w:r>
      <w:r>
        <w:tab/>
        <w:t>Validity of decision</w:t>
      </w:r>
      <w:r>
        <w:tab/>
      </w:r>
      <w:r>
        <w:fldChar w:fldCharType="begin"/>
      </w:r>
      <w:r>
        <w:instrText xml:space="preserve"> PAGEREF _Toc390078586 \h </w:instrText>
      </w:r>
      <w:r>
        <w:fldChar w:fldCharType="separate"/>
      </w:r>
      <w:r>
        <w:t>274</w:t>
      </w:r>
      <w:r>
        <w:fldChar w:fldCharType="end"/>
      </w:r>
    </w:p>
    <w:p>
      <w:pPr>
        <w:pStyle w:val="TOC8"/>
        <w:rPr>
          <w:rFonts w:asciiTheme="minorHAnsi" w:eastAsiaTheme="minorEastAsia" w:hAnsiTheme="minorHAnsi" w:cstheme="minorBidi"/>
          <w:szCs w:val="22"/>
        </w:rPr>
      </w:pPr>
      <w:r>
        <w:t>215.</w:t>
      </w:r>
      <w:r>
        <w:tab/>
        <w:t>When decision has effect</w:t>
      </w:r>
      <w:r>
        <w:tab/>
      </w:r>
      <w:r>
        <w:fldChar w:fldCharType="begin"/>
      </w:r>
      <w:r>
        <w:instrText xml:space="preserve"> PAGEREF _Toc390078587 \h </w:instrText>
      </w:r>
      <w:r>
        <w:fldChar w:fldCharType="separate"/>
      </w:r>
      <w:r>
        <w:t>274</w:t>
      </w:r>
      <w:r>
        <w:fldChar w:fldCharType="end"/>
      </w:r>
    </w:p>
    <w:p>
      <w:pPr>
        <w:pStyle w:val="TOC8"/>
        <w:rPr>
          <w:rFonts w:asciiTheme="minorHAnsi" w:eastAsiaTheme="minorEastAsia" w:hAnsiTheme="minorHAnsi" w:cstheme="minorBidi"/>
          <w:szCs w:val="22"/>
        </w:rPr>
      </w:pPr>
      <w:r>
        <w:t>216.</w:t>
      </w:r>
      <w:r>
        <w:tab/>
        <w:t>Correcting mistakes</w:t>
      </w:r>
      <w:r>
        <w:tab/>
      </w:r>
      <w:r>
        <w:fldChar w:fldCharType="begin"/>
      </w:r>
      <w:r>
        <w:instrText xml:space="preserve"> PAGEREF _Toc390078588 \h </w:instrText>
      </w:r>
      <w:r>
        <w:fldChar w:fldCharType="separate"/>
      </w:r>
      <w:r>
        <w:t>274</w:t>
      </w:r>
      <w:r>
        <w:fldChar w:fldCharType="end"/>
      </w:r>
    </w:p>
    <w:p>
      <w:pPr>
        <w:pStyle w:val="TOC6"/>
        <w:tabs>
          <w:tab w:val="right" w:leader="dot" w:pos="7086"/>
        </w:tabs>
        <w:rPr>
          <w:rFonts w:asciiTheme="minorHAnsi" w:eastAsiaTheme="minorEastAsia" w:hAnsiTheme="minorHAnsi" w:cstheme="minorBidi"/>
          <w:b w:val="0"/>
          <w:sz w:val="22"/>
          <w:szCs w:val="22"/>
        </w:rPr>
      </w:pPr>
      <w:r>
        <w:t>Subdivision 2 — Particular orders</w:t>
      </w:r>
    </w:p>
    <w:p>
      <w:pPr>
        <w:pStyle w:val="TOC8"/>
        <w:rPr>
          <w:rFonts w:asciiTheme="minorHAnsi" w:eastAsiaTheme="minorEastAsia" w:hAnsiTheme="minorHAnsi" w:cstheme="minorBidi"/>
          <w:szCs w:val="22"/>
        </w:rPr>
      </w:pPr>
      <w:r>
        <w:t>217.</w:t>
      </w:r>
      <w:r>
        <w:tab/>
        <w:t>Order as to total liability</w:t>
      </w:r>
      <w:r>
        <w:tab/>
      </w:r>
      <w:r>
        <w:fldChar w:fldCharType="begin"/>
      </w:r>
      <w:r>
        <w:instrText xml:space="preserve"> PAGEREF _Toc390078590 \h </w:instrText>
      </w:r>
      <w:r>
        <w:fldChar w:fldCharType="separate"/>
      </w:r>
      <w:r>
        <w:t>275</w:t>
      </w:r>
      <w:r>
        <w:fldChar w:fldCharType="end"/>
      </w:r>
    </w:p>
    <w:p>
      <w:pPr>
        <w:pStyle w:val="TOC8"/>
        <w:rPr>
          <w:rFonts w:asciiTheme="minorHAnsi" w:eastAsiaTheme="minorEastAsia" w:hAnsiTheme="minorHAnsi" w:cstheme="minorBidi"/>
          <w:szCs w:val="22"/>
        </w:rPr>
      </w:pPr>
      <w:r>
        <w:t>218.</w:t>
      </w:r>
      <w:r>
        <w:tab/>
        <w:t>Order relating to payment of compensation in respect of persons under legal disability or who are dependants</w:t>
      </w:r>
      <w:r>
        <w:tab/>
      </w:r>
      <w:r>
        <w:fldChar w:fldCharType="begin"/>
      </w:r>
      <w:r>
        <w:instrText xml:space="preserve"> PAGEREF _Toc390078591 \h </w:instrText>
      </w:r>
      <w:r>
        <w:fldChar w:fldCharType="separate"/>
      </w:r>
      <w:r>
        <w:t>276</w:t>
      </w:r>
      <w:r>
        <w:fldChar w:fldCharType="end"/>
      </w:r>
    </w:p>
    <w:p>
      <w:pPr>
        <w:pStyle w:val="TOC6"/>
        <w:tabs>
          <w:tab w:val="right" w:leader="dot" w:pos="7086"/>
        </w:tabs>
        <w:rPr>
          <w:rFonts w:asciiTheme="minorHAnsi" w:eastAsiaTheme="minorEastAsia" w:hAnsiTheme="minorHAnsi" w:cstheme="minorBidi"/>
          <w:b w:val="0"/>
          <w:sz w:val="22"/>
          <w:szCs w:val="22"/>
        </w:rPr>
      </w:pPr>
      <w:r>
        <w:t>Subdivision 3 — Enforcement of decisions</w:t>
      </w:r>
    </w:p>
    <w:p>
      <w:pPr>
        <w:pStyle w:val="TOC8"/>
        <w:rPr>
          <w:rFonts w:asciiTheme="minorHAnsi" w:eastAsiaTheme="minorEastAsia" w:hAnsiTheme="minorHAnsi" w:cstheme="minorBidi"/>
          <w:szCs w:val="22"/>
        </w:rPr>
      </w:pPr>
      <w:r>
        <w:t>219.</w:t>
      </w:r>
      <w:r>
        <w:tab/>
        <w:t>Enforcement of decisions</w:t>
      </w:r>
      <w:r>
        <w:tab/>
      </w:r>
      <w:r>
        <w:fldChar w:fldCharType="begin"/>
      </w:r>
      <w:r>
        <w:instrText xml:space="preserve"> PAGEREF _Toc390078593 \h </w:instrText>
      </w:r>
      <w:r>
        <w:fldChar w:fldCharType="separate"/>
      </w:r>
      <w:r>
        <w:t>277</w:t>
      </w:r>
      <w:r>
        <w:fldChar w:fldCharType="end"/>
      </w:r>
    </w:p>
    <w:p>
      <w:pPr>
        <w:pStyle w:val="TOC4"/>
        <w:tabs>
          <w:tab w:val="right" w:leader="dot" w:pos="7086"/>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220.</w:t>
      </w:r>
      <w:r>
        <w:tab/>
        <w:t>Evidence not admissible in common law proceedings</w:t>
      </w:r>
      <w:r>
        <w:tab/>
      </w:r>
      <w:r>
        <w:fldChar w:fldCharType="begin"/>
      </w:r>
      <w:r>
        <w:instrText xml:space="preserve"> PAGEREF _Toc390078595 \h </w:instrText>
      </w:r>
      <w:r>
        <w:fldChar w:fldCharType="separate"/>
      </w:r>
      <w:r>
        <w:t>278</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Payment of compensation awarded</w:t>
      </w:r>
      <w:r>
        <w:tab/>
      </w:r>
      <w:r>
        <w:fldChar w:fldCharType="begin"/>
      </w:r>
      <w:r>
        <w:instrText xml:space="preserve"> PAGEREF _Toc390078596 \h </w:instrText>
      </w:r>
      <w:r>
        <w:fldChar w:fldCharType="separate"/>
      </w:r>
      <w:r>
        <w:t>278</w:t>
      </w:r>
      <w:r>
        <w:fldChar w:fldCharType="end"/>
      </w:r>
    </w:p>
    <w:p>
      <w:pPr>
        <w:pStyle w:val="TOC8"/>
        <w:rPr>
          <w:rFonts w:asciiTheme="minorHAnsi" w:eastAsiaTheme="minorEastAsia" w:hAnsiTheme="minorHAnsi" w:cstheme="minorBidi"/>
          <w:szCs w:val="22"/>
        </w:rPr>
      </w:pPr>
      <w:r>
        <w:t>222.</w:t>
      </w:r>
      <w:r>
        <w:tab/>
        <w:t>Interest before order for payment</w:t>
      </w:r>
      <w:r>
        <w:tab/>
      </w:r>
      <w:r>
        <w:fldChar w:fldCharType="begin"/>
      </w:r>
      <w:r>
        <w:instrText xml:space="preserve"> PAGEREF _Toc390078597 \h </w:instrText>
      </w:r>
      <w:r>
        <w:fldChar w:fldCharType="separate"/>
      </w:r>
      <w:r>
        <w:t>278</w:t>
      </w:r>
      <w:r>
        <w:fldChar w:fldCharType="end"/>
      </w:r>
    </w:p>
    <w:p>
      <w:pPr>
        <w:pStyle w:val="TOC8"/>
        <w:rPr>
          <w:rFonts w:asciiTheme="minorHAnsi" w:eastAsiaTheme="minorEastAsia" w:hAnsiTheme="minorHAnsi" w:cstheme="minorBidi"/>
          <w:szCs w:val="22"/>
        </w:rPr>
      </w:pPr>
      <w:r>
        <w:t>223.</w:t>
      </w:r>
      <w:r>
        <w:tab/>
        <w:t>Interest after order for payment</w:t>
      </w:r>
      <w:r>
        <w:tab/>
      </w:r>
      <w:r>
        <w:fldChar w:fldCharType="begin"/>
      </w:r>
      <w:r>
        <w:instrText xml:space="preserve"> PAGEREF _Toc390078598 \h </w:instrText>
      </w:r>
      <w:r>
        <w:fldChar w:fldCharType="separate"/>
      </w:r>
      <w:r>
        <w:t>279</w:t>
      </w:r>
      <w:r>
        <w:fldChar w:fldCharType="end"/>
      </w:r>
    </w:p>
    <w:p>
      <w:pPr>
        <w:pStyle w:val="TOC8"/>
        <w:rPr>
          <w:rFonts w:asciiTheme="minorHAnsi" w:eastAsiaTheme="minorEastAsia" w:hAnsiTheme="minorHAnsi" w:cstheme="minorBidi"/>
          <w:szCs w:val="22"/>
        </w:rPr>
      </w:pPr>
      <w:r>
        <w:t>224.</w:t>
      </w:r>
      <w:r>
        <w:tab/>
        <w:t>Interest on agreed payment of lump sum compensation</w:t>
      </w:r>
      <w:r>
        <w:tab/>
      </w:r>
      <w:r>
        <w:fldChar w:fldCharType="begin"/>
      </w:r>
      <w:r>
        <w:instrText xml:space="preserve"> PAGEREF _Toc390078599 \h </w:instrText>
      </w:r>
      <w:r>
        <w:fldChar w:fldCharType="separate"/>
      </w:r>
      <w:r>
        <w:t>279</w:t>
      </w:r>
      <w:r>
        <w:fldChar w:fldCharType="end"/>
      </w:r>
    </w:p>
    <w:p>
      <w:pPr>
        <w:pStyle w:val="TOC8"/>
        <w:rPr>
          <w:rFonts w:asciiTheme="minorHAnsi" w:eastAsiaTheme="minorEastAsia" w:hAnsiTheme="minorHAnsi" w:cstheme="minorBidi"/>
          <w:szCs w:val="22"/>
        </w:rPr>
      </w:pPr>
      <w:r>
        <w:t>225.</w:t>
      </w:r>
      <w:r>
        <w:tab/>
        <w:t>Regulations may exclude interest</w:t>
      </w:r>
      <w:r>
        <w:tab/>
      </w:r>
      <w:r>
        <w:fldChar w:fldCharType="begin"/>
      </w:r>
      <w:r>
        <w:instrText xml:space="preserve"> PAGEREF _Toc390078600 \h </w:instrText>
      </w:r>
      <w:r>
        <w:fldChar w:fldCharType="separate"/>
      </w:r>
      <w:r>
        <w:t>280</w:t>
      </w:r>
      <w:r>
        <w:fldChar w:fldCharType="end"/>
      </w:r>
    </w:p>
    <w:p>
      <w:pPr>
        <w:pStyle w:val="TOC2"/>
        <w:tabs>
          <w:tab w:val="right" w:leader="dot" w:pos="7086"/>
        </w:tabs>
        <w:rPr>
          <w:rFonts w:asciiTheme="minorHAnsi" w:eastAsiaTheme="minorEastAsia" w:hAnsiTheme="minorHAnsi" w:cstheme="minorBidi"/>
          <w:b w:val="0"/>
          <w:sz w:val="22"/>
          <w:szCs w:val="22"/>
        </w:rPr>
      </w:pPr>
      <w:r>
        <w:t>Part XII</w:t>
      </w:r>
      <w:r>
        <w:rPr>
          <w:b w:val="0"/>
        </w:rPr>
        <w:t> </w:t>
      </w:r>
      <w:r>
        <w:t>—</w:t>
      </w:r>
      <w:r>
        <w:rPr>
          <w:b w:val="0"/>
        </w:rPr>
        <w:t> </w:t>
      </w:r>
      <w:r>
        <w:t>Interim orders and minor claims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226.</w:t>
      </w:r>
      <w:r>
        <w:tab/>
        <w:t>Interpretation</w:t>
      </w:r>
      <w:r>
        <w:tab/>
      </w:r>
      <w:r>
        <w:fldChar w:fldCharType="begin"/>
      </w:r>
      <w:r>
        <w:instrText xml:space="preserve"> PAGEREF _Toc390078603 \h </w:instrText>
      </w:r>
      <w:r>
        <w:fldChar w:fldCharType="separate"/>
      </w:r>
      <w:r>
        <w:t>281</w:t>
      </w:r>
      <w:r>
        <w:fldChar w:fldCharType="end"/>
      </w:r>
    </w:p>
    <w:p>
      <w:pPr>
        <w:pStyle w:val="TOC8"/>
        <w:rPr>
          <w:rFonts w:asciiTheme="minorHAnsi" w:eastAsiaTheme="minorEastAsia" w:hAnsiTheme="minorHAnsi" w:cstheme="minorBidi"/>
          <w:szCs w:val="22"/>
        </w:rPr>
      </w:pPr>
      <w:r>
        <w:t>227.</w:t>
      </w:r>
      <w:r>
        <w:tab/>
        <w:t>Exercise of functions under this Part</w:t>
      </w:r>
      <w:r>
        <w:tab/>
      </w:r>
      <w:r>
        <w:fldChar w:fldCharType="begin"/>
      </w:r>
      <w:r>
        <w:instrText xml:space="preserve"> PAGEREF _Toc390078604 \h </w:instrText>
      </w:r>
      <w:r>
        <w:fldChar w:fldCharType="separate"/>
      </w:r>
      <w:r>
        <w:t>281</w:t>
      </w:r>
      <w:r>
        <w:fldChar w:fldCharType="end"/>
      </w:r>
    </w:p>
    <w:p>
      <w:pPr>
        <w:pStyle w:val="TOC8"/>
        <w:rPr>
          <w:rFonts w:asciiTheme="minorHAnsi" w:eastAsiaTheme="minorEastAsia" w:hAnsiTheme="minorHAnsi" w:cstheme="minorBidi"/>
          <w:szCs w:val="22"/>
        </w:rPr>
      </w:pPr>
      <w:r>
        <w:t>228.</w:t>
      </w:r>
      <w:r>
        <w:tab/>
        <w:t>Provisions of Part XI apply</w:t>
      </w:r>
      <w:r>
        <w:tab/>
      </w:r>
      <w:r>
        <w:fldChar w:fldCharType="begin"/>
      </w:r>
      <w:r>
        <w:instrText xml:space="preserve"> PAGEREF _Toc390078605 \h </w:instrText>
      </w:r>
      <w:r>
        <w:fldChar w:fldCharType="separate"/>
      </w:r>
      <w:r>
        <w:t>281</w:t>
      </w:r>
      <w:r>
        <w:fldChar w:fldCharType="end"/>
      </w:r>
    </w:p>
    <w:p>
      <w:pPr>
        <w:pStyle w:val="TOC8"/>
        <w:rPr>
          <w:rFonts w:asciiTheme="minorHAnsi" w:eastAsiaTheme="minorEastAsia" w:hAnsiTheme="minorHAnsi" w:cstheme="minorBidi"/>
          <w:szCs w:val="22"/>
        </w:rPr>
      </w:pPr>
      <w:r>
        <w:t>229.</w:t>
      </w:r>
      <w:r>
        <w:tab/>
        <w:t>Arbitrator may direct that matter be dealt with under Part XI</w:t>
      </w:r>
      <w:r>
        <w:tab/>
      </w:r>
      <w:r>
        <w:fldChar w:fldCharType="begin"/>
      </w:r>
      <w:r>
        <w:instrText xml:space="preserve"> PAGEREF _Toc390078606 \h </w:instrText>
      </w:r>
      <w:r>
        <w:fldChar w:fldCharType="separate"/>
      </w:r>
      <w:r>
        <w:t>282</w:t>
      </w:r>
      <w:r>
        <w:fldChar w:fldCharType="end"/>
      </w:r>
    </w:p>
    <w:p>
      <w:pPr>
        <w:pStyle w:val="TOC8"/>
        <w:rPr>
          <w:rFonts w:asciiTheme="minorHAnsi" w:eastAsiaTheme="minorEastAsia" w:hAnsiTheme="minorHAnsi" w:cstheme="minorBidi"/>
          <w:szCs w:val="22"/>
        </w:rPr>
      </w:pPr>
      <w:r>
        <w:t>230.</w:t>
      </w:r>
      <w:r>
        <w:tab/>
        <w:t>DRD Rules apply</w:t>
      </w:r>
      <w:r>
        <w:tab/>
      </w:r>
      <w:r>
        <w:fldChar w:fldCharType="begin"/>
      </w:r>
      <w:r>
        <w:instrText xml:space="preserve"> PAGEREF _Toc390078607 \h </w:instrText>
      </w:r>
      <w:r>
        <w:fldChar w:fldCharType="separate"/>
      </w:r>
      <w:r>
        <w:t>282</w:t>
      </w:r>
      <w:r>
        <w:fldChar w:fldCharType="end"/>
      </w:r>
    </w:p>
    <w:p>
      <w:pPr>
        <w:pStyle w:val="TOC4"/>
        <w:tabs>
          <w:tab w:val="right" w:leader="dot" w:pos="7086"/>
        </w:tabs>
        <w:rPr>
          <w:rFonts w:asciiTheme="minorHAnsi" w:eastAsiaTheme="minorEastAsia" w:hAnsiTheme="minorHAnsi" w:cstheme="minorBidi"/>
          <w:b w:val="0"/>
          <w:szCs w:val="22"/>
        </w:rPr>
      </w:pPr>
      <w:r>
        <w:t>Division 2 — Interim payment orders</w:t>
      </w:r>
    </w:p>
    <w:p>
      <w:pPr>
        <w:pStyle w:val="TOC8"/>
        <w:rPr>
          <w:rFonts w:asciiTheme="minorHAnsi" w:eastAsiaTheme="minorEastAsia" w:hAnsiTheme="minorHAnsi" w:cstheme="minorBidi"/>
          <w:szCs w:val="22"/>
        </w:rPr>
      </w:pPr>
      <w:r>
        <w:t>231.</w:t>
      </w:r>
      <w:r>
        <w:tab/>
        <w:t>Application for interim payment order</w:t>
      </w:r>
      <w:r>
        <w:tab/>
      </w:r>
      <w:r>
        <w:fldChar w:fldCharType="begin"/>
      </w:r>
      <w:r>
        <w:instrText xml:space="preserve"> PAGEREF _Toc390078609 \h </w:instrText>
      </w:r>
      <w:r>
        <w:fldChar w:fldCharType="separate"/>
      </w:r>
      <w:r>
        <w:t>282</w:t>
      </w:r>
      <w:r>
        <w:fldChar w:fldCharType="end"/>
      </w:r>
    </w:p>
    <w:p>
      <w:pPr>
        <w:pStyle w:val="TOC8"/>
        <w:rPr>
          <w:rFonts w:asciiTheme="minorHAnsi" w:eastAsiaTheme="minorEastAsia" w:hAnsiTheme="minorHAnsi" w:cstheme="minorBidi"/>
          <w:szCs w:val="22"/>
        </w:rPr>
      </w:pPr>
      <w:r>
        <w:t>232.</w:t>
      </w:r>
      <w:r>
        <w:tab/>
        <w:t>Orders for interim weekly payments</w:t>
      </w:r>
      <w:r>
        <w:tab/>
      </w:r>
      <w:r>
        <w:fldChar w:fldCharType="begin"/>
      </w:r>
      <w:r>
        <w:instrText xml:space="preserve"> PAGEREF _Toc390078610 \h </w:instrText>
      </w:r>
      <w:r>
        <w:fldChar w:fldCharType="separate"/>
      </w:r>
      <w:r>
        <w:t>283</w:t>
      </w:r>
      <w:r>
        <w:fldChar w:fldCharType="end"/>
      </w:r>
    </w:p>
    <w:p>
      <w:pPr>
        <w:pStyle w:val="TOC8"/>
        <w:rPr>
          <w:rFonts w:asciiTheme="minorHAnsi" w:eastAsiaTheme="minorEastAsia" w:hAnsiTheme="minorHAnsi" w:cstheme="minorBidi"/>
          <w:szCs w:val="22"/>
        </w:rPr>
      </w:pPr>
      <w:r>
        <w:t>233.</w:t>
      </w:r>
      <w:r>
        <w:tab/>
        <w:t>Orders for interim payment of statutory expenses</w:t>
      </w:r>
      <w:r>
        <w:tab/>
      </w:r>
      <w:r>
        <w:fldChar w:fldCharType="begin"/>
      </w:r>
      <w:r>
        <w:instrText xml:space="preserve"> PAGEREF _Toc390078611 \h </w:instrText>
      </w:r>
      <w:r>
        <w:fldChar w:fldCharType="separate"/>
      </w:r>
      <w:r>
        <w:t>284</w:t>
      </w:r>
      <w:r>
        <w:fldChar w:fldCharType="end"/>
      </w:r>
    </w:p>
    <w:p>
      <w:pPr>
        <w:pStyle w:val="TOC8"/>
        <w:rPr>
          <w:rFonts w:asciiTheme="minorHAnsi" w:eastAsiaTheme="minorEastAsia" w:hAnsiTheme="minorHAnsi" w:cstheme="minorBidi"/>
          <w:szCs w:val="22"/>
        </w:rPr>
      </w:pPr>
      <w:r>
        <w:t>234.</w:t>
      </w:r>
      <w:r>
        <w:tab/>
        <w:t>Limits on interim payment orders</w:t>
      </w:r>
      <w:r>
        <w:tab/>
      </w:r>
      <w:r>
        <w:fldChar w:fldCharType="begin"/>
      </w:r>
      <w:r>
        <w:instrText xml:space="preserve"> PAGEREF _Toc390078612 \h </w:instrText>
      </w:r>
      <w:r>
        <w:fldChar w:fldCharType="separate"/>
      </w:r>
      <w:r>
        <w:t>285</w:t>
      </w:r>
      <w:r>
        <w:fldChar w:fldCharType="end"/>
      </w:r>
    </w:p>
    <w:p>
      <w:pPr>
        <w:pStyle w:val="TOC8"/>
        <w:rPr>
          <w:rFonts w:asciiTheme="minorHAnsi" w:eastAsiaTheme="minorEastAsia" w:hAnsiTheme="minorHAnsi" w:cstheme="minorBidi"/>
          <w:szCs w:val="22"/>
        </w:rPr>
      </w:pPr>
      <w:r>
        <w:t>235.</w:t>
      </w:r>
      <w:r>
        <w:tab/>
        <w:t>Effect of interim payment order</w:t>
      </w:r>
      <w:r>
        <w:tab/>
      </w:r>
      <w:r>
        <w:fldChar w:fldCharType="begin"/>
      </w:r>
      <w:r>
        <w:instrText xml:space="preserve"> PAGEREF _Toc390078613 \h </w:instrText>
      </w:r>
      <w:r>
        <w:fldChar w:fldCharType="separate"/>
      </w:r>
      <w:r>
        <w:t>285</w:t>
      </w:r>
      <w:r>
        <w:fldChar w:fldCharType="end"/>
      </w:r>
    </w:p>
    <w:p>
      <w:pPr>
        <w:pStyle w:val="TOC8"/>
        <w:rPr>
          <w:rFonts w:asciiTheme="minorHAnsi" w:eastAsiaTheme="minorEastAsia" w:hAnsiTheme="minorHAnsi" w:cstheme="minorBidi"/>
          <w:szCs w:val="22"/>
        </w:rPr>
      </w:pPr>
      <w:r>
        <w:t>236.</w:t>
      </w:r>
      <w:r>
        <w:tab/>
        <w:t>Recovery of payments</w:t>
      </w:r>
      <w:r>
        <w:tab/>
      </w:r>
      <w:r>
        <w:fldChar w:fldCharType="begin"/>
      </w:r>
      <w:r>
        <w:instrText xml:space="preserve"> PAGEREF _Toc390078614 \h </w:instrText>
      </w:r>
      <w:r>
        <w:fldChar w:fldCharType="separate"/>
      </w:r>
      <w:r>
        <w:t>286</w:t>
      </w:r>
      <w:r>
        <w:fldChar w:fldCharType="end"/>
      </w:r>
    </w:p>
    <w:p>
      <w:pPr>
        <w:pStyle w:val="TOC8"/>
        <w:rPr>
          <w:rFonts w:asciiTheme="minorHAnsi" w:eastAsiaTheme="minorEastAsia" w:hAnsiTheme="minorHAnsi" w:cstheme="minorBidi"/>
          <w:szCs w:val="22"/>
        </w:rPr>
      </w:pPr>
      <w:r>
        <w:t>237.</w:t>
      </w:r>
      <w:r>
        <w:tab/>
        <w:t>Revocation of interim payment order</w:t>
      </w:r>
      <w:r>
        <w:tab/>
      </w:r>
      <w:r>
        <w:fldChar w:fldCharType="begin"/>
      </w:r>
      <w:r>
        <w:instrText xml:space="preserve"> PAGEREF _Toc390078615 \h </w:instrText>
      </w:r>
      <w:r>
        <w:fldChar w:fldCharType="separate"/>
      </w:r>
      <w:r>
        <w:t>286</w:t>
      </w:r>
      <w:r>
        <w:fldChar w:fldCharType="end"/>
      </w:r>
    </w:p>
    <w:p>
      <w:pPr>
        <w:pStyle w:val="TOC4"/>
        <w:tabs>
          <w:tab w:val="right" w:leader="dot" w:pos="7086"/>
        </w:tabs>
        <w:rPr>
          <w:rFonts w:asciiTheme="minorHAnsi" w:eastAsiaTheme="minorEastAsia" w:hAnsiTheme="minorHAnsi" w:cstheme="minorBidi"/>
          <w:b w:val="0"/>
          <w:szCs w:val="22"/>
        </w:rPr>
      </w:pPr>
      <w:r>
        <w:t>Division 3 — Interim suspension or reduction orders</w:t>
      </w:r>
    </w:p>
    <w:p>
      <w:pPr>
        <w:pStyle w:val="TOC8"/>
        <w:rPr>
          <w:rFonts w:asciiTheme="minorHAnsi" w:eastAsiaTheme="minorEastAsia" w:hAnsiTheme="minorHAnsi" w:cstheme="minorBidi"/>
          <w:szCs w:val="22"/>
        </w:rPr>
      </w:pPr>
      <w:r>
        <w:t>238.</w:t>
      </w:r>
      <w:r>
        <w:tab/>
        <w:t>Interim suspension or reduction order</w:t>
      </w:r>
      <w:r>
        <w:tab/>
      </w:r>
      <w:r>
        <w:fldChar w:fldCharType="begin"/>
      </w:r>
      <w:r>
        <w:instrText xml:space="preserve"> PAGEREF _Toc390078617 \h </w:instrText>
      </w:r>
      <w:r>
        <w:fldChar w:fldCharType="separate"/>
      </w:r>
      <w:r>
        <w:t>287</w:t>
      </w:r>
      <w:r>
        <w:fldChar w:fldCharType="end"/>
      </w:r>
    </w:p>
    <w:p>
      <w:pPr>
        <w:pStyle w:val="TOC8"/>
        <w:rPr>
          <w:rFonts w:asciiTheme="minorHAnsi" w:eastAsiaTheme="minorEastAsia" w:hAnsiTheme="minorHAnsi" w:cstheme="minorBidi"/>
          <w:szCs w:val="22"/>
        </w:rPr>
      </w:pPr>
      <w:r>
        <w:t>239.</w:t>
      </w:r>
      <w:r>
        <w:tab/>
        <w:t>Effect of Part XI determination on the same matter as a matter determined under this Division</w:t>
      </w:r>
      <w:r>
        <w:tab/>
      </w:r>
      <w:r>
        <w:fldChar w:fldCharType="begin"/>
      </w:r>
      <w:r>
        <w:instrText xml:space="preserve"> PAGEREF _Toc390078618 \h </w:instrText>
      </w:r>
      <w:r>
        <w:fldChar w:fldCharType="separate"/>
      </w:r>
      <w:r>
        <w:t>288</w:t>
      </w:r>
      <w:r>
        <w:fldChar w:fldCharType="end"/>
      </w:r>
    </w:p>
    <w:p>
      <w:pPr>
        <w:pStyle w:val="TOC8"/>
        <w:rPr>
          <w:rFonts w:asciiTheme="minorHAnsi" w:eastAsiaTheme="minorEastAsia" w:hAnsiTheme="minorHAnsi" w:cstheme="minorBidi"/>
          <w:szCs w:val="22"/>
        </w:rPr>
      </w:pPr>
      <w:r>
        <w:t>240.</w:t>
      </w:r>
      <w:r>
        <w:tab/>
        <w:t>Revocation of interim suspension or reduction order</w:t>
      </w:r>
      <w:r>
        <w:tab/>
      </w:r>
      <w:r>
        <w:fldChar w:fldCharType="begin"/>
      </w:r>
      <w:r>
        <w:instrText xml:space="preserve"> PAGEREF _Toc390078619 \h </w:instrText>
      </w:r>
      <w:r>
        <w:fldChar w:fldCharType="separate"/>
      </w:r>
      <w:r>
        <w:t>289</w:t>
      </w:r>
      <w:r>
        <w:fldChar w:fldCharType="end"/>
      </w:r>
    </w:p>
    <w:p>
      <w:pPr>
        <w:pStyle w:val="TOC4"/>
        <w:tabs>
          <w:tab w:val="right" w:leader="dot" w:pos="7086"/>
        </w:tabs>
        <w:rPr>
          <w:rFonts w:asciiTheme="minorHAnsi" w:eastAsiaTheme="minorEastAsia" w:hAnsiTheme="minorHAnsi" w:cstheme="minorBidi"/>
          <w:b w:val="0"/>
          <w:szCs w:val="22"/>
        </w:rPr>
      </w:pPr>
      <w:r>
        <w:t>Division 4 — Expedited determination of minor claims</w:t>
      </w:r>
    </w:p>
    <w:p>
      <w:pPr>
        <w:pStyle w:val="TOC8"/>
        <w:rPr>
          <w:rFonts w:asciiTheme="minorHAnsi" w:eastAsiaTheme="minorEastAsia" w:hAnsiTheme="minorHAnsi" w:cstheme="minorBidi"/>
          <w:szCs w:val="22"/>
        </w:rPr>
      </w:pPr>
      <w:r>
        <w:t>241.</w:t>
      </w:r>
      <w:r>
        <w:tab/>
        <w:t>Application for determination of minor claim</w:t>
      </w:r>
      <w:r>
        <w:tab/>
      </w:r>
      <w:r>
        <w:fldChar w:fldCharType="begin"/>
      </w:r>
      <w:r>
        <w:instrText xml:space="preserve"> PAGEREF _Toc390078621 \h </w:instrText>
      </w:r>
      <w:r>
        <w:fldChar w:fldCharType="separate"/>
      </w:r>
      <w:r>
        <w:t>290</w:t>
      </w:r>
      <w:r>
        <w:fldChar w:fldCharType="end"/>
      </w:r>
    </w:p>
    <w:p>
      <w:pPr>
        <w:pStyle w:val="TOC8"/>
        <w:rPr>
          <w:rFonts w:asciiTheme="minorHAnsi" w:eastAsiaTheme="minorEastAsia" w:hAnsiTheme="minorHAnsi" w:cstheme="minorBidi"/>
          <w:szCs w:val="22"/>
        </w:rPr>
      </w:pPr>
      <w:r>
        <w:t>242.</w:t>
      </w:r>
      <w:r>
        <w:tab/>
        <w:t>Limits on minor claims orders</w:t>
      </w:r>
      <w:r>
        <w:tab/>
      </w:r>
      <w:r>
        <w:fldChar w:fldCharType="begin"/>
      </w:r>
      <w:r>
        <w:instrText xml:space="preserve"> PAGEREF _Toc390078622 \h </w:instrText>
      </w:r>
      <w:r>
        <w:fldChar w:fldCharType="separate"/>
      </w:r>
      <w:r>
        <w:t>292</w:t>
      </w:r>
      <w:r>
        <w:fldChar w:fldCharType="end"/>
      </w:r>
    </w:p>
    <w:p>
      <w:pPr>
        <w:pStyle w:val="TOC8"/>
        <w:rPr>
          <w:rFonts w:asciiTheme="minorHAnsi" w:eastAsiaTheme="minorEastAsia" w:hAnsiTheme="minorHAnsi" w:cstheme="minorBidi"/>
          <w:szCs w:val="22"/>
        </w:rPr>
      </w:pPr>
      <w:r>
        <w:t>243.</w:t>
      </w:r>
      <w:r>
        <w:tab/>
        <w:t>No recovery of compensation</w:t>
      </w:r>
      <w:r>
        <w:tab/>
      </w:r>
      <w:r>
        <w:fldChar w:fldCharType="begin"/>
      </w:r>
      <w:r>
        <w:instrText xml:space="preserve"> PAGEREF _Toc390078623 \h </w:instrText>
      </w:r>
      <w:r>
        <w:fldChar w:fldCharType="separate"/>
      </w:r>
      <w:r>
        <w:t>292</w:t>
      </w:r>
      <w:r>
        <w:fldChar w:fldCharType="end"/>
      </w:r>
    </w:p>
    <w:p>
      <w:pPr>
        <w:pStyle w:val="TOC8"/>
        <w:rPr>
          <w:rFonts w:asciiTheme="minorHAnsi" w:eastAsiaTheme="minorEastAsia" w:hAnsiTheme="minorHAnsi" w:cstheme="minorBidi"/>
          <w:szCs w:val="22"/>
        </w:rPr>
      </w:pPr>
      <w:r>
        <w:t>244.</w:t>
      </w:r>
      <w:r>
        <w:tab/>
        <w:t>Production of documents</w:t>
      </w:r>
      <w:r>
        <w:tab/>
      </w:r>
      <w:r>
        <w:fldChar w:fldCharType="begin"/>
      </w:r>
      <w:r>
        <w:instrText xml:space="preserve"> PAGEREF _Toc390078624 \h </w:instrText>
      </w:r>
      <w:r>
        <w:fldChar w:fldCharType="separate"/>
      </w:r>
      <w:r>
        <w:t>292</w:t>
      </w:r>
      <w:r>
        <w:fldChar w:fldCharType="end"/>
      </w:r>
    </w:p>
    <w:p>
      <w:pPr>
        <w:pStyle w:val="TOC2"/>
        <w:tabs>
          <w:tab w:val="right" w:leader="dot" w:pos="7086"/>
        </w:tabs>
        <w:rPr>
          <w:rFonts w:asciiTheme="minorHAnsi" w:eastAsiaTheme="minorEastAsia" w:hAnsiTheme="minorHAnsi" w:cstheme="minorBidi"/>
          <w:b w:val="0"/>
          <w:sz w:val="22"/>
          <w:szCs w:val="22"/>
        </w:rPr>
      </w:pPr>
      <w:r>
        <w:t>Part XIII — Questions of law and appeals</w:t>
      </w:r>
    </w:p>
    <w:p>
      <w:pPr>
        <w:pStyle w:val="TOC8"/>
        <w:rPr>
          <w:rFonts w:asciiTheme="minorHAnsi" w:eastAsiaTheme="minorEastAsia" w:hAnsiTheme="minorHAnsi" w:cstheme="minorBidi"/>
          <w:szCs w:val="22"/>
        </w:rPr>
      </w:pPr>
      <w:r>
        <w:t>245.</w:t>
      </w:r>
      <w:r>
        <w:tab/>
        <w:t>Application of Part XI</w:t>
      </w:r>
      <w:r>
        <w:tab/>
      </w:r>
      <w:r>
        <w:fldChar w:fldCharType="begin"/>
      </w:r>
      <w:r>
        <w:instrText xml:space="preserve"> PAGEREF _Toc390078626 \h </w:instrText>
      </w:r>
      <w:r>
        <w:fldChar w:fldCharType="separate"/>
      </w:r>
      <w:r>
        <w:t>293</w:t>
      </w:r>
      <w:r>
        <w:fldChar w:fldCharType="end"/>
      </w:r>
    </w:p>
    <w:p>
      <w:pPr>
        <w:pStyle w:val="TOC8"/>
        <w:rPr>
          <w:rFonts w:asciiTheme="minorHAnsi" w:eastAsiaTheme="minorEastAsia" w:hAnsiTheme="minorHAnsi" w:cstheme="minorBidi"/>
          <w:szCs w:val="22"/>
        </w:rPr>
      </w:pPr>
      <w:r>
        <w:t>246.</w:t>
      </w:r>
      <w:r>
        <w:tab/>
        <w:t>Reference of question of law to Commissioner</w:t>
      </w:r>
      <w:r>
        <w:tab/>
      </w:r>
      <w:r>
        <w:fldChar w:fldCharType="begin"/>
      </w:r>
      <w:r>
        <w:instrText xml:space="preserve"> PAGEREF _Toc390078627 \h </w:instrText>
      </w:r>
      <w:r>
        <w:fldChar w:fldCharType="separate"/>
      </w:r>
      <w:r>
        <w:t>293</w:t>
      </w:r>
      <w:r>
        <w:fldChar w:fldCharType="end"/>
      </w:r>
    </w:p>
    <w:p>
      <w:pPr>
        <w:pStyle w:val="TOC8"/>
        <w:rPr>
          <w:rFonts w:asciiTheme="minorHAnsi" w:eastAsiaTheme="minorEastAsia" w:hAnsiTheme="minorHAnsi" w:cstheme="minorBidi"/>
          <w:szCs w:val="22"/>
        </w:rPr>
      </w:pPr>
      <w:r>
        <w:t>247.</w:t>
      </w:r>
      <w:r>
        <w:tab/>
        <w:t>Appeal against decision of arbitrator</w:t>
      </w:r>
      <w:r>
        <w:tab/>
      </w:r>
      <w:r>
        <w:fldChar w:fldCharType="begin"/>
      </w:r>
      <w:r>
        <w:instrText xml:space="preserve"> PAGEREF _Toc390078628 \h </w:instrText>
      </w:r>
      <w:r>
        <w:fldChar w:fldCharType="separate"/>
      </w:r>
      <w:r>
        <w:t>294</w:t>
      </w:r>
      <w:r>
        <w:fldChar w:fldCharType="end"/>
      </w:r>
    </w:p>
    <w:p>
      <w:pPr>
        <w:pStyle w:val="TOC8"/>
        <w:rPr>
          <w:rFonts w:asciiTheme="minorHAnsi" w:eastAsiaTheme="minorEastAsia" w:hAnsiTheme="minorHAnsi" w:cstheme="minorBidi"/>
          <w:szCs w:val="22"/>
        </w:rPr>
      </w:pPr>
      <w:r>
        <w:t>248.</w:t>
      </w:r>
      <w:r>
        <w:tab/>
        <w:t>Commencing appeal</w:t>
      </w:r>
      <w:r>
        <w:tab/>
      </w:r>
      <w:r>
        <w:fldChar w:fldCharType="begin"/>
      </w:r>
      <w:r>
        <w:instrText xml:space="preserve"> PAGEREF _Toc390078629 \h </w:instrText>
      </w:r>
      <w:r>
        <w:fldChar w:fldCharType="separate"/>
      </w:r>
      <w:r>
        <w:t>295</w:t>
      </w:r>
      <w:r>
        <w:fldChar w:fldCharType="end"/>
      </w:r>
    </w:p>
    <w:p>
      <w:pPr>
        <w:pStyle w:val="TOC8"/>
        <w:rPr>
          <w:rFonts w:asciiTheme="minorHAnsi" w:eastAsiaTheme="minorEastAsia" w:hAnsiTheme="minorHAnsi" w:cstheme="minorBidi"/>
          <w:szCs w:val="22"/>
        </w:rPr>
      </w:pPr>
      <w:r>
        <w:t>249.</w:t>
      </w:r>
      <w:r>
        <w:tab/>
        <w:t>Commissioner hearing to be held in public</w:t>
      </w:r>
      <w:r>
        <w:tab/>
      </w:r>
      <w:r>
        <w:fldChar w:fldCharType="begin"/>
      </w:r>
      <w:r>
        <w:instrText xml:space="preserve"> PAGEREF _Toc390078630 \h </w:instrText>
      </w:r>
      <w:r>
        <w:fldChar w:fldCharType="separate"/>
      </w:r>
      <w:r>
        <w:t>295</w:t>
      </w:r>
      <w:r>
        <w:fldChar w:fldCharType="end"/>
      </w:r>
    </w:p>
    <w:p>
      <w:pPr>
        <w:pStyle w:val="TOC8"/>
        <w:rPr>
          <w:rFonts w:asciiTheme="minorHAnsi" w:eastAsiaTheme="minorEastAsia" w:hAnsiTheme="minorHAnsi" w:cstheme="minorBidi"/>
          <w:szCs w:val="22"/>
        </w:rPr>
      </w:pPr>
      <w:r>
        <w:t>250.</w:t>
      </w:r>
      <w:r>
        <w:tab/>
        <w:t>Effect of decision against which appeal made</w:t>
      </w:r>
      <w:r>
        <w:tab/>
      </w:r>
      <w:r>
        <w:fldChar w:fldCharType="begin"/>
      </w:r>
      <w:r>
        <w:instrText xml:space="preserve"> PAGEREF _Toc390078631 \h </w:instrText>
      </w:r>
      <w:r>
        <w:fldChar w:fldCharType="separate"/>
      </w:r>
      <w:r>
        <w:t>296</w:t>
      </w:r>
      <w:r>
        <w:fldChar w:fldCharType="end"/>
      </w:r>
    </w:p>
    <w:p>
      <w:pPr>
        <w:pStyle w:val="TOC8"/>
        <w:rPr>
          <w:rFonts w:asciiTheme="minorHAnsi" w:eastAsiaTheme="minorEastAsia" w:hAnsiTheme="minorHAnsi" w:cstheme="minorBidi"/>
          <w:szCs w:val="22"/>
        </w:rPr>
      </w:pPr>
      <w:r>
        <w:t>251.</w:t>
      </w:r>
      <w:r>
        <w:tab/>
        <w:t>Commissioner may state case</w:t>
      </w:r>
      <w:r>
        <w:tab/>
      </w:r>
      <w:r>
        <w:fldChar w:fldCharType="begin"/>
      </w:r>
      <w:r>
        <w:instrText xml:space="preserve"> PAGEREF _Toc390078632 \h </w:instrText>
      </w:r>
      <w:r>
        <w:fldChar w:fldCharType="separate"/>
      </w:r>
      <w:r>
        <w:t>296</w:t>
      </w:r>
      <w:r>
        <w:fldChar w:fldCharType="end"/>
      </w:r>
    </w:p>
    <w:p>
      <w:pPr>
        <w:pStyle w:val="TOC8"/>
        <w:rPr>
          <w:rFonts w:asciiTheme="minorHAnsi" w:eastAsiaTheme="minorEastAsia" w:hAnsiTheme="minorHAnsi" w:cstheme="minorBidi"/>
          <w:szCs w:val="22"/>
        </w:rPr>
      </w:pPr>
      <w:r>
        <w:t>252.</w:t>
      </w:r>
      <w:r>
        <w:tab/>
        <w:t>Indemnity as to costs</w:t>
      </w:r>
      <w:r>
        <w:tab/>
      </w:r>
      <w:r>
        <w:fldChar w:fldCharType="begin"/>
      </w:r>
      <w:r>
        <w:instrText xml:space="preserve"> PAGEREF _Toc390078633 \h </w:instrText>
      </w:r>
      <w:r>
        <w:fldChar w:fldCharType="separate"/>
      </w:r>
      <w:r>
        <w:t>297</w:t>
      </w:r>
      <w:r>
        <w:fldChar w:fldCharType="end"/>
      </w:r>
    </w:p>
    <w:p>
      <w:pPr>
        <w:pStyle w:val="TOC8"/>
        <w:rPr>
          <w:rFonts w:asciiTheme="minorHAnsi" w:eastAsiaTheme="minorEastAsia" w:hAnsiTheme="minorHAnsi" w:cstheme="minorBidi"/>
          <w:szCs w:val="22"/>
        </w:rPr>
      </w:pPr>
      <w:r>
        <w:t>253.</w:t>
      </w:r>
      <w:r>
        <w:tab/>
        <w:t>Decisions of Commissioner</w:t>
      </w:r>
      <w:r>
        <w:tab/>
      </w:r>
      <w:r>
        <w:fldChar w:fldCharType="begin"/>
      </w:r>
      <w:r>
        <w:instrText xml:space="preserve"> PAGEREF _Toc390078634 \h </w:instrText>
      </w:r>
      <w:r>
        <w:fldChar w:fldCharType="separate"/>
      </w:r>
      <w:r>
        <w:t>297</w:t>
      </w:r>
      <w:r>
        <w:fldChar w:fldCharType="end"/>
      </w:r>
    </w:p>
    <w:p>
      <w:pPr>
        <w:pStyle w:val="TOC8"/>
        <w:rPr>
          <w:rFonts w:asciiTheme="minorHAnsi" w:eastAsiaTheme="minorEastAsia" w:hAnsiTheme="minorHAnsi" w:cstheme="minorBidi"/>
          <w:szCs w:val="22"/>
        </w:rPr>
      </w:pPr>
      <w:r>
        <w:t>254.</w:t>
      </w:r>
      <w:r>
        <w:tab/>
        <w:t>Appeal against decision of Commissioner</w:t>
      </w:r>
      <w:r>
        <w:tab/>
      </w:r>
      <w:r>
        <w:fldChar w:fldCharType="begin"/>
      </w:r>
      <w:r>
        <w:instrText xml:space="preserve"> PAGEREF _Toc390078635 \h </w:instrText>
      </w:r>
      <w:r>
        <w:fldChar w:fldCharType="separate"/>
      </w:r>
      <w:r>
        <w:t>297</w:t>
      </w:r>
      <w:r>
        <w:fldChar w:fldCharType="end"/>
      </w:r>
    </w:p>
    <w:p>
      <w:pPr>
        <w:pStyle w:val="TOC2"/>
        <w:tabs>
          <w:tab w:val="right" w:leader="dot" w:pos="7086"/>
        </w:tabs>
        <w:rPr>
          <w:rFonts w:asciiTheme="minorHAnsi" w:eastAsiaTheme="minorEastAsia" w:hAnsiTheme="minorHAnsi" w:cstheme="minorBidi"/>
          <w:b w:val="0"/>
          <w:sz w:val="22"/>
          <w:szCs w:val="22"/>
        </w:rPr>
      </w:pPr>
      <w:r>
        <w:t>Part XIV</w:t>
      </w:r>
      <w:r>
        <w:rPr>
          <w:b w:val="0"/>
        </w:rPr>
        <w:t> </w:t>
      </w:r>
      <w:r>
        <w:t>—</w:t>
      </w:r>
      <w:r>
        <w:rPr>
          <w:b w:val="0"/>
        </w:rPr>
        <w:t> </w:t>
      </w:r>
      <w:r>
        <w:t>Offences</w:t>
      </w:r>
    </w:p>
    <w:p>
      <w:pPr>
        <w:pStyle w:val="TOC8"/>
        <w:rPr>
          <w:rFonts w:asciiTheme="minorHAnsi" w:eastAsiaTheme="minorEastAsia" w:hAnsiTheme="minorHAnsi" w:cstheme="minorBidi"/>
          <w:szCs w:val="22"/>
        </w:rPr>
      </w:pPr>
      <w:r>
        <w:t>255.</w:t>
      </w:r>
      <w:r>
        <w:tab/>
        <w:t>Failing to comply with decision</w:t>
      </w:r>
      <w:r>
        <w:tab/>
      </w:r>
      <w:r>
        <w:fldChar w:fldCharType="begin"/>
      </w:r>
      <w:r>
        <w:instrText xml:space="preserve"> PAGEREF _Toc390078637 \h </w:instrText>
      </w:r>
      <w:r>
        <w:fldChar w:fldCharType="separate"/>
      </w:r>
      <w:r>
        <w:t>299</w:t>
      </w:r>
      <w:r>
        <w:fldChar w:fldCharType="end"/>
      </w:r>
    </w:p>
    <w:p>
      <w:pPr>
        <w:pStyle w:val="TOC8"/>
        <w:rPr>
          <w:rFonts w:asciiTheme="minorHAnsi" w:eastAsiaTheme="minorEastAsia" w:hAnsiTheme="minorHAnsi" w:cstheme="minorBidi"/>
          <w:szCs w:val="22"/>
        </w:rPr>
      </w:pPr>
      <w:r>
        <w:t>256.</w:t>
      </w:r>
      <w:r>
        <w:tab/>
        <w:t>Failing to comply with summons</w:t>
      </w:r>
      <w:r>
        <w:tab/>
      </w:r>
      <w:r>
        <w:fldChar w:fldCharType="begin"/>
      </w:r>
      <w:r>
        <w:instrText xml:space="preserve"> PAGEREF _Toc390078638 \h </w:instrText>
      </w:r>
      <w:r>
        <w:fldChar w:fldCharType="separate"/>
      </w:r>
      <w:r>
        <w:t>300</w:t>
      </w:r>
      <w:r>
        <w:fldChar w:fldCharType="end"/>
      </w:r>
    </w:p>
    <w:p>
      <w:pPr>
        <w:pStyle w:val="TOC8"/>
        <w:rPr>
          <w:rFonts w:asciiTheme="minorHAnsi" w:eastAsiaTheme="minorEastAsia" w:hAnsiTheme="minorHAnsi" w:cstheme="minorBidi"/>
          <w:szCs w:val="22"/>
        </w:rPr>
      </w:pPr>
      <w:r>
        <w:t>257.</w:t>
      </w:r>
      <w:r>
        <w:tab/>
        <w:t>Failing to give evidence as required</w:t>
      </w:r>
      <w:r>
        <w:tab/>
      </w:r>
      <w:r>
        <w:fldChar w:fldCharType="begin"/>
      </w:r>
      <w:r>
        <w:instrText xml:space="preserve"> PAGEREF _Toc390078639 \h </w:instrText>
      </w:r>
      <w:r>
        <w:fldChar w:fldCharType="separate"/>
      </w:r>
      <w:r>
        <w:t>300</w:t>
      </w:r>
      <w:r>
        <w:fldChar w:fldCharType="end"/>
      </w:r>
    </w:p>
    <w:p>
      <w:pPr>
        <w:pStyle w:val="TOC8"/>
        <w:rPr>
          <w:rFonts w:asciiTheme="minorHAnsi" w:eastAsiaTheme="minorEastAsia" w:hAnsiTheme="minorHAnsi" w:cstheme="minorBidi"/>
          <w:szCs w:val="22"/>
        </w:rPr>
      </w:pPr>
      <w:r>
        <w:t>258.</w:t>
      </w:r>
      <w:r>
        <w:tab/>
        <w:t>Giving false or misleading information</w:t>
      </w:r>
      <w:r>
        <w:tab/>
      </w:r>
      <w:r>
        <w:fldChar w:fldCharType="begin"/>
      </w:r>
      <w:r>
        <w:instrText xml:space="preserve"> PAGEREF _Toc390078640 \h </w:instrText>
      </w:r>
      <w:r>
        <w:fldChar w:fldCharType="separate"/>
      </w:r>
      <w:r>
        <w:t>300</w:t>
      </w:r>
      <w:r>
        <w:fldChar w:fldCharType="end"/>
      </w:r>
    </w:p>
    <w:p>
      <w:pPr>
        <w:pStyle w:val="TOC8"/>
        <w:rPr>
          <w:rFonts w:asciiTheme="minorHAnsi" w:eastAsiaTheme="minorEastAsia" w:hAnsiTheme="minorHAnsi" w:cstheme="minorBidi"/>
          <w:szCs w:val="22"/>
        </w:rPr>
      </w:pPr>
      <w:r>
        <w:t>259.</w:t>
      </w:r>
      <w:r>
        <w:tab/>
        <w:t>Misbehaviour and other conduct</w:t>
      </w:r>
      <w:r>
        <w:tab/>
      </w:r>
      <w:r>
        <w:fldChar w:fldCharType="begin"/>
      </w:r>
      <w:r>
        <w:instrText xml:space="preserve"> PAGEREF _Toc390078641 \h </w:instrText>
      </w:r>
      <w:r>
        <w:fldChar w:fldCharType="separate"/>
      </w:r>
      <w:r>
        <w:t>300</w:t>
      </w:r>
      <w:r>
        <w:fldChar w:fldCharType="end"/>
      </w:r>
    </w:p>
    <w:p>
      <w:pPr>
        <w:pStyle w:val="TOC8"/>
        <w:rPr>
          <w:rFonts w:asciiTheme="minorHAnsi" w:eastAsiaTheme="minorEastAsia" w:hAnsiTheme="minorHAnsi" w:cstheme="minorBidi"/>
          <w:szCs w:val="22"/>
        </w:rPr>
      </w:pPr>
      <w:r>
        <w:t>260.</w:t>
      </w:r>
      <w:r>
        <w:tab/>
        <w:t>Contempt of Commissioner</w:t>
      </w:r>
      <w:r>
        <w:tab/>
      </w:r>
      <w:r>
        <w:fldChar w:fldCharType="begin"/>
      </w:r>
      <w:r>
        <w:instrText xml:space="preserve"> PAGEREF _Toc390078642 \h </w:instrText>
      </w:r>
      <w:r>
        <w:fldChar w:fldCharType="separate"/>
      </w:r>
      <w:r>
        <w:t>301</w:t>
      </w:r>
      <w:r>
        <w:fldChar w:fldCharType="end"/>
      </w:r>
    </w:p>
    <w:p>
      <w:pPr>
        <w:pStyle w:val="TOC2"/>
        <w:tabs>
          <w:tab w:val="right" w:leader="dot" w:pos="7086"/>
        </w:tabs>
        <w:rPr>
          <w:rFonts w:asciiTheme="minorHAnsi" w:eastAsiaTheme="minorEastAsia" w:hAnsiTheme="minorHAnsi" w:cstheme="minorBidi"/>
          <w:b w:val="0"/>
          <w:sz w:val="22"/>
          <w:szCs w:val="22"/>
        </w:rPr>
      </w:pPr>
      <w:r>
        <w:t>Part XV</w:t>
      </w:r>
      <w:r>
        <w:rPr>
          <w:b w:val="0"/>
        </w:rPr>
        <w:t> </w:t>
      </w:r>
      <w:r>
        <w:t>—</w:t>
      </w:r>
      <w:r>
        <w:rPr>
          <w:b w:val="0"/>
        </w:rPr>
        <w:t> </w:t>
      </w:r>
      <w:r>
        <w:t>Costs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261.</w:t>
      </w:r>
      <w:r>
        <w:tab/>
        <w:t>Terms used in this Part</w:t>
      </w:r>
      <w:r>
        <w:tab/>
      </w:r>
      <w:r>
        <w:fldChar w:fldCharType="begin"/>
      </w:r>
      <w:r>
        <w:instrText xml:space="preserve"> PAGEREF _Toc390078645 \h </w:instrText>
      </w:r>
      <w:r>
        <w:fldChar w:fldCharType="separate"/>
      </w:r>
      <w:r>
        <w:t>302</w:t>
      </w:r>
      <w:r>
        <w:fldChar w:fldCharType="end"/>
      </w:r>
    </w:p>
    <w:p>
      <w:pPr>
        <w:pStyle w:val="TOC8"/>
        <w:rPr>
          <w:rFonts w:asciiTheme="minorHAnsi" w:eastAsiaTheme="minorEastAsia" w:hAnsiTheme="minorHAnsi" w:cstheme="minorBidi"/>
          <w:szCs w:val="22"/>
        </w:rPr>
      </w:pPr>
      <w:r>
        <w:t>262.</w:t>
      </w:r>
      <w:r>
        <w:tab/>
        <w:t>Costs to which this Part applies</w:t>
      </w:r>
      <w:r>
        <w:tab/>
      </w:r>
      <w:r>
        <w:fldChar w:fldCharType="begin"/>
      </w:r>
      <w:r>
        <w:instrText xml:space="preserve"> PAGEREF _Toc390078646 \h </w:instrText>
      </w:r>
      <w:r>
        <w:fldChar w:fldCharType="separate"/>
      </w:r>
      <w:r>
        <w:t>303</w:t>
      </w:r>
      <w:r>
        <w:fldChar w:fldCharType="end"/>
      </w:r>
    </w:p>
    <w:p>
      <w:pPr>
        <w:pStyle w:val="TOC8"/>
        <w:rPr>
          <w:rFonts w:asciiTheme="minorHAnsi" w:eastAsiaTheme="minorEastAsia" w:hAnsiTheme="minorHAnsi" w:cstheme="minorBidi"/>
          <w:szCs w:val="22"/>
        </w:rPr>
      </w:pPr>
      <w:r>
        <w:t>263.</w:t>
      </w:r>
      <w:r>
        <w:tab/>
        <w:t xml:space="preserve">This Part prevails over </w:t>
      </w:r>
      <w:r>
        <w:rPr>
          <w:i/>
        </w:rPr>
        <w:t>Legal Practice Act 2003</w:t>
      </w:r>
      <w:r>
        <w:tab/>
      </w:r>
      <w:r>
        <w:fldChar w:fldCharType="begin"/>
      </w:r>
      <w:r>
        <w:instrText xml:space="preserve"> PAGEREF _Toc390078647 \h </w:instrText>
      </w:r>
      <w:r>
        <w:fldChar w:fldCharType="separate"/>
      </w:r>
      <w:r>
        <w:t>303</w:t>
      </w:r>
      <w:r>
        <w:fldChar w:fldCharType="end"/>
      </w:r>
    </w:p>
    <w:p>
      <w:pPr>
        <w:pStyle w:val="TOC4"/>
        <w:tabs>
          <w:tab w:val="right" w:leader="dot" w:pos="7086"/>
        </w:tabs>
        <w:rPr>
          <w:rFonts w:asciiTheme="minorHAnsi" w:eastAsiaTheme="minorEastAsia" w:hAnsiTheme="minorHAnsi" w:cstheme="minorBidi"/>
          <w:b w:val="0"/>
          <w:szCs w:val="22"/>
        </w:rPr>
      </w:pPr>
      <w:r>
        <w:t>Division 2 — Costs of parties in proceedings and costs of proceedings</w:t>
      </w:r>
    </w:p>
    <w:p>
      <w:pPr>
        <w:pStyle w:val="TOC8"/>
        <w:rPr>
          <w:rFonts w:asciiTheme="minorHAnsi" w:eastAsiaTheme="minorEastAsia" w:hAnsiTheme="minorHAnsi" w:cstheme="minorBidi"/>
          <w:szCs w:val="22"/>
        </w:rPr>
      </w:pPr>
      <w:r>
        <w:t>264.</w:t>
      </w:r>
      <w:r>
        <w:tab/>
        <w:t>Costs to be determined by dispute resolution authority</w:t>
      </w:r>
      <w:r>
        <w:tab/>
      </w:r>
      <w:r>
        <w:fldChar w:fldCharType="begin"/>
      </w:r>
      <w:r>
        <w:instrText xml:space="preserve"> PAGEREF _Toc390078649 \h </w:instrText>
      </w:r>
      <w:r>
        <w:fldChar w:fldCharType="separate"/>
      </w:r>
      <w:r>
        <w:t>303</w:t>
      </w:r>
      <w:r>
        <w:fldChar w:fldCharType="end"/>
      </w:r>
    </w:p>
    <w:p>
      <w:pPr>
        <w:pStyle w:val="TOC8"/>
        <w:rPr>
          <w:rFonts w:asciiTheme="minorHAnsi" w:eastAsiaTheme="minorEastAsia" w:hAnsiTheme="minorHAnsi" w:cstheme="minorBidi"/>
          <w:szCs w:val="22"/>
        </w:rPr>
      </w:pPr>
      <w:r>
        <w:t>265.</w:t>
      </w:r>
      <w:r>
        <w:tab/>
        <w:t>Costs unreasonably incurred by representative</w:t>
      </w:r>
      <w:r>
        <w:tab/>
      </w:r>
      <w:r>
        <w:fldChar w:fldCharType="begin"/>
      </w:r>
      <w:r>
        <w:instrText xml:space="preserve"> PAGEREF _Toc390078650 \h </w:instrText>
      </w:r>
      <w:r>
        <w:fldChar w:fldCharType="separate"/>
      </w:r>
      <w:r>
        <w:t>304</w:t>
      </w:r>
      <w:r>
        <w:fldChar w:fldCharType="end"/>
      </w:r>
    </w:p>
    <w:p>
      <w:pPr>
        <w:pStyle w:val="TOC8"/>
        <w:rPr>
          <w:rFonts w:asciiTheme="minorHAnsi" w:eastAsiaTheme="minorEastAsia" w:hAnsiTheme="minorHAnsi" w:cstheme="minorBidi"/>
          <w:szCs w:val="22"/>
        </w:rPr>
      </w:pPr>
      <w:r>
        <w:t>266.</w:t>
      </w:r>
      <w:r>
        <w:tab/>
        <w:t>Agent’s costs</w:t>
      </w:r>
      <w:r>
        <w:tab/>
      </w:r>
      <w:r>
        <w:fldChar w:fldCharType="begin"/>
      </w:r>
      <w:r>
        <w:instrText xml:space="preserve"> PAGEREF _Toc390078651 \h </w:instrText>
      </w:r>
      <w:r>
        <w:fldChar w:fldCharType="separate"/>
      </w:r>
      <w:r>
        <w:t>305</w:t>
      </w:r>
      <w:r>
        <w:fldChar w:fldCharType="end"/>
      </w:r>
    </w:p>
    <w:p>
      <w:pPr>
        <w:pStyle w:val="TOC8"/>
        <w:rPr>
          <w:rFonts w:asciiTheme="minorHAnsi" w:eastAsiaTheme="minorEastAsia" w:hAnsiTheme="minorHAnsi" w:cstheme="minorBidi"/>
          <w:szCs w:val="22"/>
        </w:rPr>
      </w:pPr>
      <w:r>
        <w:t>267.</w:t>
      </w:r>
      <w:r>
        <w:tab/>
        <w:t>Appeal costs</w:t>
      </w:r>
      <w:r>
        <w:tab/>
      </w:r>
      <w:r>
        <w:fldChar w:fldCharType="begin"/>
      </w:r>
      <w:r>
        <w:instrText xml:space="preserve"> PAGEREF _Toc390078652 \h </w:instrText>
      </w:r>
      <w:r>
        <w:fldChar w:fldCharType="separate"/>
      </w:r>
      <w:r>
        <w:t>305</w:t>
      </w:r>
      <w:r>
        <w:fldChar w:fldCharType="end"/>
      </w:r>
    </w:p>
    <w:p>
      <w:pPr>
        <w:pStyle w:val="TOC8"/>
        <w:rPr>
          <w:rFonts w:asciiTheme="minorHAnsi" w:eastAsiaTheme="minorEastAsia" w:hAnsiTheme="minorHAnsi" w:cstheme="minorBidi"/>
          <w:szCs w:val="22"/>
        </w:rPr>
      </w:pPr>
      <w:r>
        <w:t>268.</w:t>
      </w:r>
      <w:r>
        <w:tab/>
        <w:t>Regulations for assessment of costs</w:t>
      </w:r>
      <w:r>
        <w:tab/>
      </w:r>
      <w:r>
        <w:fldChar w:fldCharType="begin"/>
      </w:r>
      <w:r>
        <w:instrText xml:space="preserve"> PAGEREF _Toc390078653 \h </w:instrText>
      </w:r>
      <w:r>
        <w:fldChar w:fldCharType="separate"/>
      </w:r>
      <w:r>
        <w:t>305</w:t>
      </w:r>
      <w:r>
        <w:fldChar w:fldCharType="end"/>
      </w:r>
    </w:p>
    <w:p>
      <w:pPr>
        <w:pStyle w:val="TOC4"/>
        <w:tabs>
          <w:tab w:val="right" w:leader="dot" w:pos="7086"/>
        </w:tabs>
        <w:rPr>
          <w:rFonts w:asciiTheme="minorHAnsi" w:eastAsiaTheme="minorEastAsia" w:hAnsiTheme="minorHAnsi" w:cstheme="minorBidi"/>
          <w:b w:val="0"/>
          <w:szCs w:val="22"/>
        </w:rPr>
      </w:pPr>
      <w:r>
        <w:t>Division 3 — Maximum costs</w:t>
      </w:r>
    </w:p>
    <w:p>
      <w:pPr>
        <w:pStyle w:val="TOC8"/>
        <w:rPr>
          <w:rFonts w:asciiTheme="minorHAnsi" w:eastAsiaTheme="minorEastAsia" w:hAnsiTheme="minorHAnsi" w:cstheme="minorBidi"/>
          <w:szCs w:val="22"/>
        </w:rPr>
      </w:pPr>
      <w:r>
        <w:t>269.</w:t>
      </w:r>
      <w:r>
        <w:tab/>
        <w:t>Costs Committee</w:t>
      </w:r>
      <w:r>
        <w:tab/>
      </w:r>
      <w:r>
        <w:fldChar w:fldCharType="begin"/>
      </w:r>
      <w:r>
        <w:instrText xml:space="preserve"> PAGEREF _Toc390078655 \h </w:instrText>
      </w:r>
      <w:r>
        <w:fldChar w:fldCharType="separate"/>
      </w:r>
      <w:r>
        <w:t>306</w:t>
      </w:r>
      <w:r>
        <w:fldChar w:fldCharType="end"/>
      </w:r>
    </w:p>
    <w:p>
      <w:pPr>
        <w:pStyle w:val="TOC8"/>
        <w:rPr>
          <w:rFonts w:asciiTheme="minorHAnsi" w:eastAsiaTheme="minorEastAsia" w:hAnsiTheme="minorHAnsi" w:cstheme="minorBidi"/>
          <w:szCs w:val="22"/>
        </w:rPr>
      </w:pPr>
      <w:r>
        <w:t>270.</w:t>
      </w:r>
      <w:r>
        <w:tab/>
        <w:t>Constitution and procedure of Costs Committee</w:t>
      </w:r>
      <w:r>
        <w:tab/>
      </w:r>
      <w:r>
        <w:fldChar w:fldCharType="begin"/>
      </w:r>
      <w:r>
        <w:instrText xml:space="preserve"> PAGEREF _Toc390078656 \h </w:instrText>
      </w:r>
      <w:r>
        <w:fldChar w:fldCharType="separate"/>
      </w:r>
      <w:r>
        <w:t>307</w:t>
      </w:r>
      <w:r>
        <w:fldChar w:fldCharType="end"/>
      </w:r>
    </w:p>
    <w:p>
      <w:pPr>
        <w:pStyle w:val="TOC8"/>
        <w:rPr>
          <w:rFonts w:asciiTheme="minorHAnsi" w:eastAsiaTheme="minorEastAsia" w:hAnsiTheme="minorHAnsi" w:cstheme="minorBidi"/>
          <w:szCs w:val="22"/>
        </w:rPr>
      </w:pPr>
      <w:r>
        <w:t>271.</w:t>
      </w:r>
      <w:r>
        <w:tab/>
        <w:t>Costs determination</w:t>
      </w:r>
      <w:r>
        <w:tab/>
      </w:r>
      <w:r>
        <w:fldChar w:fldCharType="begin"/>
      </w:r>
      <w:r>
        <w:instrText xml:space="preserve"> PAGEREF _Toc390078657 \h </w:instrText>
      </w:r>
      <w:r>
        <w:fldChar w:fldCharType="separate"/>
      </w:r>
      <w:r>
        <w:t>307</w:t>
      </w:r>
      <w:r>
        <w:fldChar w:fldCharType="end"/>
      </w:r>
    </w:p>
    <w:p>
      <w:pPr>
        <w:pStyle w:val="TOC8"/>
        <w:rPr>
          <w:rFonts w:asciiTheme="minorHAnsi" w:eastAsiaTheme="minorEastAsia" w:hAnsiTheme="minorHAnsi" w:cstheme="minorBidi"/>
          <w:szCs w:val="22"/>
        </w:rPr>
      </w:pPr>
      <w:r>
        <w:t>272.</w:t>
      </w:r>
      <w:r>
        <w:tab/>
        <w:t>Consultation</w:t>
      </w:r>
      <w:r>
        <w:tab/>
      </w:r>
      <w:r>
        <w:fldChar w:fldCharType="begin"/>
      </w:r>
      <w:r>
        <w:instrText xml:space="preserve"> PAGEREF _Toc390078658 \h </w:instrText>
      </w:r>
      <w:r>
        <w:fldChar w:fldCharType="separate"/>
      </w:r>
      <w:r>
        <w:t>308</w:t>
      </w:r>
      <w:r>
        <w:fldChar w:fldCharType="end"/>
      </w:r>
    </w:p>
    <w:p>
      <w:pPr>
        <w:pStyle w:val="TOC8"/>
        <w:rPr>
          <w:rFonts w:asciiTheme="minorHAnsi" w:eastAsiaTheme="minorEastAsia" w:hAnsiTheme="minorHAnsi" w:cstheme="minorBidi"/>
          <w:szCs w:val="22"/>
        </w:rPr>
      </w:pPr>
      <w:r>
        <w:t>273.</w:t>
      </w:r>
      <w:r>
        <w:tab/>
        <w:t>Approval and publication of determination</w:t>
      </w:r>
      <w:r>
        <w:tab/>
      </w:r>
      <w:r>
        <w:fldChar w:fldCharType="begin"/>
      </w:r>
      <w:r>
        <w:instrText xml:space="preserve"> PAGEREF _Toc390078659 \h </w:instrText>
      </w:r>
      <w:r>
        <w:fldChar w:fldCharType="separate"/>
      </w:r>
      <w:r>
        <w:t>308</w:t>
      </w:r>
      <w:r>
        <w:fldChar w:fldCharType="end"/>
      </w:r>
    </w:p>
    <w:p>
      <w:pPr>
        <w:pStyle w:val="TOC8"/>
        <w:rPr>
          <w:rFonts w:asciiTheme="minorHAnsi" w:eastAsiaTheme="minorEastAsia" w:hAnsiTheme="minorHAnsi" w:cstheme="minorBidi"/>
          <w:szCs w:val="22"/>
        </w:rPr>
      </w:pPr>
      <w:r>
        <w:t>274.</w:t>
      </w:r>
      <w:r>
        <w:tab/>
        <w:t>Effect of costs determination</w:t>
      </w:r>
      <w:r>
        <w:tab/>
      </w:r>
      <w:r>
        <w:fldChar w:fldCharType="begin"/>
      </w:r>
      <w:r>
        <w:instrText xml:space="preserve"> PAGEREF _Toc390078660 \h </w:instrText>
      </w:r>
      <w:r>
        <w:fldChar w:fldCharType="separate"/>
      </w:r>
      <w:r>
        <w:t>309</w:t>
      </w:r>
      <w:r>
        <w:fldChar w:fldCharType="end"/>
      </w:r>
    </w:p>
    <w:p>
      <w:pPr>
        <w:pStyle w:val="TOC8"/>
        <w:rPr>
          <w:rFonts w:asciiTheme="minorHAnsi" w:eastAsiaTheme="minorEastAsia" w:hAnsiTheme="minorHAnsi" w:cstheme="minorBidi"/>
          <w:szCs w:val="22"/>
        </w:rPr>
      </w:pPr>
      <w:r>
        <w:t>275.</w:t>
      </w:r>
      <w:r>
        <w:tab/>
        <w:t>Agreement as to costs</w:t>
      </w:r>
      <w:r>
        <w:tab/>
      </w:r>
      <w:r>
        <w:fldChar w:fldCharType="begin"/>
      </w:r>
      <w:r>
        <w:instrText xml:space="preserve"> PAGEREF _Toc390078661 \h </w:instrText>
      </w:r>
      <w:r>
        <w:fldChar w:fldCharType="separate"/>
      </w:r>
      <w:r>
        <w:t>309</w:t>
      </w:r>
      <w:r>
        <w:fldChar w:fldCharType="end"/>
      </w:r>
    </w:p>
    <w:p>
      <w:pPr>
        <w:pStyle w:val="TOC8"/>
        <w:rPr>
          <w:rFonts w:asciiTheme="minorHAnsi" w:eastAsiaTheme="minorEastAsia" w:hAnsiTheme="minorHAnsi" w:cstheme="minorBidi"/>
          <w:szCs w:val="22"/>
        </w:rPr>
      </w:pPr>
      <w:r>
        <w:t>276.</w:t>
      </w:r>
      <w:r>
        <w:tab/>
        <w:t>Division does not apply to Part IV proceedings</w:t>
      </w:r>
      <w:r>
        <w:tab/>
      </w:r>
      <w:r>
        <w:fldChar w:fldCharType="begin"/>
      </w:r>
      <w:r>
        <w:instrText xml:space="preserve"> PAGEREF _Toc390078662 \h </w:instrText>
      </w:r>
      <w:r>
        <w:fldChar w:fldCharType="separate"/>
      </w:r>
      <w:r>
        <w:t>309</w:t>
      </w:r>
      <w:r>
        <w:fldChar w:fldCharType="end"/>
      </w:r>
    </w:p>
    <w:p>
      <w:pPr>
        <w:pStyle w:val="TOC2"/>
        <w:tabs>
          <w:tab w:val="right" w:leader="dot" w:pos="7086"/>
        </w:tabs>
        <w:rPr>
          <w:rFonts w:asciiTheme="minorHAnsi" w:eastAsiaTheme="minorEastAsia" w:hAnsiTheme="minorHAnsi" w:cstheme="minorBidi"/>
          <w:b w:val="0"/>
          <w:sz w:val="22"/>
          <w:szCs w:val="22"/>
        </w:rPr>
      </w:pPr>
      <w:r>
        <w:t>Part XVI — Registered agents</w:t>
      </w:r>
    </w:p>
    <w:p>
      <w:pPr>
        <w:pStyle w:val="TOC8"/>
        <w:rPr>
          <w:rFonts w:asciiTheme="minorHAnsi" w:eastAsiaTheme="minorEastAsia" w:hAnsiTheme="minorHAnsi" w:cstheme="minorBidi"/>
          <w:szCs w:val="22"/>
        </w:rPr>
      </w:pPr>
      <w:r>
        <w:t>277.</w:t>
      </w:r>
      <w:r>
        <w:tab/>
        <w:t>Who may register as an agent</w:t>
      </w:r>
      <w:r>
        <w:tab/>
      </w:r>
      <w:r>
        <w:fldChar w:fldCharType="begin"/>
      </w:r>
      <w:r>
        <w:instrText xml:space="preserve"> PAGEREF _Toc390078664 \h </w:instrText>
      </w:r>
      <w:r>
        <w:fldChar w:fldCharType="separate"/>
      </w:r>
      <w:r>
        <w:t>310</w:t>
      </w:r>
      <w:r>
        <w:fldChar w:fldCharType="end"/>
      </w:r>
    </w:p>
    <w:p>
      <w:pPr>
        <w:pStyle w:val="TOC2"/>
        <w:tabs>
          <w:tab w:val="right" w:leader="dot" w:pos="7086"/>
        </w:tabs>
        <w:rPr>
          <w:rFonts w:asciiTheme="minorHAnsi" w:eastAsiaTheme="minorEastAsia" w:hAnsiTheme="minorHAnsi" w:cstheme="minorBidi"/>
          <w:b w:val="0"/>
          <w:sz w:val="22"/>
          <w:szCs w:val="22"/>
        </w:rPr>
      </w:pPr>
      <w:r>
        <w:t>Part XVII</w:t>
      </w:r>
      <w:r>
        <w:rPr>
          <w:b w:val="0"/>
        </w:rPr>
        <w:t> </w:t>
      </w:r>
      <w:r>
        <w:t>—</w:t>
      </w:r>
      <w:r>
        <w:rPr>
          <w:b w:val="0"/>
        </w:rPr>
        <w:t> </w:t>
      </w:r>
      <w:r>
        <w:t>The Dispute Resolution Directorate</w:t>
      </w:r>
    </w:p>
    <w:p>
      <w:pPr>
        <w:pStyle w:val="TOC4"/>
        <w:tabs>
          <w:tab w:val="right" w:leader="dot" w:pos="7086"/>
        </w:tabs>
        <w:rPr>
          <w:rFonts w:asciiTheme="minorHAnsi" w:eastAsiaTheme="minorEastAsia" w:hAnsiTheme="minorHAnsi" w:cstheme="minorBidi"/>
          <w:b w:val="0"/>
          <w:szCs w:val="22"/>
        </w:rPr>
      </w:pPr>
      <w:r>
        <w:t>Division 1 — Establishment and objectives</w:t>
      </w:r>
    </w:p>
    <w:p>
      <w:pPr>
        <w:pStyle w:val="TOC8"/>
        <w:rPr>
          <w:rFonts w:asciiTheme="minorHAnsi" w:eastAsiaTheme="minorEastAsia" w:hAnsiTheme="minorHAnsi" w:cstheme="minorBidi"/>
          <w:szCs w:val="22"/>
        </w:rPr>
      </w:pPr>
      <w:r>
        <w:t>278.</w:t>
      </w:r>
      <w:r>
        <w:tab/>
        <w:t>DRD established</w:t>
      </w:r>
      <w:r>
        <w:tab/>
      </w:r>
      <w:r>
        <w:fldChar w:fldCharType="begin"/>
      </w:r>
      <w:r>
        <w:instrText xml:space="preserve"> PAGEREF _Toc390078667 \h </w:instrText>
      </w:r>
      <w:r>
        <w:fldChar w:fldCharType="separate"/>
      </w:r>
      <w:r>
        <w:t>312</w:t>
      </w:r>
      <w:r>
        <w:fldChar w:fldCharType="end"/>
      </w:r>
    </w:p>
    <w:p>
      <w:pPr>
        <w:pStyle w:val="TOC8"/>
        <w:rPr>
          <w:rFonts w:asciiTheme="minorHAnsi" w:eastAsiaTheme="minorEastAsia" w:hAnsiTheme="minorHAnsi" w:cstheme="minorBidi"/>
          <w:szCs w:val="22"/>
        </w:rPr>
      </w:pPr>
      <w:r>
        <w:t>279.</w:t>
      </w:r>
      <w:r>
        <w:tab/>
        <w:t>Main objectives of the DRD</w:t>
      </w:r>
      <w:r>
        <w:tab/>
      </w:r>
      <w:r>
        <w:fldChar w:fldCharType="begin"/>
      </w:r>
      <w:r>
        <w:instrText xml:space="preserve"> PAGEREF _Toc390078668 \h </w:instrText>
      </w:r>
      <w:r>
        <w:fldChar w:fldCharType="separate"/>
      </w:r>
      <w:r>
        <w:t>312</w:t>
      </w:r>
      <w:r>
        <w:fldChar w:fldCharType="end"/>
      </w:r>
    </w:p>
    <w:p>
      <w:pPr>
        <w:pStyle w:val="TOC8"/>
        <w:rPr>
          <w:rFonts w:asciiTheme="minorHAnsi" w:eastAsiaTheme="minorEastAsia" w:hAnsiTheme="minorHAnsi" w:cstheme="minorBidi"/>
          <w:szCs w:val="22"/>
        </w:rPr>
      </w:pPr>
      <w:r>
        <w:t>280.</w:t>
      </w:r>
      <w:r>
        <w:tab/>
        <w:t>DRD’s constitution</w:t>
      </w:r>
      <w:r>
        <w:tab/>
      </w:r>
      <w:r>
        <w:fldChar w:fldCharType="begin"/>
      </w:r>
      <w:r>
        <w:instrText xml:space="preserve"> PAGEREF _Toc390078669 \h </w:instrText>
      </w:r>
      <w:r>
        <w:fldChar w:fldCharType="separate"/>
      </w:r>
      <w:r>
        <w:t>313</w:t>
      </w:r>
      <w:r>
        <w:fldChar w:fldCharType="end"/>
      </w:r>
    </w:p>
    <w:p>
      <w:pPr>
        <w:pStyle w:val="TOC4"/>
        <w:tabs>
          <w:tab w:val="right" w:leader="dot" w:pos="7086"/>
        </w:tabs>
        <w:rPr>
          <w:rFonts w:asciiTheme="minorHAnsi" w:eastAsiaTheme="minorEastAsia" w:hAnsiTheme="minorHAnsi" w:cstheme="minorBidi"/>
          <w:b w:val="0"/>
          <w:szCs w:val="22"/>
        </w:rPr>
      </w:pPr>
      <w:r>
        <w:t>Division 2 — Commissioner</w:t>
      </w:r>
    </w:p>
    <w:p>
      <w:pPr>
        <w:pStyle w:val="TOC8"/>
        <w:rPr>
          <w:rFonts w:asciiTheme="minorHAnsi" w:eastAsiaTheme="minorEastAsia" w:hAnsiTheme="minorHAnsi" w:cstheme="minorBidi"/>
          <w:szCs w:val="22"/>
        </w:rPr>
      </w:pPr>
      <w:r>
        <w:t>281.</w:t>
      </w:r>
      <w:r>
        <w:tab/>
        <w:t>Appointment of Commissioner</w:t>
      </w:r>
      <w:r>
        <w:tab/>
      </w:r>
      <w:r>
        <w:fldChar w:fldCharType="begin"/>
      </w:r>
      <w:r>
        <w:instrText xml:space="preserve"> PAGEREF _Toc390078671 \h </w:instrText>
      </w:r>
      <w:r>
        <w:fldChar w:fldCharType="separate"/>
      </w:r>
      <w:r>
        <w:t>313</w:t>
      </w:r>
      <w:r>
        <w:fldChar w:fldCharType="end"/>
      </w:r>
    </w:p>
    <w:p>
      <w:pPr>
        <w:pStyle w:val="TOC8"/>
        <w:rPr>
          <w:rFonts w:asciiTheme="minorHAnsi" w:eastAsiaTheme="minorEastAsia" w:hAnsiTheme="minorHAnsi" w:cstheme="minorBidi"/>
          <w:szCs w:val="22"/>
        </w:rPr>
      </w:pPr>
      <w:r>
        <w:t>282.</w:t>
      </w:r>
      <w:r>
        <w:tab/>
        <w:t>Terms and conditions of service</w:t>
      </w:r>
      <w:r>
        <w:tab/>
      </w:r>
      <w:r>
        <w:fldChar w:fldCharType="begin"/>
      </w:r>
      <w:r>
        <w:instrText xml:space="preserve"> PAGEREF _Toc390078672 \h </w:instrText>
      </w:r>
      <w:r>
        <w:fldChar w:fldCharType="separate"/>
      </w:r>
      <w:r>
        <w:t>313</w:t>
      </w:r>
      <w:r>
        <w:fldChar w:fldCharType="end"/>
      </w:r>
    </w:p>
    <w:p>
      <w:pPr>
        <w:pStyle w:val="TOC8"/>
        <w:rPr>
          <w:rFonts w:asciiTheme="minorHAnsi" w:eastAsiaTheme="minorEastAsia" w:hAnsiTheme="minorHAnsi" w:cstheme="minorBidi"/>
          <w:szCs w:val="22"/>
        </w:rPr>
      </w:pPr>
      <w:r>
        <w:t>283.</w:t>
      </w:r>
      <w:r>
        <w:tab/>
        <w:t>Declaration of inability to act</w:t>
      </w:r>
      <w:r>
        <w:tab/>
      </w:r>
      <w:r>
        <w:fldChar w:fldCharType="begin"/>
      </w:r>
      <w:r>
        <w:instrText xml:space="preserve"> PAGEREF _Toc390078673 \h </w:instrText>
      </w:r>
      <w:r>
        <w:fldChar w:fldCharType="separate"/>
      </w:r>
      <w:r>
        <w:t>313</w:t>
      </w:r>
      <w:r>
        <w:fldChar w:fldCharType="end"/>
      </w:r>
    </w:p>
    <w:p>
      <w:pPr>
        <w:pStyle w:val="TOC8"/>
        <w:rPr>
          <w:rFonts w:asciiTheme="minorHAnsi" w:eastAsiaTheme="minorEastAsia" w:hAnsiTheme="minorHAnsi" w:cstheme="minorBidi"/>
          <w:szCs w:val="22"/>
        </w:rPr>
      </w:pPr>
      <w:r>
        <w:t>284.</w:t>
      </w:r>
      <w:r>
        <w:tab/>
        <w:t>Acting appointment</w:t>
      </w:r>
      <w:r>
        <w:tab/>
      </w:r>
      <w:r>
        <w:fldChar w:fldCharType="begin"/>
      </w:r>
      <w:r>
        <w:instrText xml:space="preserve"> PAGEREF _Toc390078674 \h </w:instrText>
      </w:r>
      <w:r>
        <w:fldChar w:fldCharType="separate"/>
      </w:r>
      <w:r>
        <w:t>314</w:t>
      </w:r>
      <w:r>
        <w:fldChar w:fldCharType="end"/>
      </w:r>
    </w:p>
    <w:p>
      <w:pPr>
        <w:pStyle w:val="TOC8"/>
        <w:rPr>
          <w:rFonts w:asciiTheme="minorHAnsi" w:eastAsiaTheme="minorEastAsia" w:hAnsiTheme="minorHAnsi" w:cstheme="minorBidi"/>
          <w:szCs w:val="22"/>
        </w:rPr>
      </w:pPr>
      <w:r>
        <w:t>285.</w:t>
      </w:r>
      <w:r>
        <w:tab/>
        <w:t>Functions of Commissioner</w:t>
      </w:r>
      <w:r>
        <w:tab/>
      </w:r>
      <w:r>
        <w:fldChar w:fldCharType="begin"/>
      </w:r>
      <w:r>
        <w:instrText xml:space="preserve"> PAGEREF _Toc390078675 \h </w:instrText>
      </w:r>
      <w:r>
        <w:fldChar w:fldCharType="separate"/>
      </w:r>
      <w:r>
        <w:t>315</w:t>
      </w:r>
      <w:r>
        <w:fldChar w:fldCharType="end"/>
      </w:r>
    </w:p>
    <w:p>
      <w:pPr>
        <w:pStyle w:val="TOC4"/>
        <w:tabs>
          <w:tab w:val="right" w:leader="dot" w:pos="7086"/>
        </w:tabs>
        <w:rPr>
          <w:rFonts w:asciiTheme="minorHAnsi" w:eastAsiaTheme="minorEastAsia" w:hAnsiTheme="minorHAnsi" w:cstheme="minorBidi"/>
          <w:b w:val="0"/>
          <w:szCs w:val="22"/>
        </w:rPr>
      </w:pPr>
      <w:r>
        <w:t>Division 3 — Arbitrators</w:t>
      </w:r>
    </w:p>
    <w:p>
      <w:pPr>
        <w:pStyle w:val="TOC8"/>
        <w:rPr>
          <w:rFonts w:asciiTheme="minorHAnsi" w:eastAsiaTheme="minorEastAsia" w:hAnsiTheme="minorHAnsi" w:cstheme="minorBidi"/>
          <w:szCs w:val="22"/>
        </w:rPr>
      </w:pPr>
      <w:r>
        <w:t>286.</w:t>
      </w:r>
      <w:r>
        <w:tab/>
        <w:t>Arbitrators</w:t>
      </w:r>
      <w:r>
        <w:tab/>
      </w:r>
      <w:r>
        <w:fldChar w:fldCharType="begin"/>
      </w:r>
      <w:r>
        <w:instrText xml:space="preserve"> PAGEREF _Toc390078677 \h </w:instrText>
      </w:r>
      <w:r>
        <w:fldChar w:fldCharType="separate"/>
      </w:r>
      <w:r>
        <w:t>315</w:t>
      </w:r>
      <w:r>
        <w:fldChar w:fldCharType="end"/>
      </w:r>
    </w:p>
    <w:p>
      <w:pPr>
        <w:pStyle w:val="TOC8"/>
        <w:rPr>
          <w:rFonts w:asciiTheme="minorHAnsi" w:eastAsiaTheme="minorEastAsia" w:hAnsiTheme="minorHAnsi" w:cstheme="minorBidi"/>
          <w:szCs w:val="22"/>
        </w:rPr>
      </w:pPr>
      <w:r>
        <w:t>287.</w:t>
      </w:r>
      <w:r>
        <w:tab/>
        <w:t>Control and direction of arbitrators</w:t>
      </w:r>
      <w:r>
        <w:tab/>
      </w:r>
      <w:r>
        <w:fldChar w:fldCharType="begin"/>
      </w:r>
      <w:r>
        <w:instrText xml:space="preserve"> PAGEREF _Toc390078678 \h </w:instrText>
      </w:r>
      <w:r>
        <w:fldChar w:fldCharType="separate"/>
      </w:r>
      <w:r>
        <w:t>316</w:t>
      </w:r>
      <w:r>
        <w:fldChar w:fldCharType="end"/>
      </w:r>
    </w:p>
    <w:p>
      <w:pPr>
        <w:pStyle w:val="TOC4"/>
        <w:tabs>
          <w:tab w:val="right" w:leader="dot" w:pos="7086"/>
        </w:tabs>
        <w:rPr>
          <w:rFonts w:asciiTheme="minorHAnsi" w:eastAsiaTheme="minorEastAsia" w:hAnsiTheme="minorHAnsi" w:cstheme="minorBidi"/>
          <w:b w:val="0"/>
          <w:szCs w:val="22"/>
        </w:rPr>
      </w:pPr>
      <w:r>
        <w:t>Division 4 — Director Dispute Resolution and staff</w:t>
      </w:r>
    </w:p>
    <w:p>
      <w:pPr>
        <w:pStyle w:val="TOC8"/>
        <w:rPr>
          <w:rFonts w:asciiTheme="minorHAnsi" w:eastAsiaTheme="minorEastAsia" w:hAnsiTheme="minorHAnsi" w:cstheme="minorBidi"/>
          <w:szCs w:val="22"/>
        </w:rPr>
      </w:pPr>
      <w:r>
        <w:t>288.</w:t>
      </w:r>
      <w:r>
        <w:tab/>
        <w:t>Director Dispute Resolution</w:t>
      </w:r>
      <w:r>
        <w:tab/>
      </w:r>
      <w:r>
        <w:fldChar w:fldCharType="begin"/>
      </w:r>
      <w:r>
        <w:instrText xml:space="preserve"> PAGEREF _Toc390078680 \h </w:instrText>
      </w:r>
      <w:r>
        <w:fldChar w:fldCharType="separate"/>
      </w:r>
      <w:r>
        <w:t>316</w:t>
      </w:r>
      <w:r>
        <w:fldChar w:fldCharType="end"/>
      </w:r>
    </w:p>
    <w:p>
      <w:pPr>
        <w:pStyle w:val="TOC8"/>
        <w:rPr>
          <w:rFonts w:asciiTheme="minorHAnsi" w:eastAsiaTheme="minorEastAsia" w:hAnsiTheme="minorHAnsi" w:cstheme="minorBidi"/>
          <w:szCs w:val="22"/>
        </w:rPr>
      </w:pPr>
      <w:r>
        <w:t>289.</w:t>
      </w:r>
      <w:r>
        <w:tab/>
        <w:t>Functions and responsibilities of Director</w:t>
      </w:r>
      <w:r>
        <w:tab/>
      </w:r>
      <w:r>
        <w:fldChar w:fldCharType="begin"/>
      </w:r>
      <w:r>
        <w:instrText xml:space="preserve"> PAGEREF _Toc390078681 \h </w:instrText>
      </w:r>
      <w:r>
        <w:fldChar w:fldCharType="separate"/>
      </w:r>
      <w:r>
        <w:t>316</w:t>
      </w:r>
      <w:r>
        <w:fldChar w:fldCharType="end"/>
      </w:r>
    </w:p>
    <w:p>
      <w:pPr>
        <w:pStyle w:val="TOC8"/>
        <w:rPr>
          <w:rFonts w:asciiTheme="minorHAnsi" w:eastAsiaTheme="minorEastAsia" w:hAnsiTheme="minorHAnsi" w:cstheme="minorBidi"/>
          <w:szCs w:val="22"/>
        </w:rPr>
      </w:pPr>
      <w:r>
        <w:t>290.</w:t>
      </w:r>
      <w:r>
        <w:tab/>
        <w:t>Delegation by Director</w:t>
      </w:r>
      <w:r>
        <w:tab/>
      </w:r>
      <w:r>
        <w:fldChar w:fldCharType="begin"/>
      </w:r>
      <w:r>
        <w:instrText xml:space="preserve"> PAGEREF _Toc390078682 \h </w:instrText>
      </w:r>
      <w:r>
        <w:fldChar w:fldCharType="separate"/>
      </w:r>
      <w:r>
        <w:t>317</w:t>
      </w:r>
      <w:r>
        <w:fldChar w:fldCharType="end"/>
      </w:r>
    </w:p>
    <w:p>
      <w:pPr>
        <w:pStyle w:val="TOC8"/>
        <w:rPr>
          <w:rFonts w:asciiTheme="minorHAnsi" w:eastAsiaTheme="minorEastAsia" w:hAnsiTheme="minorHAnsi" w:cstheme="minorBidi"/>
          <w:szCs w:val="22"/>
        </w:rPr>
      </w:pPr>
      <w:r>
        <w:t>291.</w:t>
      </w:r>
      <w:r>
        <w:tab/>
        <w:t>Staff of DRD</w:t>
      </w:r>
      <w:r>
        <w:tab/>
      </w:r>
      <w:r>
        <w:fldChar w:fldCharType="begin"/>
      </w:r>
      <w:r>
        <w:instrText xml:space="preserve"> PAGEREF _Toc390078683 \h </w:instrText>
      </w:r>
      <w:r>
        <w:fldChar w:fldCharType="separate"/>
      </w:r>
      <w:r>
        <w:t>317</w:t>
      </w:r>
      <w:r>
        <w:fldChar w:fldCharType="end"/>
      </w:r>
    </w:p>
    <w:p>
      <w:pPr>
        <w:pStyle w:val="TOC2"/>
        <w:tabs>
          <w:tab w:val="right" w:leader="dot" w:pos="7086"/>
        </w:tabs>
        <w:rPr>
          <w:rFonts w:asciiTheme="minorHAnsi" w:eastAsiaTheme="minorEastAsia" w:hAnsiTheme="minorHAnsi" w:cstheme="minorBidi"/>
          <w:b w:val="0"/>
          <w:sz w:val="22"/>
          <w:szCs w:val="22"/>
        </w:rPr>
      </w:pPr>
      <w:r>
        <w:t>Part XVIII — Regulations, rules and practice notes</w:t>
      </w:r>
    </w:p>
    <w:p>
      <w:pPr>
        <w:pStyle w:val="TOC8"/>
        <w:rPr>
          <w:rFonts w:asciiTheme="minorHAnsi" w:eastAsiaTheme="minorEastAsia" w:hAnsiTheme="minorHAnsi" w:cstheme="minorBidi"/>
          <w:szCs w:val="22"/>
        </w:rPr>
      </w:pPr>
      <w:r>
        <w:t>292.</w:t>
      </w:r>
      <w:r>
        <w:tab/>
        <w:t>Regulations</w:t>
      </w:r>
      <w:r>
        <w:tab/>
      </w:r>
      <w:r>
        <w:fldChar w:fldCharType="begin"/>
      </w:r>
      <w:r>
        <w:instrText xml:space="preserve"> PAGEREF _Toc390078685 \h </w:instrText>
      </w:r>
      <w:r>
        <w:fldChar w:fldCharType="separate"/>
      </w:r>
      <w:r>
        <w:t>318</w:t>
      </w:r>
      <w:r>
        <w:fldChar w:fldCharType="end"/>
      </w:r>
    </w:p>
    <w:p>
      <w:pPr>
        <w:pStyle w:val="TOC8"/>
        <w:rPr>
          <w:rFonts w:asciiTheme="minorHAnsi" w:eastAsiaTheme="minorEastAsia" w:hAnsiTheme="minorHAnsi" w:cstheme="minorBidi"/>
          <w:szCs w:val="22"/>
        </w:rPr>
      </w:pPr>
      <w:r>
        <w:t>293.</w:t>
      </w:r>
      <w:r>
        <w:tab/>
        <w:t>DRD Rules</w:t>
      </w:r>
      <w:r>
        <w:tab/>
      </w:r>
      <w:r>
        <w:fldChar w:fldCharType="begin"/>
      </w:r>
      <w:r>
        <w:instrText xml:space="preserve"> PAGEREF _Toc390078686 \h </w:instrText>
      </w:r>
      <w:r>
        <w:fldChar w:fldCharType="separate"/>
      </w:r>
      <w:r>
        <w:t>320</w:t>
      </w:r>
      <w:r>
        <w:fldChar w:fldCharType="end"/>
      </w:r>
    </w:p>
    <w:p>
      <w:pPr>
        <w:pStyle w:val="TOC8"/>
        <w:rPr>
          <w:rFonts w:asciiTheme="minorHAnsi" w:eastAsiaTheme="minorEastAsia" w:hAnsiTheme="minorHAnsi" w:cstheme="minorBidi"/>
          <w:szCs w:val="22"/>
        </w:rPr>
      </w:pPr>
      <w:r>
        <w:t>294.</w:t>
      </w:r>
      <w:r>
        <w:tab/>
        <w:t>Practice notes</w:t>
      </w:r>
      <w:r>
        <w:tab/>
      </w:r>
      <w:r>
        <w:fldChar w:fldCharType="begin"/>
      </w:r>
      <w:r>
        <w:instrText xml:space="preserve"> PAGEREF _Toc390078687 \h </w:instrText>
      </w:r>
      <w:r>
        <w:fldChar w:fldCharType="separate"/>
      </w:r>
      <w:r>
        <w:t>322</w:t>
      </w:r>
      <w:r>
        <w:fldChar w:fldCharType="end"/>
      </w:r>
    </w:p>
    <w:p>
      <w:pPr>
        <w:pStyle w:val="TOC2"/>
        <w:tabs>
          <w:tab w:val="right" w:leader="dot" w:pos="7086"/>
        </w:tabs>
        <w:rPr>
          <w:rFonts w:asciiTheme="minorHAnsi" w:eastAsiaTheme="minorEastAsia" w:hAnsiTheme="minorHAnsi" w:cstheme="minorBidi"/>
          <w:b w:val="0"/>
          <w:sz w:val="22"/>
          <w:szCs w:val="22"/>
        </w:rPr>
      </w:pPr>
      <w:r>
        <w:t>Part XIX — Miscellaneous</w:t>
      </w:r>
    </w:p>
    <w:p>
      <w:pPr>
        <w:pStyle w:val="TOC8"/>
        <w:rPr>
          <w:rFonts w:asciiTheme="minorHAnsi" w:eastAsiaTheme="minorEastAsia" w:hAnsiTheme="minorHAnsi" w:cstheme="minorBidi"/>
          <w:szCs w:val="22"/>
        </w:rPr>
      </w:pPr>
      <w:r>
        <w:t>295</w:t>
      </w:r>
      <w:r>
        <w:rPr>
          <w:snapToGrid w:val="0"/>
        </w:rPr>
        <w:t>.</w:t>
      </w:r>
      <w:r>
        <w:rPr>
          <w:snapToGrid w:val="0"/>
        </w:rPr>
        <w:tab/>
        <w:t>Public Service</w:t>
      </w:r>
      <w:r>
        <w:tab/>
      </w:r>
      <w:r>
        <w:fldChar w:fldCharType="begin"/>
      </w:r>
      <w:r>
        <w:instrText xml:space="preserve"> PAGEREF _Toc390078689 \h </w:instrText>
      </w:r>
      <w:r>
        <w:fldChar w:fldCharType="separate"/>
      </w:r>
      <w:r>
        <w:t>323</w:t>
      </w:r>
      <w:r>
        <w:fldChar w:fldCharType="end"/>
      </w:r>
    </w:p>
    <w:p>
      <w:pPr>
        <w:pStyle w:val="TOC8"/>
        <w:rPr>
          <w:rFonts w:asciiTheme="minorHAnsi" w:eastAsiaTheme="minorEastAsia" w:hAnsiTheme="minorHAnsi" w:cstheme="minorBidi"/>
          <w:szCs w:val="22"/>
        </w:rPr>
      </w:pPr>
      <w:r>
        <w:t>296.</w:t>
      </w:r>
      <w:r>
        <w:tab/>
        <w:t>Delegation by chief executive officer</w:t>
      </w:r>
      <w:r>
        <w:tab/>
      </w:r>
      <w:r>
        <w:fldChar w:fldCharType="begin"/>
      </w:r>
      <w:r>
        <w:instrText xml:space="preserve"> PAGEREF _Toc390078690 \h </w:instrText>
      </w:r>
      <w:r>
        <w:fldChar w:fldCharType="separate"/>
      </w:r>
      <w:r>
        <w:t>323</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Agreements and receipts under this Act exempt from duty</w:t>
      </w:r>
      <w:r>
        <w:tab/>
      </w:r>
      <w:r>
        <w:fldChar w:fldCharType="begin"/>
      </w:r>
      <w:r>
        <w:instrText xml:space="preserve"> PAGEREF _Toc390078691 \h </w:instrText>
      </w:r>
      <w:r>
        <w:fldChar w:fldCharType="separate"/>
      </w:r>
      <w:r>
        <w:t>324</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Order for detention of ship</w:t>
      </w:r>
      <w:r>
        <w:tab/>
      </w:r>
      <w:r>
        <w:fldChar w:fldCharType="begin"/>
      </w:r>
      <w:r>
        <w:instrText xml:space="preserve"> PAGEREF _Toc390078692 \h </w:instrText>
      </w:r>
      <w:r>
        <w:fldChar w:fldCharType="separate"/>
      </w:r>
      <w:r>
        <w:t>324</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Judicial notice</w:t>
      </w:r>
      <w:r>
        <w:tab/>
      </w:r>
      <w:r>
        <w:fldChar w:fldCharType="begin"/>
      </w:r>
      <w:r>
        <w:instrText xml:space="preserve"> PAGEREF _Toc390078693 \h </w:instrText>
      </w:r>
      <w:r>
        <w:fldChar w:fldCharType="separate"/>
      </w:r>
      <w:r>
        <w:t>325</w:t>
      </w:r>
      <w:r>
        <w:fldChar w:fldCharType="end"/>
      </w:r>
    </w:p>
    <w:p>
      <w:pPr>
        <w:pStyle w:val="TOC8"/>
        <w:rPr>
          <w:rFonts w:asciiTheme="minorHAnsi" w:eastAsiaTheme="minorEastAsia" w:hAnsiTheme="minorHAnsi" w:cstheme="minorBidi"/>
          <w:szCs w:val="22"/>
        </w:rPr>
      </w:pPr>
      <w:r>
        <w:t>300.</w:t>
      </w:r>
      <w:r>
        <w:tab/>
        <w:t>District Court to provide information to WorkCover WA</w:t>
      </w:r>
      <w:r>
        <w:tab/>
      </w:r>
      <w:r>
        <w:fldChar w:fldCharType="begin"/>
      </w:r>
      <w:r>
        <w:instrText xml:space="preserve"> PAGEREF _Toc390078694 \h </w:instrText>
      </w:r>
      <w:r>
        <w:fldChar w:fldCharType="separate"/>
      </w:r>
      <w:r>
        <w:t>326</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Prohibition of contracting out</w:t>
      </w:r>
      <w:r>
        <w:tab/>
      </w:r>
      <w:r>
        <w:fldChar w:fldCharType="begin"/>
      </w:r>
      <w:r>
        <w:instrText xml:space="preserve"> PAGEREF _Toc390078695 \h </w:instrText>
      </w:r>
      <w:r>
        <w:fldChar w:fldCharType="separate"/>
      </w:r>
      <w:r>
        <w:t>326</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Deductions towards compensation not lawful</w:t>
      </w:r>
      <w:r>
        <w:tab/>
      </w:r>
      <w:r>
        <w:fldChar w:fldCharType="begin"/>
      </w:r>
      <w:r>
        <w:instrText xml:space="preserve"> PAGEREF _Toc390078696 \h </w:instrText>
      </w:r>
      <w:r>
        <w:fldChar w:fldCharType="separate"/>
      </w:r>
      <w:r>
        <w:t>326</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Payments not assignable</w:t>
      </w:r>
      <w:r>
        <w:tab/>
      </w:r>
      <w:r>
        <w:fldChar w:fldCharType="begin"/>
      </w:r>
      <w:r>
        <w:instrText xml:space="preserve"> PAGEREF _Toc390078697 \h </w:instrText>
      </w:r>
      <w:r>
        <w:fldChar w:fldCharType="separate"/>
      </w:r>
      <w:r>
        <w:t>327</w:t>
      </w:r>
      <w:r>
        <w:fldChar w:fldCharType="end"/>
      </w:r>
    </w:p>
    <w:p>
      <w:pPr>
        <w:pStyle w:val="TOC8"/>
        <w:rPr>
          <w:rFonts w:asciiTheme="minorHAnsi" w:eastAsiaTheme="minorEastAsia" w:hAnsiTheme="minorHAnsi" w:cstheme="minorBidi"/>
          <w:szCs w:val="22"/>
        </w:rPr>
      </w:pPr>
      <w:r>
        <w:t>303A.</w:t>
      </w:r>
      <w:r>
        <w:tab/>
        <w:t>Making employment conditional on avoidance arrangement</w:t>
      </w:r>
      <w:r>
        <w:tab/>
      </w:r>
      <w:r>
        <w:fldChar w:fldCharType="begin"/>
      </w:r>
      <w:r>
        <w:instrText xml:space="preserve"> PAGEREF _Toc390078698 \h </w:instrText>
      </w:r>
      <w:r>
        <w:fldChar w:fldCharType="separate"/>
      </w:r>
      <w:r>
        <w:t>327</w:t>
      </w:r>
      <w:r>
        <w:fldChar w:fldCharType="end"/>
      </w:r>
    </w:p>
    <w:p>
      <w:pPr>
        <w:pStyle w:val="TOC8"/>
        <w:rPr>
          <w:rFonts w:asciiTheme="minorHAnsi" w:eastAsiaTheme="minorEastAsia" w:hAnsiTheme="minorHAnsi" w:cstheme="minorBidi"/>
          <w:szCs w:val="22"/>
        </w:rPr>
      </w:pPr>
      <w:r>
        <w:t>304.</w:t>
      </w:r>
      <w:r>
        <w:tab/>
        <w:t>Protection from liability</w:t>
      </w:r>
      <w:r>
        <w:tab/>
      </w:r>
      <w:r>
        <w:fldChar w:fldCharType="begin"/>
      </w:r>
      <w:r>
        <w:instrText xml:space="preserve"> PAGEREF _Toc390078699 \h </w:instrText>
      </w:r>
      <w:r>
        <w:fldChar w:fldCharType="separate"/>
      </w:r>
      <w:r>
        <w:t>328</w:t>
      </w:r>
      <w:r>
        <w:fldChar w:fldCharType="end"/>
      </w:r>
    </w:p>
    <w:p>
      <w:pPr>
        <w:pStyle w:val="TOC8"/>
        <w:rPr>
          <w:rFonts w:asciiTheme="minorHAnsi" w:eastAsiaTheme="minorEastAsia" w:hAnsiTheme="minorHAnsi" w:cstheme="minorBidi"/>
          <w:szCs w:val="22"/>
        </w:rPr>
      </w:pPr>
      <w:r>
        <w:t>305.</w:t>
      </w:r>
      <w:r>
        <w:tab/>
        <w:t>Immunity</w:t>
      </w:r>
      <w:r>
        <w:tab/>
      </w:r>
      <w:r>
        <w:fldChar w:fldCharType="begin"/>
      </w:r>
      <w:r>
        <w:instrText xml:space="preserve"> PAGEREF _Toc390078700 \h </w:instrText>
      </w:r>
      <w:r>
        <w:fldChar w:fldCharType="separate"/>
      </w:r>
      <w:r>
        <w:t>328</w:t>
      </w:r>
      <w:r>
        <w:fldChar w:fldCharType="end"/>
      </w:r>
    </w:p>
    <w:p>
      <w:pPr>
        <w:pStyle w:val="TOC8"/>
        <w:rPr>
          <w:rFonts w:asciiTheme="minorHAnsi" w:eastAsiaTheme="minorEastAsia" w:hAnsiTheme="minorHAnsi" w:cstheme="minorBidi"/>
          <w:szCs w:val="22"/>
        </w:rPr>
      </w:pPr>
      <w:r>
        <w:t>306.</w:t>
      </w:r>
      <w:r>
        <w:tab/>
        <w:t>Protection for compliance with this Act</w:t>
      </w:r>
      <w:r>
        <w:tab/>
      </w:r>
      <w:r>
        <w:fldChar w:fldCharType="begin"/>
      </w:r>
      <w:r>
        <w:instrText xml:space="preserve"> PAGEREF _Toc390078701 \h </w:instrText>
      </w:r>
      <w:r>
        <w:fldChar w:fldCharType="separate"/>
      </w:r>
      <w:r>
        <w:t>329</w:t>
      </w:r>
      <w:r>
        <w:fldChar w:fldCharType="end"/>
      </w:r>
    </w:p>
    <w:p>
      <w:pPr>
        <w:pStyle w:val="TOC8"/>
        <w:rPr>
          <w:rFonts w:asciiTheme="minorHAnsi" w:eastAsiaTheme="minorEastAsia" w:hAnsiTheme="minorHAnsi" w:cstheme="minorBidi"/>
          <w:szCs w:val="22"/>
        </w:rPr>
      </w:pPr>
      <w:r>
        <w:t>307.</w:t>
      </w:r>
      <w:r>
        <w:tab/>
        <w:t>Proceedings for defamation not to lie</w:t>
      </w:r>
      <w:r>
        <w:tab/>
      </w:r>
      <w:r>
        <w:fldChar w:fldCharType="begin"/>
      </w:r>
      <w:r>
        <w:instrText xml:space="preserve"> PAGEREF _Toc390078702 \h </w:instrText>
      </w:r>
      <w:r>
        <w:fldChar w:fldCharType="separate"/>
      </w:r>
      <w:r>
        <w:t>330</w:t>
      </w:r>
      <w:r>
        <w:fldChar w:fldCharType="end"/>
      </w:r>
    </w:p>
    <w:p>
      <w:pPr>
        <w:pStyle w:val="TOC8"/>
        <w:rPr>
          <w:rFonts w:asciiTheme="minorHAnsi" w:eastAsiaTheme="minorEastAsia" w:hAnsiTheme="minorHAnsi" w:cstheme="minorBidi"/>
          <w:szCs w:val="22"/>
        </w:rPr>
      </w:pPr>
      <w:r>
        <w:t>308</w:t>
      </w:r>
      <w:r>
        <w:rPr>
          <w:snapToGrid w:val="0"/>
        </w:rPr>
        <w:t>.</w:t>
      </w:r>
      <w:r>
        <w:rPr>
          <w:snapToGrid w:val="0"/>
        </w:rPr>
        <w:tab/>
        <w:t>Fraud</w:t>
      </w:r>
      <w:r>
        <w:tab/>
      </w:r>
      <w:r>
        <w:fldChar w:fldCharType="begin"/>
      </w:r>
      <w:r>
        <w:instrText xml:space="preserve"> PAGEREF _Toc390078703 \h </w:instrText>
      </w:r>
      <w:r>
        <w:fldChar w:fldCharType="separate"/>
      </w:r>
      <w:r>
        <w:t>330</w:t>
      </w:r>
      <w:r>
        <w:fldChar w:fldCharType="end"/>
      </w:r>
    </w:p>
    <w:p>
      <w:pPr>
        <w:pStyle w:val="TOC8"/>
        <w:rPr>
          <w:rFonts w:asciiTheme="minorHAnsi" w:eastAsiaTheme="minorEastAsia" w:hAnsiTheme="minorHAnsi" w:cstheme="minorBidi"/>
          <w:szCs w:val="22"/>
        </w:rPr>
      </w:pPr>
      <w:r>
        <w:t>309.</w:t>
      </w:r>
      <w:r>
        <w:tab/>
        <w:t>Who can take proceedings for offences</w:t>
      </w:r>
      <w:r>
        <w:tab/>
      </w:r>
      <w:r>
        <w:fldChar w:fldCharType="begin"/>
      </w:r>
      <w:r>
        <w:instrText xml:space="preserve"> PAGEREF _Toc390078704 \h </w:instrText>
      </w:r>
      <w:r>
        <w:fldChar w:fldCharType="separate"/>
      </w:r>
      <w:r>
        <w:t>330</w:t>
      </w:r>
      <w:r>
        <w:fldChar w:fldCharType="end"/>
      </w:r>
    </w:p>
    <w:p>
      <w:pPr>
        <w:pStyle w:val="TOC8"/>
        <w:rPr>
          <w:rFonts w:asciiTheme="minorHAnsi" w:eastAsiaTheme="minorEastAsia" w:hAnsiTheme="minorHAnsi" w:cstheme="minorBidi"/>
          <w:szCs w:val="22"/>
        </w:rPr>
      </w:pPr>
      <w:r>
        <w:t>310.</w:t>
      </w:r>
      <w:r>
        <w:tab/>
        <w:t>Time limit for taking proceedings</w:t>
      </w:r>
      <w:r>
        <w:tab/>
      </w:r>
      <w:r>
        <w:fldChar w:fldCharType="begin"/>
      </w:r>
      <w:r>
        <w:instrText xml:space="preserve"> PAGEREF _Toc390078705 \h </w:instrText>
      </w:r>
      <w:r>
        <w:fldChar w:fldCharType="separate"/>
      </w:r>
      <w:r>
        <w:t>331</w:t>
      </w:r>
      <w:r>
        <w:fldChar w:fldCharType="end"/>
      </w:r>
    </w:p>
    <w:p>
      <w:pPr>
        <w:pStyle w:val="TOC8"/>
        <w:rPr>
          <w:rFonts w:asciiTheme="minorHAnsi" w:eastAsiaTheme="minorEastAsia" w:hAnsiTheme="minorHAnsi" w:cstheme="minorBidi"/>
          <w:szCs w:val="22"/>
        </w:rPr>
      </w:pPr>
      <w:r>
        <w:t>311</w:t>
      </w:r>
      <w:r>
        <w:rPr>
          <w:snapToGrid w:val="0"/>
        </w:rPr>
        <w:t>.</w:t>
      </w:r>
      <w:r>
        <w:rPr>
          <w:snapToGrid w:val="0"/>
        </w:rPr>
        <w:tab/>
        <w:t>General penalty</w:t>
      </w:r>
      <w:r>
        <w:tab/>
      </w:r>
      <w:r>
        <w:fldChar w:fldCharType="begin"/>
      </w:r>
      <w:r>
        <w:instrText xml:space="preserve"> PAGEREF _Toc390078706 \h </w:instrText>
      </w:r>
      <w:r>
        <w:fldChar w:fldCharType="separate"/>
      </w:r>
      <w:r>
        <w:t>331</w:t>
      </w:r>
      <w:r>
        <w:fldChar w:fldCharType="end"/>
      </w:r>
    </w:p>
    <w:p>
      <w:pPr>
        <w:pStyle w:val="TOC8"/>
        <w:rPr>
          <w:rFonts w:asciiTheme="minorHAnsi" w:eastAsiaTheme="minorEastAsia" w:hAnsiTheme="minorHAnsi" w:cstheme="minorBidi"/>
          <w:szCs w:val="22"/>
        </w:rPr>
      </w:pPr>
      <w:r>
        <w:t>312</w:t>
      </w:r>
      <w:r>
        <w:rPr>
          <w:snapToGrid w:val="0"/>
        </w:rPr>
        <w:t>.</w:t>
      </w:r>
      <w:r>
        <w:rPr>
          <w:snapToGrid w:val="0"/>
        </w:rPr>
        <w:tab/>
        <w:t>Fines</w:t>
      </w:r>
      <w:r>
        <w:tab/>
      </w:r>
      <w:r>
        <w:fldChar w:fldCharType="begin"/>
      </w:r>
      <w:r>
        <w:instrText xml:space="preserve"> PAGEREF _Toc390078707 \h </w:instrText>
      </w:r>
      <w:r>
        <w:fldChar w:fldCharType="separate"/>
      </w:r>
      <w:r>
        <w:t>331</w:t>
      </w:r>
      <w:r>
        <w:fldChar w:fldCharType="end"/>
      </w:r>
    </w:p>
    <w:p>
      <w:pPr>
        <w:pStyle w:val="TOC8"/>
        <w:rPr>
          <w:rFonts w:asciiTheme="minorHAnsi" w:eastAsiaTheme="minorEastAsia" w:hAnsiTheme="minorHAnsi" w:cstheme="minorBidi"/>
          <w:szCs w:val="22"/>
        </w:rPr>
      </w:pPr>
      <w:r>
        <w:t>313</w:t>
      </w:r>
      <w:r>
        <w:rPr>
          <w:snapToGrid w:val="0"/>
        </w:rPr>
        <w:t>.</w:t>
      </w:r>
      <w:r>
        <w:rPr>
          <w:snapToGrid w:val="0"/>
        </w:rPr>
        <w:tab/>
        <w:t>Penalties not affected</w:t>
      </w:r>
      <w:r>
        <w:tab/>
      </w:r>
      <w:r>
        <w:fldChar w:fldCharType="begin"/>
      </w:r>
      <w:r>
        <w:instrText xml:space="preserve"> PAGEREF _Toc390078708 \h </w:instrText>
      </w:r>
      <w:r>
        <w:fldChar w:fldCharType="separate"/>
      </w:r>
      <w:r>
        <w:t>331</w:t>
      </w:r>
      <w:r>
        <w:fldChar w:fldCharType="end"/>
      </w:r>
    </w:p>
    <w:p>
      <w:pPr>
        <w:pStyle w:val="TOC8"/>
        <w:rPr>
          <w:rFonts w:asciiTheme="minorHAnsi" w:eastAsiaTheme="minorEastAsia" w:hAnsiTheme="minorHAnsi" w:cstheme="minorBidi"/>
          <w:szCs w:val="22"/>
        </w:rPr>
      </w:pPr>
      <w:r>
        <w:t>314.</w:t>
      </w:r>
      <w:r>
        <w:tab/>
        <w:t>WorkCover WA may specify alternative form of sending information</w:t>
      </w:r>
      <w:r>
        <w:tab/>
      </w:r>
      <w:r>
        <w:fldChar w:fldCharType="begin"/>
      </w:r>
      <w:r>
        <w:instrText xml:space="preserve"> PAGEREF _Toc390078709 \h </w:instrText>
      </w:r>
      <w:r>
        <w:fldChar w:fldCharType="separate"/>
      </w:r>
      <w:r>
        <w:t>331</w:t>
      </w:r>
      <w:r>
        <w:fldChar w:fldCharType="end"/>
      </w:r>
    </w:p>
    <w:p>
      <w:pPr>
        <w:pStyle w:val="TOC8"/>
        <w:rPr>
          <w:rFonts w:asciiTheme="minorHAnsi" w:eastAsiaTheme="minorEastAsia" w:hAnsiTheme="minorHAnsi" w:cstheme="minorBidi"/>
          <w:szCs w:val="22"/>
        </w:rPr>
      </w:pPr>
      <w:r>
        <w:t>315.</w:t>
      </w:r>
      <w:r>
        <w:tab/>
        <w:t>Publication of prescribed amount and average weekly earnings</w:t>
      </w:r>
      <w:r>
        <w:tab/>
      </w:r>
      <w:r>
        <w:fldChar w:fldCharType="begin"/>
      </w:r>
      <w:r>
        <w:instrText xml:space="preserve"> PAGEREF _Toc390078710 \h </w:instrText>
      </w:r>
      <w:r>
        <w:fldChar w:fldCharType="separate"/>
      </w:r>
      <w:r>
        <w:t>332</w:t>
      </w:r>
      <w:r>
        <w:fldChar w:fldCharType="end"/>
      </w:r>
    </w:p>
    <w:p>
      <w:pPr>
        <w:pStyle w:val="TOC2"/>
        <w:tabs>
          <w:tab w:val="right" w:leader="dot" w:pos="7086"/>
        </w:tabs>
        <w:rPr>
          <w:rFonts w:asciiTheme="minorHAnsi" w:eastAsiaTheme="minorEastAsia" w:hAnsiTheme="minorHAnsi" w:cstheme="minorBidi"/>
          <w:b w:val="0"/>
          <w:sz w:val="22"/>
          <w:szCs w:val="22"/>
        </w:rPr>
      </w:pPr>
      <w:r>
        <w:t>Part XX — Repeal, savings, and transitional</w:t>
      </w:r>
    </w:p>
    <w:p>
      <w:pPr>
        <w:pStyle w:val="TOC8"/>
        <w:rPr>
          <w:rFonts w:asciiTheme="minorHAnsi" w:eastAsiaTheme="minorEastAsia" w:hAnsiTheme="minorHAnsi" w:cstheme="minorBidi"/>
          <w:szCs w:val="22"/>
        </w:rPr>
      </w:pPr>
      <w:r>
        <w:t>316</w:t>
      </w:r>
      <w:r>
        <w:rPr>
          <w:snapToGrid w:val="0"/>
        </w:rPr>
        <w:t>.</w:t>
      </w:r>
      <w:r>
        <w:rPr>
          <w:snapToGrid w:val="0"/>
        </w:rPr>
        <w:tab/>
        <w:t>Definitions</w:t>
      </w:r>
      <w:r>
        <w:tab/>
      </w:r>
      <w:r>
        <w:fldChar w:fldCharType="begin"/>
      </w:r>
      <w:r>
        <w:instrText xml:space="preserve"> PAGEREF _Toc390078712 \h </w:instrText>
      </w:r>
      <w:r>
        <w:fldChar w:fldCharType="separate"/>
      </w:r>
      <w:r>
        <w:t>333</w:t>
      </w:r>
      <w:r>
        <w:fldChar w:fldCharType="end"/>
      </w:r>
    </w:p>
    <w:p>
      <w:pPr>
        <w:pStyle w:val="TOC8"/>
        <w:rPr>
          <w:rFonts w:asciiTheme="minorHAnsi" w:eastAsiaTheme="minorEastAsia" w:hAnsiTheme="minorHAnsi" w:cstheme="minorBidi"/>
          <w:szCs w:val="22"/>
        </w:rPr>
      </w:pPr>
      <w:r>
        <w:t>317.</w:t>
      </w:r>
      <w:r>
        <w:tab/>
        <w:t>Repeal</w:t>
      </w:r>
      <w:r>
        <w:tab/>
      </w:r>
      <w:r>
        <w:fldChar w:fldCharType="begin"/>
      </w:r>
      <w:r>
        <w:instrText xml:space="preserve"> PAGEREF _Toc390078713 \h </w:instrText>
      </w:r>
      <w:r>
        <w:fldChar w:fldCharType="separate"/>
      </w:r>
      <w:r>
        <w:t>333</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Operation of </w:t>
      </w:r>
      <w:r>
        <w:rPr>
          <w:i/>
          <w:snapToGrid w:val="0"/>
        </w:rPr>
        <w:t>Interpretation Act 1918</w:t>
      </w:r>
      <w:r>
        <w:tab/>
      </w:r>
      <w:r>
        <w:fldChar w:fldCharType="begin"/>
      </w:r>
      <w:r>
        <w:instrText xml:space="preserve"> PAGEREF _Toc390078714 \h </w:instrText>
      </w:r>
      <w:r>
        <w:fldChar w:fldCharType="separate"/>
      </w:r>
      <w:r>
        <w:t>333</w:t>
      </w:r>
      <w:r>
        <w:fldChar w:fldCharType="end"/>
      </w:r>
    </w:p>
    <w:p>
      <w:pPr>
        <w:pStyle w:val="TOC8"/>
        <w:rPr>
          <w:rFonts w:asciiTheme="minorHAnsi" w:eastAsiaTheme="minorEastAsia" w:hAnsiTheme="minorHAnsi" w:cstheme="minorBidi"/>
          <w:szCs w:val="22"/>
        </w:rPr>
      </w:pPr>
      <w:r>
        <w:t>319</w:t>
      </w:r>
      <w:r>
        <w:rPr>
          <w:snapToGrid w:val="0"/>
        </w:rPr>
        <w:t>.</w:t>
      </w:r>
      <w:r>
        <w:rPr>
          <w:snapToGrid w:val="0"/>
        </w:rPr>
        <w:tab/>
        <w:t>No renewal of liability or entitlement</w:t>
      </w:r>
      <w:r>
        <w:tab/>
      </w:r>
      <w:r>
        <w:fldChar w:fldCharType="begin"/>
      </w:r>
      <w:r>
        <w:instrText xml:space="preserve"> PAGEREF _Toc390078715 \h </w:instrText>
      </w:r>
      <w:r>
        <w:fldChar w:fldCharType="separate"/>
      </w:r>
      <w:r>
        <w:t>334</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Moneys paid under repealed Act taken into account</w:t>
      </w:r>
      <w:r>
        <w:tab/>
      </w:r>
      <w:r>
        <w:fldChar w:fldCharType="begin"/>
      </w:r>
      <w:r>
        <w:instrText xml:space="preserve"> PAGEREF _Toc390078716 \h </w:instrText>
      </w:r>
      <w:r>
        <w:fldChar w:fldCharType="separate"/>
      </w:r>
      <w:r>
        <w:t>334</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Compensation for injuries mentioned in Schedule 2</w:t>
      </w:r>
      <w:r>
        <w:tab/>
      </w:r>
      <w:r>
        <w:fldChar w:fldCharType="begin"/>
      </w:r>
      <w:r>
        <w:instrText xml:space="preserve"> PAGEREF _Toc390078717 \h </w:instrText>
      </w:r>
      <w:r>
        <w:fldChar w:fldCharType="separate"/>
      </w:r>
      <w:r>
        <w:t>334</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Child’s allowance</w:t>
      </w:r>
      <w:r>
        <w:tab/>
      </w:r>
      <w:r>
        <w:fldChar w:fldCharType="begin"/>
      </w:r>
      <w:r>
        <w:instrText xml:space="preserve"> PAGEREF _Toc390078718 \h </w:instrText>
      </w:r>
      <w:r>
        <w:fldChar w:fldCharType="separate"/>
      </w:r>
      <w:r>
        <w:t>335</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Continuation</w:t>
      </w:r>
      <w:r>
        <w:tab/>
      </w:r>
      <w:r>
        <w:fldChar w:fldCharType="begin"/>
      </w:r>
      <w:r>
        <w:instrText xml:space="preserve"> PAGEREF _Toc390078719 \h </w:instrText>
      </w:r>
      <w:r>
        <w:fldChar w:fldCharType="separate"/>
      </w:r>
      <w:r>
        <w:t>335</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References to the Board, the Supplementary Board or officers</w:t>
      </w:r>
      <w:r>
        <w:tab/>
      </w:r>
      <w:r>
        <w:fldChar w:fldCharType="begin"/>
      </w:r>
      <w:r>
        <w:instrText xml:space="preserve"> PAGEREF _Toc390078720 \h </w:instrText>
      </w:r>
      <w:r>
        <w:fldChar w:fldCharType="separate"/>
      </w:r>
      <w:r>
        <w:t>337</w:t>
      </w:r>
      <w:r>
        <w:fldChar w:fldCharType="end"/>
      </w:r>
    </w:p>
    <w:p>
      <w:pPr>
        <w:pStyle w:val="TOC2"/>
        <w:tabs>
          <w:tab w:val="right" w:leader="dot" w:pos="7086"/>
        </w:tabs>
        <w:rPr>
          <w:rFonts w:asciiTheme="minorHAnsi" w:eastAsiaTheme="minorEastAsia" w:hAnsiTheme="minorHAnsi" w:cstheme="minorBidi"/>
          <w:b w:val="0"/>
          <w:sz w:val="22"/>
          <w:szCs w:val="22"/>
        </w:rPr>
      </w:pPr>
      <w:r>
        <w:t>Schedule 1 — Compensation entitlements</w:t>
      </w:r>
    </w:p>
    <w:p>
      <w:pPr>
        <w:pStyle w:val="TOC8"/>
        <w:rPr>
          <w:rFonts w:asciiTheme="minorHAnsi" w:eastAsiaTheme="minorEastAsia" w:hAnsiTheme="minorHAnsi" w:cstheme="minorBidi"/>
          <w:szCs w:val="22"/>
        </w:rPr>
      </w:pPr>
      <w:r>
        <w:t>1.</w:t>
      </w:r>
      <w:r>
        <w:tab/>
        <w:t>Death — dependants wholly dependent — notional residual entitlement</w:t>
      </w:r>
      <w:r>
        <w:tab/>
      </w:r>
      <w:r>
        <w:fldChar w:fldCharType="begin"/>
      </w:r>
      <w:r>
        <w:instrText xml:space="preserve"> PAGEREF _Toc390078722 \h </w:instrText>
      </w:r>
      <w:r>
        <w:fldChar w:fldCharType="separate"/>
      </w:r>
      <w:r>
        <w:t>339</w:t>
      </w:r>
      <w:r>
        <w:fldChar w:fldCharType="end"/>
      </w:r>
    </w:p>
    <w:p>
      <w:pPr>
        <w:pStyle w:val="TOC8"/>
        <w:rPr>
          <w:rFonts w:asciiTheme="minorHAnsi" w:eastAsiaTheme="minorEastAsia" w:hAnsiTheme="minorHAnsi" w:cstheme="minorBidi"/>
          <w:szCs w:val="22"/>
        </w:rPr>
      </w:pPr>
      <w:r>
        <w:t>1A.</w:t>
      </w:r>
      <w:r>
        <w:tab/>
        <w:t>Death — dependants wholly dependent — child’s allowance</w:t>
      </w:r>
      <w:r>
        <w:tab/>
      </w:r>
      <w:r>
        <w:fldChar w:fldCharType="begin"/>
      </w:r>
      <w:r>
        <w:instrText xml:space="preserve"> PAGEREF _Toc390078723 \h </w:instrText>
      </w:r>
      <w:r>
        <w:fldChar w:fldCharType="separate"/>
      </w:r>
      <w:r>
        <w:t>340</w:t>
      </w:r>
      <w:r>
        <w:fldChar w:fldCharType="end"/>
      </w:r>
    </w:p>
    <w:p>
      <w:pPr>
        <w:pStyle w:val="TOC8"/>
        <w:rPr>
          <w:rFonts w:asciiTheme="minorHAnsi" w:eastAsiaTheme="minorEastAsia" w:hAnsiTheme="minorHAnsi" w:cstheme="minorBidi"/>
          <w:szCs w:val="22"/>
        </w:rPr>
      </w:pPr>
      <w:r>
        <w:t>1B.</w:t>
      </w:r>
      <w:r>
        <w:tab/>
        <w:t>Death — dependants wholly dependent — notional residual entitlement or child’s allowance</w:t>
      </w:r>
      <w:r>
        <w:tab/>
      </w:r>
      <w:r>
        <w:fldChar w:fldCharType="begin"/>
      </w:r>
      <w:r>
        <w:instrText xml:space="preserve"> PAGEREF _Toc390078724 \h </w:instrText>
      </w:r>
      <w:r>
        <w:fldChar w:fldCharType="separate"/>
      </w:r>
      <w:r>
        <w:t>340</w:t>
      </w:r>
      <w:r>
        <w:fldChar w:fldCharType="end"/>
      </w:r>
    </w:p>
    <w:p>
      <w:pPr>
        <w:pStyle w:val="TOC8"/>
        <w:rPr>
          <w:rFonts w:asciiTheme="minorHAnsi" w:eastAsiaTheme="minorEastAsia" w:hAnsiTheme="minorHAnsi" w:cstheme="minorBidi"/>
          <w:szCs w:val="22"/>
        </w:rPr>
      </w:pPr>
      <w:r>
        <w:t>1C.</w:t>
      </w:r>
      <w:r>
        <w:tab/>
        <w:t>Determination of entitlement under clause 1B</w:t>
      </w:r>
      <w:r>
        <w:tab/>
      </w:r>
      <w:r>
        <w:fldChar w:fldCharType="begin"/>
      </w:r>
      <w:r>
        <w:instrText xml:space="preserve"> PAGEREF _Toc390078725 \h </w:instrText>
      </w:r>
      <w:r>
        <w:fldChar w:fldCharType="separate"/>
      </w:r>
      <w:r>
        <w:t>342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Death — partial dependants who are not children</w:t>
      </w:r>
      <w:r>
        <w:tab/>
      </w:r>
      <w:r>
        <w:fldChar w:fldCharType="begin"/>
      </w:r>
      <w:r>
        <w:instrText xml:space="preserve"> PAGEREF _Toc390078726 \h </w:instrText>
      </w:r>
      <w:r>
        <w:fldChar w:fldCharType="separate"/>
      </w:r>
      <w:r>
        <w:t>343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Death — partial dependants who are children</w:t>
      </w:r>
      <w:r>
        <w:tab/>
      </w:r>
      <w:r>
        <w:fldChar w:fldCharType="begin"/>
      </w:r>
      <w:r>
        <w:instrText xml:space="preserve"> PAGEREF _Toc390078727 \h </w:instrText>
      </w:r>
      <w:r>
        <w:fldChar w:fldCharType="separate"/>
      </w:r>
      <w:r>
        <w:t>343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Death — no dependant</w:t>
      </w:r>
      <w:r>
        <w:tab/>
      </w:r>
      <w:r>
        <w:fldChar w:fldCharType="begin"/>
      </w:r>
      <w:r>
        <w:instrText xml:space="preserve"> PAGEREF _Toc390078728 \h </w:instrText>
      </w:r>
      <w:r>
        <w:fldChar w:fldCharType="separate"/>
      </w:r>
      <w:r>
        <w:t>344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Death — where not resulting from the injury but weekly payments had been made</w:t>
      </w:r>
      <w:r>
        <w:tab/>
      </w:r>
      <w:r>
        <w:fldChar w:fldCharType="begin"/>
      </w:r>
      <w:r>
        <w:instrText xml:space="preserve"> PAGEREF _Toc390078729 \h </w:instrText>
      </w:r>
      <w:r>
        <w:fldChar w:fldCharType="separate"/>
      </w:r>
      <w:r>
        <w:t>344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Amount of compensation in case of total or partial incapacity</w:t>
      </w:r>
      <w:r>
        <w:tab/>
      </w:r>
      <w:r>
        <w:fldChar w:fldCharType="begin"/>
      </w:r>
      <w:r>
        <w:instrText xml:space="preserve"> PAGEREF _Toc390078730 \h </w:instrText>
      </w:r>
      <w:r>
        <w:fldChar w:fldCharType="separate"/>
      </w:r>
      <w:r>
        <w:t>345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Deemed total incapacity</w:t>
      </w:r>
      <w:r>
        <w:tab/>
      </w:r>
      <w:r>
        <w:fldChar w:fldCharType="begin"/>
      </w:r>
      <w:r>
        <w:instrText xml:space="preserve"> PAGEREF _Toc390078731 \h </w:instrText>
      </w:r>
      <w:r>
        <w:fldChar w:fldCharType="separate"/>
      </w:r>
      <w:r>
        <w:t>346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 incapacity — medical expenses</w:t>
      </w:r>
      <w:r>
        <w:tab/>
      </w:r>
      <w:r>
        <w:fldChar w:fldCharType="begin"/>
      </w:r>
      <w:r>
        <w:instrText xml:space="preserve"> PAGEREF _Toc390078732 \h </w:instrText>
      </w:r>
      <w:r>
        <w:fldChar w:fldCharType="separate"/>
      </w:r>
      <w:r>
        <w:t>347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Absence from work for medical attendance</w:t>
      </w:r>
      <w:r>
        <w:tab/>
      </w:r>
      <w:r>
        <w:fldChar w:fldCharType="begin"/>
      </w:r>
      <w:r>
        <w:instrText xml:space="preserve"> PAGEREF _Toc390078733 \h </w:instrText>
      </w:r>
      <w:r>
        <w:fldChar w:fldCharType="separate"/>
      </w:r>
      <w:r>
        <w:t>347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Weekly earnings</w:t>
      </w:r>
      <w:r>
        <w:tab/>
      </w:r>
      <w:r>
        <w:fldChar w:fldCharType="begin"/>
      </w:r>
      <w:r>
        <w:instrText xml:space="preserve"> PAGEREF _Toc390078734 \h </w:instrText>
      </w:r>
      <w:r>
        <w:fldChar w:fldCharType="separate"/>
      </w:r>
      <w:r>
        <w:t>347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w:t>
      </w:r>
      <w:r>
        <w:rPr>
          <w:snapToGrid w:val="0"/>
        </w:rPr>
        <w:noBreakHyphen/>
        <w:t>time worker</w:t>
      </w:r>
      <w:r>
        <w:tab/>
      </w:r>
      <w:r>
        <w:fldChar w:fldCharType="begin"/>
      </w:r>
      <w:r>
        <w:instrText xml:space="preserve"> PAGEREF _Toc390078735 \h </w:instrText>
      </w:r>
      <w:r>
        <w:fldChar w:fldCharType="separate"/>
      </w:r>
      <w:r>
        <w:t>351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Concurrent contracts</w:t>
      </w:r>
      <w:r>
        <w:tab/>
      </w:r>
      <w:r>
        <w:fldChar w:fldCharType="begin"/>
      </w:r>
      <w:r>
        <w:instrText xml:space="preserve"> PAGEREF _Toc390078736 \h </w:instrText>
      </w:r>
      <w:r>
        <w:fldChar w:fldCharType="separate"/>
      </w:r>
      <w:r>
        <w:t>351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Casual or seasonal worker</w:t>
      </w:r>
      <w:r>
        <w:tab/>
      </w:r>
      <w:r>
        <w:fldChar w:fldCharType="begin"/>
      </w:r>
      <w:r>
        <w:instrText xml:space="preserve"> PAGEREF _Toc390078737 \h </w:instrText>
      </w:r>
      <w:r>
        <w:fldChar w:fldCharType="separate"/>
      </w:r>
      <w:r>
        <w:t>352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Board and lodging</w:t>
      </w:r>
      <w:r>
        <w:tab/>
      </w:r>
      <w:r>
        <w:fldChar w:fldCharType="begin"/>
      </w:r>
      <w:r>
        <w:instrText xml:space="preserve"> PAGEREF _Toc390078738 \h </w:instrText>
      </w:r>
      <w:r>
        <w:fldChar w:fldCharType="separate"/>
      </w:r>
      <w:r>
        <w:t>352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Variation of weekly payments</w:t>
      </w:r>
      <w:r>
        <w:tab/>
      </w:r>
      <w:r>
        <w:fldChar w:fldCharType="begin"/>
      </w:r>
      <w:r>
        <w:instrText xml:space="preserve"> PAGEREF _Toc390078739 \h </w:instrText>
      </w:r>
      <w:r>
        <w:fldChar w:fldCharType="separate"/>
      </w:r>
      <w:r>
        <w:t>352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medical and other expenses</w:t>
      </w:r>
      <w:r>
        <w:tab/>
      </w:r>
      <w:r>
        <w:fldChar w:fldCharType="begin"/>
      </w:r>
      <w:r>
        <w:instrText xml:space="preserve"> PAGEREF _Toc390078740 \h </w:instrText>
      </w:r>
      <w:r>
        <w:fldChar w:fldCharType="separate"/>
      </w:r>
      <w:r>
        <w:t>353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Hospital charges</w:t>
      </w:r>
      <w:r>
        <w:tab/>
      </w:r>
      <w:r>
        <w:fldChar w:fldCharType="begin"/>
      </w:r>
      <w:r>
        <w:instrText xml:space="preserve"> PAGEREF _Toc390078741 \h </w:instrText>
      </w:r>
      <w:r>
        <w:fldChar w:fldCharType="separate"/>
      </w:r>
      <w:r>
        <w:t>355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Payment of additional expenses</w:t>
      </w:r>
      <w:r>
        <w:tab/>
      </w:r>
      <w:r>
        <w:fldChar w:fldCharType="begin"/>
      </w:r>
      <w:r>
        <w:instrText xml:space="preserve"> PAGEREF _Toc390078742 \h </w:instrText>
      </w:r>
      <w:r>
        <w:fldChar w:fldCharType="separate"/>
      </w:r>
      <w:r>
        <w:t>355</w:t>
      </w:r>
      <w:r>
        <w:fldChar w:fldCharType="end"/>
      </w:r>
    </w:p>
    <w:p>
      <w:pPr>
        <w:pStyle w:val="TOC8"/>
        <w:rPr>
          <w:rFonts w:asciiTheme="minorHAnsi" w:eastAsiaTheme="minorEastAsia" w:hAnsiTheme="minorHAnsi" w:cstheme="minorBidi"/>
          <w:szCs w:val="22"/>
        </w:rPr>
      </w:pPr>
      <w:r>
        <w:t>18B.</w:t>
      </w:r>
      <w:r>
        <w:tab/>
        <w:t>Final day for clause 18A(1b) application</w:t>
      </w:r>
      <w:r>
        <w:tab/>
      </w:r>
      <w:r>
        <w:fldChar w:fldCharType="begin"/>
      </w:r>
      <w:r>
        <w:instrText xml:space="preserve"> PAGEREF _Toc390078743 \h </w:instrText>
      </w:r>
      <w:r>
        <w:fldChar w:fldCharType="separate"/>
      </w:r>
      <w:r>
        <w:t>358</w:t>
      </w:r>
      <w:r>
        <w:fldChar w:fldCharType="end"/>
      </w:r>
    </w:p>
    <w:p>
      <w:pPr>
        <w:pStyle w:val="TOC8"/>
        <w:rPr>
          <w:rFonts w:asciiTheme="minorHAnsi" w:eastAsiaTheme="minorEastAsia" w:hAnsiTheme="minorHAnsi" w:cstheme="minorBidi"/>
          <w:szCs w:val="22"/>
        </w:rPr>
      </w:pPr>
      <w:r>
        <w:t>18C.</w:t>
      </w:r>
      <w:r>
        <w:tab/>
        <w:t>Dispute as to degree of permanent whole of person impairment</w:t>
      </w:r>
      <w:r>
        <w:tab/>
      </w:r>
      <w:r>
        <w:fldChar w:fldCharType="begin"/>
      </w:r>
      <w:r>
        <w:instrText xml:space="preserve"> PAGEREF _Toc390078744 \h </w:instrText>
      </w:r>
      <w:r>
        <w:fldChar w:fldCharType="separate"/>
      </w:r>
      <w:r>
        <w:t>360</w:t>
      </w:r>
      <w:r>
        <w:fldChar w:fldCharType="end"/>
      </w:r>
    </w:p>
    <w:p>
      <w:pPr>
        <w:pStyle w:val="TOC8"/>
        <w:rPr>
          <w:rFonts w:asciiTheme="minorHAnsi" w:eastAsiaTheme="minorEastAsia" w:hAnsiTheme="minorHAnsi" w:cstheme="minorBidi"/>
          <w:szCs w:val="22"/>
        </w:rPr>
      </w:pPr>
      <w:r>
        <w:t>18D.</w:t>
      </w:r>
      <w:r>
        <w:tab/>
        <w:t>Interim payment of additional expenses</w:t>
      </w:r>
      <w:r>
        <w:tab/>
      </w:r>
      <w:r>
        <w:fldChar w:fldCharType="begin"/>
      </w:r>
      <w:r>
        <w:instrText xml:space="preserve"> PAGEREF _Toc390078745 \h </w:instrText>
      </w:r>
      <w:r>
        <w:fldChar w:fldCharType="separate"/>
      </w:r>
      <w:r>
        <w:t>360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Travelling</w:t>
      </w:r>
      <w:r>
        <w:tab/>
      </w:r>
      <w:r>
        <w:fldChar w:fldCharType="begin"/>
      </w:r>
      <w:r>
        <w:instrText xml:space="preserve"> PAGEREF _Toc390078746 \h </w:instrText>
      </w:r>
      <w:r>
        <w:fldChar w:fldCharType="separate"/>
      </w:r>
      <w:r>
        <w:t>361</w:t>
      </w:r>
      <w:r>
        <w:fldChar w:fldCharType="end"/>
      </w:r>
    </w:p>
    <w:p>
      <w:pPr>
        <w:pStyle w:val="TOC2"/>
        <w:tabs>
          <w:tab w:val="right" w:leader="dot" w:pos="7086"/>
        </w:tabs>
        <w:rPr>
          <w:rFonts w:asciiTheme="minorHAnsi" w:eastAsiaTheme="minorEastAsia" w:hAnsiTheme="minorHAnsi" w:cstheme="minorBidi"/>
          <w:b w:val="0"/>
          <w:sz w:val="22"/>
          <w:szCs w:val="22"/>
        </w:rPr>
      </w:pPr>
      <w:r>
        <w:t>Schedule 2 — Table of compensation payable</w:t>
      </w:r>
    </w:p>
    <w:p>
      <w:pPr>
        <w:pStyle w:val="TOC2"/>
        <w:tabs>
          <w:tab w:val="right" w:leader="dot" w:pos="7086"/>
        </w:tabs>
        <w:rPr>
          <w:rFonts w:asciiTheme="minorHAnsi" w:eastAsiaTheme="minorEastAsia" w:hAnsiTheme="minorHAnsi" w:cstheme="minorBidi"/>
          <w:b w:val="0"/>
          <w:sz w:val="22"/>
          <w:szCs w:val="22"/>
        </w:rPr>
      </w:pPr>
      <w:r>
        <w:t>Part 1</w:t>
      </w:r>
    </w:p>
    <w:p>
      <w:pPr>
        <w:pStyle w:val="TOC2"/>
        <w:tabs>
          <w:tab w:val="right" w:leader="dot" w:pos="7086"/>
        </w:tabs>
        <w:rPr>
          <w:rFonts w:asciiTheme="minorHAnsi" w:eastAsiaTheme="minorEastAsia" w:hAnsiTheme="minorHAnsi" w:cstheme="minorBidi"/>
          <w:b w:val="0"/>
          <w:sz w:val="22"/>
          <w:szCs w:val="22"/>
        </w:rPr>
      </w:pPr>
      <w:r>
        <w:t>Part 2</w:t>
      </w:r>
    </w:p>
    <w:p>
      <w:pPr>
        <w:pStyle w:val="TOC2"/>
        <w:tabs>
          <w:tab w:val="right" w:leader="dot" w:pos="7086"/>
        </w:tabs>
        <w:rPr>
          <w:rFonts w:asciiTheme="minorHAnsi" w:eastAsiaTheme="minorEastAsia" w:hAnsiTheme="minorHAnsi" w:cstheme="minorBidi"/>
          <w:b w:val="0"/>
          <w:sz w:val="22"/>
          <w:szCs w:val="22"/>
        </w:rPr>
      </w:pPr>
      <w:r>
        <w:t>Schedule 3 — Specified industrial diseases</w:t>
      </w:r>
    </w:p>
    <w:p>
      <w:pPr>
        <w:pStyle w:val="TOC2"/>
        <w:tabs>
          <w:tab w:val="right" w:leader="dot" w:pos="7086"/>
        </w:tabs>
        <w:rPr>
          <w:rFonts w:asciiTheme="minorHAnsi" w:eastAsiaTheme="minorEastAsia" w:hAnsiTheme="minorHAnsi" w:cstheme="minorBidi"/>
          <w:b w:val="0"/>
          <w:sz w:val="22"/>
          <w:szCs w:val="22"/>
        </w:rPr>
      </w:pPr>
      <w:r>
        <w:t>Schedule 4 — Specified losses of functions</w:t>
      </w:r>
    </w:p>
    <w:p>
      <w:pPr>
        <w:pStyle w:val="TOC2"/>
        <w:tabs>
          <w:tab w:val="right" w:leader="dot" w:pos="7086"/>
        </w:tabs>
        <w:rPr>
          <w:rFonts w:asciiTheme="minorHAnsi" w:eastAsiaTheme="minorEastAsia" w:hAnsiTheme="minorHAnsi" w:cstheme="minorBidi"/>
          <w:b w:val="0"/>
          <w:sz w:val="22"/>
          <w:szCs w:val="22"/>
        </w:rPr>
      </w:pPr>
      <w:r>
        <w:t>Schedule 5 — Exceptions to cessation of weekly payments by reason of age</w:t>
      </w:r>
    </w:p>
    <w:p>
      <w:pPr>
        <w:pStyle w:val="TOC8"/>
        <w:rPr>
          <w:rFonts w:asciiTheme="minorHAnsi" w:eastAsiaTheme="minorEastAsia" w:hAnsiTheme="minorHAnsi" w:cstheme="minorBidi"/>
          <w:szCs w:val="22"/>
        </w:rPr>
      </w:pPr>
      <w:r>
        <w:t>1</w:t>
      </w:r>
      <w:r>
        <w:rPr>
          <w:snapToGrid w:val="0"/>
        </w:rPr>
        <w:t>.</w:t>
      </w:r>
      <w:r>
        <w:rPr>
          <w:snapToGrid w:val="0"/>
        </w:rPr>
        <w:tab/>
        <w:t>Definitions</w:t>
      </w:r>
      <w:r>
        <w:tab/>
      </w:r>
      <w:r>
        <w:fldChar w:fldCharType="begin"/>
      </w:r>
      <w:r>
        <w:instrText xml:space="preserve"> PAGEREF _Toc390078753 \h </w:instrText>
      </w:r>
      <w:r>
        <w:fldChar w:fldCharType="separate"/>
      </w:r>
      <w:r>
        <w:t>372</w:t>
      </w:r>
      <w:r>
        <w:fldChar w:fldCharType="end"/>
      </w:r>
    </w:p>
    <w:p>
      <w:pPr>
        <w:pStyle w:val="TOC8"/>
        <w:rPr>
          <w:rFonts w:asciiTheme="minorHAnsi" w:eastAsiaTheme="minorEastAsia" w:hAnsiTheme="minorHAnsi" w:cstheme="minorBidi"/>
          <w:szCs w:val="22"/>
        </w:rPr>
      </w:pPr>
      <w:r>
        <w:t>1A.</w:t>
      </w:r>
      <w:r>
        <w:tab/>
        <w:t>Successive lung diseases to be regarded as one</w:t>
      </w:r>
      <w:r>
        <w:tab/>
      </w:r>
      <w:r>
        <w:fldChar w:fldCharType="begin"/>
      </w:r>
      <w:r>
        <w:instrText xml:space="preserve"> PAGEREF _Toc390078754 \h </w:instrText>
      </w:r>
      <w:r>
        <w:fldChar w:fldCharType="separate"/>
      </w:r>
      <w:r>
        <w:t>373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Incapacity for work resulting from injuries other than pneumoconiosis, mesothelioma and lung cancer</w:t>
      </w:r>
      <w:r>
        <w:tab/>
      </w:r>
      <w:r>
        <w:fldChar w:fldCharType="begin"/>
      </w:r>
      <w:r>
        <w:instrText xml:space="preserve"> PAGEREF _Toc390078755 \h </w:instrText>
      </w:r>
      <w:r>
        <w:fldChar w:fldCharType="separate"/>
      </w:r>
      <w:r>
        <w:t>373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Incapacity for work resulting from injuries of pneumoconiosis, mesothelioma and lung cancer — weekly payments</w:t>
      </w:r>
      <w:r>
        <w:tab/>
      </w:r>
      <w:r>
        <w:fldChar w:fldCharType="begin"/>
      </w:r>
      <w:r>
        <w:instrText xml:space="preserve"> PAGEREF _Toc390078756 \h </w:instrText>
      </w:r>
      <w:r>
        <w:fldChar w:fldCharType="separate"/>
      </w:r>
      <w:r>
        <w:t>373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Election to take redemption amount as lump sum or supplementary amount weekly</w:t>
      </w:r>
      <w:r>
        <w:tab/>
      </w:r>
      <w:r>
        <w:fldChar w:fldCharType="begin"/>
      </w:r>
      <w:r>
        <w:instrText xml:space="preserve"> PAGEREF _Toc390078757 \h </w:instrText>
      </w:r>
      <w:r>
        <w:fldChar w:fldCharType="separate"/>
      </w:r>
      <w:r>
        <w:t>376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for election under clause 4</w:t>
      </w:r>
      <w:r>
        <w:tab/>
      </w:r>
      <w:r>
        <w:fldChar w:fldCharType="begin"/>
      </w:r>
      <w:r>
        <w:instrText xml:space="preserve"> PAGEREF _Toc390078758 \h </w:instrText>
      </w:r>
      <w:r>
        <w:fldChar w:fldCharType="separate"/>
      </w:r>
      <w:r>
        <w:t>377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Effect of receiving the redemption amount as a lump sum</w:t>
      </w:r>
      <w:r>
        <w:tab/>
      </w:r>
      <w:r>
        <w:fldChar w:fldCharType="begin"/>
      </w:r>
      <w:r>
        <w:instrText xml:space="preserve"> PAGEREF _Toc390078759 \h </w:instrText>
      </w:r>
      <w:r>
        <w:fldChar w:fldCharType="separate"/>
      </w:r>
      <w:r>
        <w:t>377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Effect of receiving supplementary amount</w:t>
      </w:r>
      <w:r>
        <w:tab/>
      </w:r>
      <w:r>
        <w:fldChar w:fldCharType="begin"/>
      </w:r>
      <w:r>
        <w:instrText xml:space="preserve"> PAGEREF _Toc390078760 \h </w:instrText>
      </w:r>
      <w:r>
        <w:fldChar w:fldCharType="separate"/>
      </w:r>
      <w:r>
        <w:t>378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 of supplementary amount</w:t>
      </w:r>
      <w:r>
        <w:tab/>
      </w:r>
      <w:r>
        <w:fldChar w:fldCharType="begin"/>
      </w:r>
      <w:r>
        <w:instrText xml:space="preserve"> PAGEREF _Toc390078761 \h </w:instrText>
      </w:r>
      <w:r>
        <w:fldChar w:fldCharType="separate"/>
      </w:r>
      <w:r>
        <w:t>379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Death of a worker prior to commencement of section 49 of </w:t>
      </w:r>
      <w:r>
        <w:rPr>
          <w:i/>
          <w:snapToGrid w:val="0"/>
        </w:rPr>
        <w:t>Workers’ Compensation and Assistance Amendment Act 1990</w:t>
      </w:r>
      <w:r>
        <w:tab/>
      </w:r>
      <w:r>
        <w:fldChar w:fldCharType="begin"/>
      </w:r>
      <w:r>
        <w:instrText xml:space="preserve"> PAGEREF _Toc390078762 \h </w:instrText>
      </w:r>
      <w:r>
        <w:fldChar w:fldCharType="separate"/>
      </w:r>
      <w:r>
        <w:t>380</w:t>
      </w:r>
      <w:r>
        <w:fldChar w:fldCharType="end"/>
      </w:r>
    </w:p>
    <w:p>
      <w:pPr>
        <w:pStyle w:val="TOC2"/>
        <w:tabs>
          <w:tab w:val="right" w:leader="dot" w:pos="7086"/>
        </w:tabs>
        <w:rPr>
          <w:rFonts w:asciiTheme="minorHAnsi" w:eastAsiaTheme="minorEastAsia" w:hAnsiTheme="minorHAnsi" w:cstheme="minorBidi"/>
          <w:b w:val="0"/>
          <w:sz w:val="22"/>
          <w:szCs w:val="22"/>
        </w:rPr>
      </w:pPr>
      <w:r>
        <w:t>Schedule 6 — Adjacent areas</w:t>
      </w:r>
    </w:p>
    <w:p>
      <w:pPr>
        <w:pStyle w:val="TOC8"/>
        <w:rPr>
          <w:rFonts w:asciiTheme="minorHAnsi" w:eastAsiaTheme="minorEastAsia" w:hAnsiTheme="minorHAnsi" w:cstheme="minorBidi"/>
          <w:szCs w:val="22"/>
        </w:rPr>
      </w:pPr>
      <w:r>
        <w:t>1.</w:t>
      </w:r>
      <w:r>
        <w:tab/>
        <w:t>Terms used in this Schedule</w:t>
      </w:r>
      <w:r>
        <w:tab/>
      </w:r>
      <w:r>
        <w:fldChar w:fldCharType="begin"/>
      </w:r>
      <w:r>
        <w:instrText xml:space="preserve"> PAGEREF _Toc390078764 \h </w:instrText>
      </w:r>
      <w:r>
        <w:fldChar w:fldCharType="separate"/>
      </w:r>
      <w:r>
        <w:t>381</w:t>
      </w:r>
      <w:r>
        <w:fldChar w:fldCharType="end"/>
      </w:r>
    </w:p>
    <w:p>
      <w:pPr>
        <w:pStyle w:val="TOC8"/>
        <w:rPr>
          <w:rFonts w:asciiTheme="minorHAnsi" w:eastAsiaTheme="minorEastAsia" w:hAnsiTheme="minorHAnsi" w:cstheme="minorBidi"/>
          <w:szCs w:val="22"/>
        </w:rPr>
      </w:pPr>
      <w:r>
        <w:t>2.</w:t>
      </w:r>
      <w:r>
        <w:tab/>
        <w:t>Adjacent areas</w:t>
      </w:r>
      <w:r>
        <w:tab/>
      </w:r>
      <w:r>
        <w:fldChar w:fldCharType="begin"/>
      </w:r>
      <w:r>
        <w:instrText xml:space="preserve"> PAGEREF _Toc390078765 \h </w:instrText>
      </w:r>
      <w:r>
        <w:fldChar w:fldCharType="separate"/>
      </w:r>
      <w:r>
        <w:t>381</w:t>
      </w:r>
      <w:r>
        <w:fldChar w:fldCharType="end"/>
      </w:r>
    </w:p>
    <w:p>
      <w:pPr>
        <w:pStyle w:val="TOC2"/>
        <w:tabs>
          <w:tab w:val="right" w:leader="dot" w:pos="7086"/>
        </w:tabs>
        <w:rPr>
          <w:rFonts w:asciiTheme="minorHAnsi" w:eastAsiaTheme="minorEastAsia" w:hAnsiTheme="minorHAnsi" w:cstheme="minorBidi"/>
          <w:b w:val="0"/>
          <w:sz w:val="22"/>
          <w:szCs w:val="22"/>
        </w:rPr>
      </w:pPr>
      <w:r>
        <w:t>Schedule 7 — Noise induced hearing loss</w:t>
      </w:r>
    </w:p>
    <w:p>
      <w:pPr>
        <w:pStyle w:val="TOC8"/>
        <w:rPr>
          <w:rFonts w:asciiTheme="minorHAnsi" w:eastAsiaTheme="minorEastAsia" w:hAnsiTheme="minorHAnsi" w:cstheme="minorBidi"/>
          <w:szCs w:val="22"/>
        </w:rPr>
      </w:pPr>
      <w:r>
        <w:t>1</w:t>
      </w:r>
      <w:r>
        <w:rPr>
          <w:snapToGrid w:val="0"/>
        </w:rPr>
        <w:t>.</w:t>
      </w:r>
      <w:r>
        <w:rPr>
          <w:snapToGrid w:val="0"/>
        </w:rPr>
        <w:tab/>
        <w:t>Definitions</w:t>
      </w:r>
      <w:r>
        <w:tab/>
      </w:r>
      <w:r>
        <w:fldChar w:fldCharType="begin"/>
      </w:r>
      <w:r>
        <w:instrText xml:space="preserve"> PAGEREF _Toc390078767 \h </w:instrText>
      </w:r>
      <w:r>
        <w:fldChar w:fldCharType="separate"/>
      </w:r>
      <w:r>
        <w:t>383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Audiometric tests</w:t>
      </w:r>
      <w:r>
        <w:tab/>
      </w:r>
      <w:r>
        <w:fldChar w:fldCharType="begin"/>
      </w:r>
      <w:r>
        <w:instrText xml:space="preserve"> PAGEREF _Toc390078768 \h </w:instrText>
      </w:r>
      <w:r>
        <w:fldChar w:fldCharType="separate"/>
      </w:r>
      <w:r>
        <w:t>383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Employer to arrange and pay for audiometric test</w:t>
      </w:r>
      <w:r>
        <w:tab/>
      </w:r>
      <w:r>
        <w:fldChar w:fldCharType="begin"/>
      </w:r>
      <w:r>
        <w:instrText xml:space="preserve"> PAGEREF _Toc390078769 \h </w:instrText>
      </w:r>
      <w:r>
        <w:fldChar w:fldCharType="separate"/>
      </w:r>
      <w:r>
        <w:t>384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Carrying out of audiometric tests</w:t>
      </w:r>
      <w:r>
        <w:tab/>
      </w:r>
      <w:r>
        <w:fldChar w:fldCharType="begin"/>
      </w:r>
      <w:r>
        <w:instrText xml:space="preserve"> PAGEREF _Toc390078770 \h </w:instrText>
      </w:r>
      <w:r>
        <w:fldChar w:fldCharType="separate"/>
      </w:r>
      <w:r>
        <w:t>384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Communication and storage of audiometric test results</w:t>
      </w:r>
      <w:r>
        <w:tab/>
      </w:r>
      <w:r>
        <w:fldChar w:fldCharType="begin"/>
      </w:r>
      <w:r>
        <w:instrText xml:space="preserve"> PAGEREF _Toc390078771 \h </w:instrText>
      </w:r>
      <w:r>
        <w:fldChar w:fldCharType="separate"/>
      </w:r>
      <w:r>
        <w:t>385</w:t>
      </w:r>
      <w:r>
        <w:fldChar w:fldCharType="end"/>
      </w:r>
    </w:p>
    <w:p>
      <w:pPr>
        <w:pStyle w:val="TOC8"/>
        <w:rPr>
          <w:rFonts w:asciiTheme="minorHAnsi" w:eastAsiaTheme="minorEastAsia" w:hAnsiTheme="minorHAnsi" w:cstheme="minorBidi"/>
          <w:szCs w:val="22"/>
        </w:rPr>
      </w:pPr>
      <w:r>
        <w:t>6.</w:t>
      </w:r>
      <w:r>
        <w:tab/>
        <w:t>Reference to medical assessment panel</w:t>
      </w:r>
      <w:r>
        <w:tab/>
      </w:r>
      <w:r>
        <w:fldChar w:fldCharType="begin"/>
      </w:r>
      <w:r>
        <w:instrText xml:space="preserve"> PAGEREF _Toc390078772 \h </w:instrText>
      </w:r>
      <w:r>
        <w:fldChar w:fldCharType="separate"/>
      </w:r>
      <w:r>
        <w:t>385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w:t>
      </w:r>
      <w:r>
        <w:rPr>
          <w:snapToGrid w:val="0"/>
        </w:rPr>
        <w:noBreakHyphen/>
        <w:t>test of person’s hearing</w:t>
      </w:r>
      <w:r>
        <w:tab/>
      </w:r>
      <w:r>
        <w:fldChar w:fldCharType="begin"/>
      </w:r>
      <w:r>
        <w:instrText xml:space="preserve"> PAGEREF _Toc390078773 \h </w:instrText>
      </w:r>
      <w:r>
        <w:fldChar w:fldCharType="separate"/>
      </w:r>
      <w:r>
        <w:t>385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Determination of hearing loss</w:t>
      </w:r>
      <w:r>
        <w:tab/>
      </w:r>
      <w:r>
        <w:fldChar w:fldCharType="begin"/>
      </w:r>
      <w:r>
        <w:instrText xml:space="preserve"> PAGEREF _Toc390078774 \h </w:instrText>
      </w:r>
      <w:r>
        <w:fldChar w:fldCharType="separate"/>
      </w:r>
      <w:r>
        <w:t>386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Audiometric test not conclusive proof that hearing loss is noise induced</w:t>
      </w:r>
      <w:r>
        <w:tab/>
      </w:r>
      <w:r>
        <w:fldChar w:fldCharType="begin"/>
      </w:r>
      <w:r>
        <w:instrText xml:space="preserve"> PAGEREF _Toc390078775 \h </w:instrText>
      </w:r>
      <w:r>
        <w:fldChar w:fldCharType="separate"/>
      </w:r>
      <w:r>
        <w:t>387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Prescribed workplaces</w:t>
      </w:r>
      <w:r>
        <w:tab/>
      </w:r>
      <w:r>
        <w:fldChar w:fldCharType="begin"/>
      </w:r>
      <w:r>
        <w:instrText xml:space="preserve"> PAGEREF _Toc390078776 \h </w:instrText>
      </w:r>
      <w:r>
        <w:fldChar w:fldCharType="separate"/>
      </w:r>
      <w:r>
        <w:t>387</w:t>
      </w:r>
      <w:r>
        <w:fldChar w:fldCharType="end"/>
      </w:r>
    </w:p>
    <w:p>
      <w:pPr>
        <w:pStyle w:val="TOC2"/>
        <w:tabs>
          <w:tab w:val="right" w:leader="dot" w:pos="7086"/>
        </w:tabs>
        <w:rPr>
          <w:rFonts w:asciiTheme="minorHAnsi" w:eastAsiaTheme="minorEastAsia" w:hAnsiTheme="minorHAnsi" w:cstheme="minorBidi"/>
          <w:b w:val="0"/>
          <w:sz w:val="22"/>
          <w:szCs w:val="22"/>
        </w:rPr>
      </w:pPr>
      <w:r>
        <w:t>Schedule 8 — Terms and conditions of service of Commissioner</w:t>
      </w:r>
    </w:p>
    <w:p>
      <w:pPr>
        <w:pStyle w:val="TOC8"/>
        <w:rPr>
          <w:rFonts w:asciiTheme="minorHAnsi" w:eastAsiaTheme="minorEastAsia" w:hAnsiTheme="minorHAnsi" w:cstheme="minorBidi"/>
          <w:szCs w:val="22"/>
        </w:rPr>
      </w:pPr>
      <w:r>
        <w:t>1.</w:t>
      </w:r>
      <w:r>
        <w:tab/>
        <w:t>Tenure of Commissioner’s office</w:t>
      </w:r>
      <w:r>
        <w:tab/>
      </w:r>
      <w:r>
        <w:fldChar w:fldCharType="begin"/>
      </w:r>
      <w:r>
        <w:instrText xml:space="preserve"> PAGEREF _Toc390078778 \h </w:instrText>
      </w:r>
      <w:r>
        <w:fldChar w:fldCharType="separate"/>
      </w:r>
      <w:r>
        <w:t>388</w:t>
      </w:r>
      <w:r>
        <w:fldChar w:fldCharType="end"/>
      </w:r>
    </w:p>
    <w:p>
      <w:pPr>
        <w:pStyle w:val="TOC8"/>
        <w:rPr>
          <w:rFonts w:asciiTheme="minorHAnsi" w:eastAsiaTheme="minorEastAsia" w:hAnsiTheme="minorHAnsi" w:cstheme="minorBidi"/>
          <w:szCs w:val="22"/>
        </w:rPr>
      </w:pPr>
      <w:r>
        <w:t>2.</w:t>
      </w:r>
      <w:r>
        <w:tab/>
        <w:t>Vacating office prematurely</w:t>
      </w:r>
      <w:r>
        <w:tab/>
      </w:r>
      <w:r>
        <w:fldChar w:fldCharType="begin"/>
      </w:r>
      <w:r>
        <w:instrText xml:space="preserve"> PAGEREF _Toc390078779 \h </w:instrText>
      </w:r>
      <w:r>
        <w:fldChar w:fldCharType="separate"/>
      </w:r>
      <w:r>
        <w:t>388</w:t>
      </w:r>
      <w:r>
        <w:fldChar w:fldCharType="end"/>
      </w:r>
    </w:p>
    <w:p>
      <w:pPr>
        <w:pStyle w:val="TOC8"/>
        <w:rPr>
          <w:rFonts w:asciiTheme="minorHAnsi" w:eastAsiaTheme="minorEastAsia" w:hAnsiTheme="minorHAnsi" w:cstheme="minorBidi"/>
          <w:szCs w:val="22"/>
        </w:rPr>
      </w:pPr>
      <w:r>
        <w:t>3.</w:t>
      </w:r>
      <w:r>
        <w:tab/>
        <w:t>Commissioner’s status as District Court Judge</w:t>
      </w:r>
      <w:r>
        <w:tab/>
      </w:r>
      <w:r>
        <w:fldChar w:fldCharType="begin"/>
      </w:r>
      <w:r>
        <w:instrText xml:space="preserve"> PAGEREF _Toc390078780 \h </w:instrText>
      </w:r>
      <w:r>
        <w:fldChar w:fldCharType="separate"/>
      </w:r>
      <w:r>
        <w:t>388</w:t>
      </w:r>
      <w:r>
        <w:fldChar w:fldCharType="end"/>
      </w:r>
    </w:p>
    <w:p>
      <w:pPr>
        <w:pStyle w:val="TOC8"/>
        <w:rPr>
          <w:rFonts w:asciiTheme="minorHAnsi" w:eastAsiaTheme="minorEastAsia" w:hAnsiTheme="minorHAnsi" w:cstheme="minorBidi"/>
          <w:szCs w:val="22"/>
        </w:rPr>
      </w:pPr>
      <w:r>
        <w:t>4.</w:t>
      </w:r>
      <w:r>
        <w:tab/>
        <w:t>Completion of matters</w:t>
      </w:r>
      <w:r>
        <w:tab/>
      </w:r>
      <w:r>
        <w:fldChar w:fldCharType="begin"/>
      </w:r>
      <w:r>
        <w:instrText xml:space="preserve"> PAGEREF _Toc390078781 \h </w:instrText>
      </w:r>
      <w:r>
        <w:fldChar w:fldCharType="separate"/>
      </w:r>
      <w:r>
        <w:t>389</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_Toc390078783 \h </w:instrText>
      </w:r>
      <w:r>
        <w:fldChar w:fldCharType="separate"/>
      </w:r>
      <w:r>
        <w:t>390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_Toc390078784 \h </w:instrText>
      </w:r>
      <w:r>
        <w:fldChar w:fldCharType="separate"/>
      </w:r>
      <w:r>
        <w:t>397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after="84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 w:name="_Toc390078219"/>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90078220"/>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snapToGrid w:val="0"/>
          <w:vertAlign w:val="superscript"/>
        </w:rPr>
        <w:t>1</w:t>
      </w:r>
      <w:r>
        <w:rPr>
          <w:snapToGrid w:val="0"/>
        </w:rPr>
        <w:t>.</w:t>
      </w:r>
    </w:p>
    <w:p>
      <w:pPr>
        <w:pStyle w:val="Footnotesection"/>
      </w:pPr>
      <w:r>
        <w:tab/>
        <w:t xml:space="preserve">[Section 1 amended by No. 96 of 1990 s. 5; No. 42 of 2004 s. 5.] </w:t>
      </w:r>
    </w:p>
    <w:p>
      <w:pPr>
        <w:pStyle w:val="Heading5"/>
        <w:rPr>
          <w:snapToGrid w:val="0"/>
        </w:rPr>
      </w:pPr>
      <w:bookmarkStart w:id="3" w:name="_Toc390078221"/>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1</w:t>
      </w:r>
      <w:r>
        <w:rPr>
          <w:snapToGrid w:val="0"/>
        </w:rPr>
        <w:t>.</w:t>
      </w:r>
    </w:p>
    <w:p>
      <w:pPr>
        <w:pStyle w:val="Heading5"/>
        <w:rPr>
          <w:snapToGrid w:val="0"/>
        </w:rPr>
      </w:pPr>
      <w:bookmarkStart w:id="4" w:name="_Toc390078222"/>
      <w:r>
        <w:rPr>
          <w:rStyle w:val="CharSectno"/>
        </w:rPr>
        <w:t>3</w:t>
      </w:r>
      <w:r>
        <w:rPr>
          <w:snapToGrid w:val="0"/>
        </w:rPr>
        <w:t>.</w:t>
      </w:r>
      <w:r>
        <w:rPr>
          <w:snapToGrid w:val="0"/>
        </w:rPr>
        <w:tab/>
        <w:t>Purposes</w:t>
      </w:r>
      <w:bookmarkEnd w:id="4"/>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5" w:name="_Toc390078223"/>
      <w:r>
        <w:rPr>
          <w:rStyle w:val="CharSectno"/>
        </w:rPr>
        <w:t>4</w:t>
      </w:r>
      <w:r>
        <w:rPr>
          <w:snapToGrid w:val="0"/>
        </w:rPr>
        <w:t>.</w:t>
      </w:r>
      <w:r>
        <w:rPr>
          <w:snapToGrid w:val="0"/>
        </w:rPr>
        <w:tab/>
        <w:t>General application</w:t>
      </w:r>
      <w:bookmarkEnd w:id="5"/>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6" w:name="_Toc390078224"/>
      <w:r>
        <w:rPr>
          <w:rStyle w:val="CharSectno"/>
        </w:rPr>
        <w:t>5</w:t>
      </w:r>
      <w:r>
        <w:rPr>
          <w:snapToGrid w:val="0"/>
        </w:rPr>
        <w:t>.</w:t>
      </w:r>
      <w:r>
        <w:rPr>
          <w:snapToGrid w:val="0"/>
        </w:rPr>
        <w:tab/>
        <w:t>Definitions</w:t>
      </w:r>
      <w:bookmarkEnd w:id="6"/>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rPr>
          <w:b/>
        </w:rPr>
        <w:tab/>
      </w:r>
      <w:r>
        <w:rPr>
          <w:rStyle w:val="CharDefText"/>
        </w:rPr>
        <w:t>arbitrator</w:t>
      </w:r>
      <w:r>
        <w:t xml:space="preserve"> means an officer of WorkCover WA approved under section 286(2) as an arbitrator;</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rPr>
          <w:b/>
        </w:rPr>
        <w:tab/>
      </w:r>
      <w:r>
        <w:rPr>
          <w:rStyle w:val="CharDefText"/>
        </w:rPr>
        <w:t>chiropractor</w:t>
      </w:r>
      <w:r>
        <w:t xml:space="preserve"> means a person who is resident in this State and is registered as a chiropractor under the</w:t>
      </w:r>
      <w:r>
        <w:rPr>
          <w:i/>
        </w:rPr>
        <w:t xml:space="preserve"> Chiropractors Act 2005</w:t>
      </w:r>
      <w:r>
        <w:rPr>
          <w:iCs/>
        </w:rPr>
        <w:t>;</w:t>
      </w:r>
    </w:p>
    <w:p>
      <w:pPr>
        <w:pStyle w:val="Defstart"/>
      </w:pPr>
      <w:r>
        <w:rPr>
          <w:b/>
        </w:rPr>
        <w:tab/>
      </w:r>
      <w:r>
        <w:rPr>
          <w:rStyle w:val="CharDefText"/>
        </w:rPr>
        <w:t>clause</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r>
      <w:r>
        <w:rPr>
          <w:rStyle w:val="CharDefText"/>
        </w:rPr>
        <w:t>Commissioner</w:t>
      </w:r>
      <w:r>
        <w:t xml:space="preserve"> means the Commissioner appointed under section 281;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r>
      <w:r>
        <w:rPr>
          <w:rStyle w:val="CharDefText"/>
        </w:rPr>
        <w:t>contract of insurance</w:t>
      </w:r>
      <w:r>
        <w:t xml:space="preserve"> includes a cover note;</w:t>
      </w:r>
    </w:p>
    <w:p>
      <w:pPr>
        <w:pStyle w:val="Defstart"/>
      </w:pPr>
      <w:r>
        <w:rPr>
          <w:b/>
        </w:rPr>
        <w:tab/>
      </w:r>
      <w:r>
        <w:rPr>
          <w:rStyle w:val="CharDefText"/>
        </w:rPr>
        <w:t>decision</w:t>
      </w:r>
      <w:r>
        <w:t xml:space="preserve"> includes an order, award, direction or determination;</w:t>
      </w:r>
    </w:p>
    <w:p>
      <w:pPr>
        <w:pStyle w:val="Defstart"/>
      </w:pPr>
      <w:r>
        <w:tab/>
      </w:r>
      <w:r>
        <w:rPr>
          <w:rStyle w:val="CharDefText"/>
        </w:rPr>
        <w:t>de facto partner</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keepNext/>
      </w:pPr>
      <w:r>
        <w:rPr>
          <w:b/>
        </w:rPr>
        <w:tab/>
      </w:r>
      <w:r>
        <w:rPr>
          <w:rStyle w:val="CharDefText"/>
        </w:rPr>
        <w:t>dentist</w:t>
      </w:r>
      <w:r>
        <w:t xml:space="preserve"> means — </w:t>
      </w:r>
    </w:p>
    <w:p>
      <w:pPr>
        <w:pStyle w:val="Defpara"/>
      </w:pPr>
      <w:r>
        <w:tab/>
        <w:t>(a)</w:t>
      </w:r>
      <w:r>
        <w:tab/>
        <w:t>a person who is resident in a State or Territory of the Commonwealth and is entitled to practise as a dentist in accordance with the laws of that State or Territory;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rPr>
          <w:b/>
        </w:rPr>
        <w:tab/>
      </w:r>
      <w:r>
        <w:rPr>
          <w:rStyle w:val="CharDefText"/>
        </w:rPr>
        <w:t>Director</w:t>
      </w:r>
      <w:r>
        <w:t xml:space="preserve"> means the officer of WorkCover WA approved under section 288(2) as the Director Dispute Resolution;</w:t>
      </w:r>
    </w:p>
    <w:p>
      <w:pPr>
        <w:pStyle w:val="Defstart"/>
      </w:pPr>
      <w:r>
        <w:rPr>
          <w:b/>
        </w:rPr>
        <w:tab/>
      </w:r>
      <w:r>
        <w:rPr>
          <w:rStyle w:val="CharDefText"/>
        </w:rPr>
        <w:t>disease</w:t>
      </w:r>
      <w:r>
        <w:t xml:space="preserve"> includes any physical or mental ailment, disorder, defect, or morbid condition whether of sudden or gradual development;</w:t>
      </w:r>
    </w:p>
    <w:p>
      <w:pPr>
        <w:pStyle w:val="Defstart"/>
      </w:pPr>
      <w:r>
        <w:rPr>
          <w:b/>
        </w:rPr>
        <w:tab/>
      </w:r>
      <w:r>
        <w:rPr>
          <w:rStyle w:val="CharDefText"/>
        </w:rPr>
        <w:t>dispute resolution authority</w:t>
      </w:r>
      <w:r>
        <w:t xml:space="preserve"> means the Director, an arbitrator or the Commissioner;</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spacing w:before="60"/>
      </w:pPr>
      <w:r>
        <w:rPr>
          <w:b/>
        </w:rPr>
        <w:tab/>
      </w:r>
      <w:r>
        <w:rPr>
          <w:rStyle w:val="CharDefText"/>
        </w:rPr>
        <w:t>Division</w:t>
      </w:r>
      <w:r>
        <w:t xml:space="preserve"> means a Division of the Part wherein the term is used;</w:t>
      </w:r>
    </w:p>
    <w:p>
      <w:pPr>
        <w:pStyle w:val="Defstart"/>
      </w:pPr>
      <w:r>
        <w:rPr>
          <w:b/>
        </w:rPr>
        <w:tab/>
      </w:r>
      <w:r>
        <w:rPr>
          <w:rStyle w:val="CharDefText"/>
        </w:rPr>
        <w:t>DRD</w:t>
      </w:r>
      <w:r>
        <w:t xml:space="preserve"> means the Dispute Resolution Directorate established under section 278;</w:t>
      </w:r>
    </w:p>
    <w:p>
      <w:pPr>
        <w:pStyle w:val="Defstart"/>
      </w:pPr>
      <w:r>
        <w:rPr>
          <w:b/>
        </w:rPr>
        <w:tab/>
      </w:r>
      <w:r>
        <w:rPr>
          <w:rStyle w:val="CharDefText"/>
        </w:rPr>
        <w:t>DRD Rules</w:t>
      </w:r>
      <w:r>
        <w:t xml:space="preserve"> means the rules made under section 293;</w:t>
      </w:r>
    </w:p>
    <w:p>
      <w:pPr>
        <w:pStyle w:val="Defstart"/>
        <w:spacing w:before="60"/>
      </w:pPr>
      <w:r>
        <w:rPr>
          <w:b/>
        </w:rPr>
        <w:tab/>
      </w:r>
      <w:r>
        <w:rPr>
          <w:rStyle w:val="CharDefText"/>
        </w:rPr>
        <w:t>drug of addiction</w:t>
      </w:r>
      <w:r>
        <w:t xml:space="preserve"> means drug of addiction as defined by section 5 of the </w:t>
      </w:r>
      <w:r>
        <w:rPr>
          <w:i/>
        </w:rPr>
        <w:t>Poisons Act 1964</w:t>
      </w:r>
      <w:r>
        <w:t>;</w:t>
      </w:r>
    </w:p>
    <w:p>
      <w:pPr>
        <w:pStyle w:val="Defstart"/>
        <w:spacing w:before="60"/>
      </w:pPr>
      <w:r>
        <w:rPr>
          <w:b/>
        </w:rPr>
        <w:tab/>
      </w:r>
      <w:r>
        <w:rPr>
          <w:rStyle w:val="CharDefText"/>
        </w:rPr>
        <w:t>earnings</w:t>
      </w:r>
      <w:r>
        <w:t xml:space="preserve"> includes weekly payments of compensation under this Act;</w:t>
      </w:r>
    </w:p>
    <w:p>
      <w:pPr>
        <w:pStyle w:val="Defstart"/>
        <w:spacing w:before="60"/>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spacing w:before="60"/>
      </w:pPr>
      <w:r>
        <w:tab/>
        <w:t xml:space="preserve">the term </w:t>
      </w:r>
      <w:r>
        <w:rPr>
          <w:rStyle w:val="CharDefText"/>
        </w:rPr>
        <w:t>employer</w:t>
      </w:r>
      <w:r>
        <w:t xml:space="preserve"> shall extend to any person for or by whom any worker, as defined in paragraph (a) or (b) of the definition of “worker”, works or is engaged; and</w:t>
      </w:r>
    </w:p>
    <w:p>
      <w:pPr>
        <w:pStyle w:val="Defstart"/>
        <w:spacing w:before="60"/>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 </w:t>
      </w:r>
    </w:p>
    <w:p>
      <w:pPr>
        <w:pStyle w:val="Defpara"/>
      </w:pPr>
      <w:r>
        <w:tab/>
        <w:t>(a)</w:t>
      </w:r>
      <w:r>
        <w:tab/>
        <w:t>a person who is resident in a State or Territory of the Commonwealth and is entitled to practise as a medical practitioner in accordance with the laws of that State or Territory;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pPr>
      <w:r>
        <w:tab/>
      </w:r>
      <w:r>
        <w:rPr>
          <w:rStyle w:val="CharDefText"/>
        </w:rPr>
        <w:t>NRE amount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the amount obtained by varying the NRE amount for the preceding financial year by the percentage by which the amount that the Australian Statistician published as the Wages Cost Index, ordinary time hourly rates of pay (excluding bonuses) for Western Australia (</w:t>
      </w:r>
      <w:r>
        <w:rPr>
          <w:rStyle w:val="CharDefText"/>
          <w:snapToGrid w:val="0"/>
        </w:rPr>
        <w:t>WCI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NRE amount for the preceding financial year in accordance with the regulations,</w:t>
      </w:r>
    </w:p>
    <w:p>
      <w:pPr>
        <w:pStyle w:val="Defstart"/>
      </w:pPr>
      <w:r>
        <w:tab/>
        <w:t>with an amount that is 50 cents more than a whole number of dollars being rounded off to the next highest whole number of dollars;</w:t>
      </w:r>
    </w:p>
    <w:p>
      <w:pPr>
        <w:pStyle w:val="Defstart"/>
      </w:pPr>
      <w:r>
        <w:rPr>
          <w:b/>
        </w:rPr>
        <w:tab/>
      </w:r>
      <w:r>
        <w:rPr>
          <w:rStyle w:val="CharDefText"/>
        </w:rPr>
        <w:t>officer of the DRD</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rPr>
          <w:b/>
        </w:rPr>
        <w:tab/>
      </w:r>
      <w:r>
        <w:rPr>
          <w:rStyle w:val="CharDefText"/>
        </w:rPr>
        <w:t>physiotherapist</w:t>
      </w:r>
      <w:r>
        <w:t xml:space="preserve"> means a person who is resident in the Commonwealth or a Territory of the Commonwealth and is registered as a physiotherapist in accordance with the laws of a State or Territory of the Commonwealth;</w:t>
      </w:r>
    </w:p>
    <w:p>
      <w:pPr>
        <w:pStyle w:val="Defstart"/>
        <w:keepNext/>
      </w:pPr>
      <w:r>
        <w:rPr>
          <w:b/>
        </w:rPr>
        <w:tab/>
      </w:r>
      <w:r>
        <w:rPr>
          <w:rStyle w:val="CharDefText"/>
        </w:rPr>
        <w:t>prescribed amount</w:t>
      </w:r>
      <w:r>
        <w:t xml:space="preserve"> means —</w:t>
      </w:r>
    </w:p>
    <w:p>
      <w:pPr>
        <w:pStyle w:val="Defpara"/>
      </w:pPr>
      <w:r>
        <w:tab/>
        <w:t>(a)</w:t>
      </w:r>
      <w:r>
        <w:tab/>
        <w:t>in relation to the financial year ending on 30 June 2000, $119 048;</w:t>
      </w:r>
    </w:p>
    <w:p>
      <w:pPr>
        <w:pStyle w:val="NotesPerm"/>
        <w:tabs>
          <w:tab w:val="clear" w:pos="879"/>
          <w:tab w:val="left" w:pos="2552"/>
        </w:tabs>
        <w:ind w:left="2552" w:hanging="709"/>
        <w:rPr>
          <w:sz w:val="20"/>
        </w:rPr>
      </w:pPr>
      <w:r>
        <w:rPr>
          <w:sz w:val="20"/>
        </w:rPr>
        <w:t>Note:</w:t>
      </w:r>
      <w:r>
        <w:rPr>
          <w:sz w:val="20"/>
        </w:rPr>
        <w:tab/>
        <w:t>This is the nearest whole number of dollars to the amount obtained by multiplying by 208 the average of the amounts that the Australian Statistician published as the all employees average weekly total earnings in Western Australia for pay periods ending in the months of May, August and November 1998 and February 1999.</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Wages Cost Index, ordinary time hourly rates of pay (excluding bonuses) for Western Australia (the </w:t>
      </w:r>
      <w:r>
        <w:rPr>
          <w:rStyle w:val="CharDefText"/>
        </w:rPr>
        <w:t>WCI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keepNext/>
      </w:pPr>
      <w:r>
        <w:rPr>
          <w:b/>
        </w:rPr>
        <w:tab/>
      </w:r>
      <w:r>
        <w:rPr>
          <w:rStyle w:val="CharDefText"/>
        </w:rPr>
        <w:t>relevant employment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spacing w:before="120"/>
      </w:pPr>
      <w:r>
        <w:tab/>
        <w:t>(c)</w:t>
      </w:r>
      <w:r>
        <w:tab/>
        <w:t>the employment in the course of which the disease was contracted and which was a contributing factor and contributed to a significant degree;</w:t>
      </w:r>
    </w:p>
    <w:p>
      <w:pPr>
        <w:pStyle w:val="Defpara"/>
        <w:spacing w:before="120"/>
      </w:pPr>
      <w:r>
        <w:tab/>
        <w:t>(d)</w:t>
      </w:r>
      <w:r>
        <w:tab/>
        <w:t>the employment which contributed and contributed to a significant degree to the recurrence, aggravation, or acceleration of the pre</w:t>
      </w:r>
      <w:r>
        <w:noBreakHyphen/>
        <w:t>existing disease; or</w:t>
      </w:r>
    </w:p>
    <w:p>
      <w:pPr>
        <w:pStyle w:val="Defpara"/>
        <w:spacing w:before="120"/>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spacing w:before="120"/>
      </w:pPr>
      <w:r>
        <w:rPr>
          <w:b/>
        </w:rPr>
        <w:tab/>
      </w:r>
      <w:r>
        <w:rPr>
          <w:rStyle w:val="CharDefText"/>
        </w:rPr>
        <w:t>repealed Act</w:t>
      </w:r>
      <w:r>
        <w:t xml:space="preserve"> means the Act repealed by section 317;</w:t>
      </w:r>
    </w:p>
    <w:p>
      <w:pPr>
        <w:pStyle w:val="Defstart"/>
      </w:pPr>
      <w:r>
        <w:rPr>
          <w:b/>
        </w:rPr>
        <w:tab/>
      </w:r>
      <w:r>
        <w:rPr>
          <w:rStyle w:val="CharDefText"/>
        </w:rPr>
        <w:t>return to work</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spacing w:before="120"/>
      </w:pPr>
      <w:r>
        <w:rPr>
          <w:b/>
        </w:rPr>
        <w:tab/>
      </w:r>
      <w:r>
        <w:rPr>
          <w:rStyle w:val="CharDefText"/>
        </w:rPr>
        <w:t>self</w:t>
      </w:r>
      <w:r>
        <w:rPr>
          <w:rStyle w:val="CharDefText"/>
        </w:rPr>
        <w:noBreakHyphen/>
        <w:t>insurer</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 </w:t>
      </w:r>
    </w:p>
    <w:p>
      <w:pPr>
        <w:pStyle w:val="Defpara"/>
      </w:pPr>
      <w:r>
        <w:tab/>
        <w:t>(a)</w:t>
      </w:r>
      <w:r>
        <w:tab/>
        <w:t>a barge, lighter, or other floating vessel; and</w:t>
      </w:r>
    </w:p>
    <w:p>
      <w:pPr>
        <w:pStyle w:val="Defpara"/>
      </w:pPr>
      <w:r>
        <w:tab/>
        <w:t>(b)</w:t>
      </w:r>
      <w:r>
        <w:tab/>
        <w:t>an air</w:t>
      </w:r>
      <w:r>
        <w:noBreakHyphen/>
        <w:t>cushion vehicle, or other similar craft,</w:t>
      </w:r>
    </w:p>
    <w:p>
      <w:pPr>
        <w:pStyle w:val="Defstart"/>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spacing w:before="60"/>
      </w:pPr>
      <w:r>
        <w:rPr>
          <w:b/>
        </w:rPr>
        <w:tab/>
      </w:r>
      <w:r>
        <w:rPr>
          <w:rStyle w:val="CharDefText"/>
        </w:rPr>
        <w:t>specialist</w:t>
      </w:r>
      <w:r>
        <w:t xml:space="preserve"> means a medical practitioner — </w:t>
      </w:r>
    </w:p>
    <w:p>
      <w:pPr>
        <w:pStyle w:val="Defpara"/>
      </w:pPr>
      <w:r>
        <w:tab/>
        <w:t>(a)</w:t>
      </w:r>
      <w:r>
        <w:tab/>
        <w:t xml:space="preserve">who is resident in the State and who is registered as a specialist under section 11A of the </w:t>
      </w:r>
      <w:r>
        <w:rPr>
          <w:i/>
        </w:rPr>
        <w:t>Medical Act 1894</w:t>
      </w:r>
      <w:r>
        <w:t>; or</w:t>
      </w:r>
    </w:p>
    <w:p>
      <w:pPr>
        <w:pStyle w:val="Defpara"/>
      </w:pPr>
      <w:r>
        <w:tab/>
        <w:t>(b)</w:t>
      </w:r>
      <w:r>
        <w:tab/>
        <w:t>who is not resident in the State, but who is recognised as a specialist for the purposes of this Act by WorkCover WA;</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State Government Insurance Commission</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pPr>
      <w:r>
        <w:rPr>
          <w:b/>
        </w:rPr>
        <w:tab/>
      </w:r>
      <w:r>
        <w:rPr>
          <w:rStyle w:val="CharDefText"/>
        </w:rPr>
        <w:t>State Government Insurance Corporation</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pPr>
      <w:r>
        <w:rPr>
          <w:b/>
        </w:rPr>
        <w:tab/>
      </w:r>
      <w:r>
        <w:rPr>
          <w:rStyle w:val="CharDefText"/>
        </w:rPr>
        <w:t>the 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WorkCover WA under section 146R;</w:t>
      </w:r>
    </w:p>
    <w:p>
      <w:pPr>
        <w:pStyle w:val="Defstart"/>
      </w:pPr>
      <w:r>
        <w:rPr>
          <w:b/>
        </w:rPr>
        <w:tab/>
      </w:r>
      <w:r>
        <w:rPr>
          <w:rStyle w:val="CharDefText"/>
        </w:rPr>
        <w:t>WorkCover WA</w:t>
      </w:r>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member of the police force,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save as hereinbefore provided in this definition, includes a member of the police force,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pPr>
      <w:r>
        <w:tab/>
        <w:t xml:space="preserve">the term </w:t>
      </w:r>
      <w:r>
        <w:rPr>
          <w:rStyle w:val="CharDefText"/>
        </w:rPr>
        <w:t>worker</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repealed]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“injury” in subsection (1).</w:t>
      </w:r>
    </w:p>
    <w:p>
      <w:pPr>
        <w:pStyle w:val="Subsection"/>
        <w:spacing w:before="100"/>
        <w:rPr>
          <w:snapToGrid w:val="0"/>
        </w:rPr>
      </w:pPr>
      <w:r>
        <w:rPr>
          <w:snapToGrid w:val="0"/>
        </w:rPr>
        <w:tab/>
        <w:t>(4)</w:t>
      </w:r>
      <w:r>
        <w:rPr>
          <w:snapToGrid w:val="0"/>
        </w:rPr>
        <w:tab/>
        <w:t>For purposes of the definition of</w:t>
      </w:r>
      <w:r>
        <w:rPr>
          <w:b/>
        </w:rPr>
        <w:t xml:space="preserve"> </w:t>
      </w:r>
      <w:r>
        <w:rPr>
          <w:rStyle w:val="CharDefText"/>
        </w:rPr>
        <w:t>injury</w:t>
      </w:r>
      <w:r>
        <w:rPr>
          <w:snapToGrid w:val="0"/>
        </w:rPr>
        <w:t>,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In determining whether the employment contributed, or contributed to a significant degree, to the contraction, recurrence, aggravation or acceleration of a disease for purposes of the definitions of</w:t>
      </w:r>
      <w:r>
        <w:rPr>
          <w:b/>
        </w:rPr>
        <w:t xml:space="preserve"> </w:t>
      </w:r>
      <w:r>
        <w:rPr>
          <w:rStyle w:val="CharDefText"/>
        </w:rPr>
        <w:t>injury</w:t>
      </w:r>
      <w:r>
        <w:rPr>
          <w:snapToGrid w:val="0"/>
        </w:rPr>
        <w:t xml:space="preserve"> and </w:t>
      </w:r>
      <w:r>
        <w:rPr>
          <w:rStyle w:val="CharDefText"/>
        </w:rPr>
        <w:t>relevant employment</w:t>
      </w:r>
      <w:r>
        <w:rPr>
          <w:snapToGrid w:val="0"/>
        </w:rPr>
        <w:t>, the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 xml:space="preserve">[Section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 109; No. 77 of 2006 s. 17.] </w:t>
      </w:r>
    </w:p>
    <w:p>
      <w:pPr>
        <w:pStyle w:val="Heading5"/>
      </w:pPr>
      <w:bookmarkStart w:id="7" w:name="_Toc390078225"/>
      <w:r>
        <w:rPr>
          <w:rStyle w:val="CharSectno"/>
        </w:rPr>
        <w:t>5A</w:t>
      </w:r>
      <w:r>
        <w:t>.</w:t>
      </w:r>
      <w:r>
        <w:tab/>
        <w:t>Indexation of certain amounts</w:t>
      </w:r>
      <w:bookmarkEnd w:id="7"/>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8" w:name="_Toc390078226"/>
      <w:r>
        <w:rPr>
          <w:rStyle w:val="CharPartNo"/>
        </w:rPr>
        <w:t>Part II</w:t>
      </w:r>
      <w:r>
        <w:rPr>
          <w:rStyle w:val="CharDivNo"/>
        </w:rPr>
        <w:t> </w:t>
      </w:r>
      <w:r>
        <w:t>—</w:t>
      </w:r>
      <w:r>
        <w:rPr>
          <w:rStyle w:val="CharDivText"/>
        </w:rPr>
        <w:t> </w:t>
      </w:r>
      <w:r>
        <w:rPr>
          <w:rStyle w:val="CharPartText"/>
        </w:rPr>
        <w:t>Application of this Act in respect of certain persons and bodies</w:t>
      </w:r>
      <w:bookmarkEnd w:id="8"/>
      <w:r>
        <w:rPr>
          <w:rStyle w:val="CharPartText"/>
        </w:rPr>
        <w:t xml:space="preserve"> </w:t>
      </w:r>
    </w:p>
    <w:p>
      <w:pPr>
        <w:pStyle w:val="Heading5"/>
        <w:rPr>
          <w:snapToGrid w:val="0"/>
        </w:rPr>
      </w:pPr>
      <w:bookmarkStart w:id="9" w:name="_Toc390078227"/>
      <w:r>
        <w:rPr>
          <w:rStyle w:val="CharSectno"/>
        </w:rPr>
        <w:t>6</w:t>
      </w:r>
      <w:r>
        <w:rPr>
          <w:snapToGrid w:val="0"/>
        </w:rPr>
        <w:t>.</w:t>
      </w:r>
      <w:r>
        <w:rPr>
          <w:snapToGrid w:val="0"/>
        </w:rPr>
        <w:tab/>
        <w:t>Local governments and other authorities</w:t>
      </w:r>
      <w:bookmarkEnd w:id="9"/>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10" w:name="_Toc390078228"/>
      <w:r>
        <w:rPr>
          <w:rStyle w:val="CharSectno"/>
        </w:rPr>
        <w:t>7</w:t>
      </w:r>
      <w:r>
        <w:rPr>
          <w:snapToGrid w:val="0"/>
        </w:rPr>
        <w:t>.</w:t>
      </w:r>
      <w:r>
        <w:rPr>
          <w:snapToGrid w:val="0"/>
        </w:rPr>
        <w:tab/>
        <w:t>Tributers</w:t>
      </w:r>
      <w:bookmarkEnd w:id="10"/>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11" w:name="_Toc390078229"/>
      <w:r>
        <w:rPr>
          <w:rStyle w:val="CharSectno"/>
        </w:rPr>
        <w:t>8</w:t>
      </w:r>
      <w:r>
        <w:rPr>
          <w:snapToGrid w:val="0"/>
        </w:rPr>
        <w:t>.</w:t>
      </w:r>
      <w:r>
        <w:rPr>
          <w:snapToGrid w:val="0"/>
        </w:rPr>
        <w:tab/>
        <w:t>Baptist clergymen</w:t>
      </w:r>
      <w:bookmarkEnd w:id="11"/>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12" w:name="_Toc390078230"/>
      <w:r>
        <w:rPr>
          <w:rStyle w:val="CharSectno"/>
        </w:rPr>
        <w:t>9</w:t>
      </w:r>
      <w:r>
        <w:rPr>
          <w:snapToGrid w:val="0"/>
        </w:rPr>
        <w:t>.</w:t>
      </w:r>
      <w:r>
        <w:rPr>
          <w:snapToGrid w:val="0"/>
        </w:rPr>
        <w:tab/>
        <w:t>Anglican clergy</w:t>
      </w:r>
      <w:bookmarkEnd w:id="12"/>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13" w:name="_Toc390078231"/>
      <w:r>
        <w:rPr>
          <w:rStyle w:val="CharSectno"/>
        </w:rPr>
        <w:t>10</w:t>
      </w:r>
      <w:r>
        <w:rPr>
          <w:snapToGrid w:val="0"/>
        </w:rPr>
        <w:t>.</w:t>
      </w:r>
      <w:r>
        <w:rPr>
          <w:snapToGrid w:val="0"/>
        </w:rPr>
        <w:tab/>
        <w:t>Other clergymen</w:t>
      </w:r>
      <w:bookmarkEnd w:id="13"/>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4" w:name="_Toc390078232"/>
      <w:r>
        <w:rPr>
          <w:rStyle w:val="CharSectno"/>
        </w:rPr>
        <w:t>10A</w:t>
      </w:r>
      <w:r>
        <w:t>.</w:t>
      </w:r>
      <w:r>
        <w:tab/>
        <w:t>Working directors</w:t>
      </w:r>
      <w:bookmarkEnd w:id="14"/>
    </w:p>
    <w:p>
      <w:pPr>
        <w:pStyle w:val="Subsection"/>
      </w:pPr>
      <w:r>
        <w:tab/>
        <w:t>(1)</w:t>
      </w:r>
      <w:r>
        <w:tab/>
        <w:t xml:space="preserve">In this section —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“company”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r>
        <w:rPr>
          <w:i w:val="0"/>
          <w:vertAlign w:val="superscript"/>
        </w:rPr>
        <w:t> 4</w:t>
      </w:r>
      <w:r>
        <w:t>.]</w:t>
      </w:r>
    </w:p>
    <w:p>
      <w:pPr>
        <w:pStyle w:val="Heading5"/>
        <w:rPr>
          <w:snapToGrid w:val="0"/>
        </w:rPr>
      </w:pPr>
      <w:bookmarkStart w:id="15" w:name="_Toc390078233"/>
      <w:r>
        <w:rPr>
          <w:rStyle w:val="CharSectno"/>
        </w:rPr>
        <w:t>11</w:t>
      </w:r>
      <w:r>
        <w:rPr>
          <w:snapToGrid w:val="0"/>
        </w:rPr>
        <w:t>.</w:t>
      </w:r>
      <w:r>
        <w:rPr>
          <w:snapToGrid w:val="0"/>
        </w:rPr>
        <w:tab/>
        <w:t>Exclusion of certain persons who are contestants in sporting or athletic activities</w:t>
      </w:r>
      <w:bookmarkEnd w:id="15"/>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16" w:name="_Toc390078234"/>
      <w:r>
        <w:rPr>
          <w:rStyle w:val="CharSectno"/>
        </w:rPr>
        <w:t>11A</w:t>
      </w:r>
      <w:r>
        <w:rPr>
          <w:snapToGrid w:val="0"/>
        </w:rPr>
        <w:t>.</w:t>
      </w:r>
      <w:r>
        <w:rPr>
          <w:snapToGrid w:val="0"/>
        </w:rPr>
        <w:tab/>
        <w:t>Jockeys</w:t>
      </w:r>
      <w:bookmarkEnd w:id="16"/>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spacing w:before="100"/>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spacing w:before="100"/>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 xml:space="preserve">Conciliation and Arbitration Act 1904 </w:t>
      </w:r>
      <w:r>
        <w:rPr>
          <w:snapToGrid w:val="0"/>
          <w:vertAlign w:val="superscript"/>
        </w:rPr>
        <w:t>5</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spacing w:before="120"/>
        <w:rPr>
          <w:snapToGrid w:val="0"/>
        </w:rPr>
      </w:pPr>
      <w:bookmarkStart w:id="17" w:name="_Toc390078235"/>
      <w:r>
        <w:rPr>
          <w:rStyle w:val="CharSectno"/>
        </w:rPr>
        <w:t>12</w:t>
      </w:r>
      <w:r>
        <w:rPr>
          <w:snapToGrid w:val="0"/>
        </w:rPr>
        <w:t>.</w:t>
      </w:r>
      <w:r>
        <w:rPr>
          <w:snapToGrid w:val="0"/>
        </w:rPr>
        <w:tab/>
        <w:t>Compensation not payable in certain cases</w:t>
      </w:r>
      <w:bookmarkEnd w:id="17"/>
      <w:r>
        <w:rPr>
          <w:snapToGrid w:val="0"/>
        </w:rPr>
        <w:t xml:space="preserve"> </w:t>
      </w:r>
    </w:p>
    <w:p>
      <w:pPr>
        <w:pStyle w:val="Subsection"/>
        <w:spacing w:before="100"/>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6</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spacing w:before="80"/>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spacing w:before="120"/>
        <w:rPr>
          <w:snapToGrid w:val="0"/>
        </w:rPr>
      </w:pPr>
      <w:bookmarkStart w:id="18" w:name="_Toc390078236"/>
      <w:r>
        <w:rPr>
          <w:rStyle w:val="CharSectno"/>
        </w:rPr>
        <w:t>13</w:t>
      </w:r>
      <w:r>
        <w:rPr>
          <w:snapToGrid w:val="0"/>
        </w:rPr>
        <w:t>.</w:t>
      </w:r>
      <w:r>
        <w:rPr>
          <w:snapToGrid w:val="0"/>
        </w:rPr>
        <w:tab/>
        <w:t>Continued operation of this Act where compensation previously paid</w:t>
      </w:r>
      <w:bookmarkEnd w:id="18"/>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by No. 42 of 2004 s. 146 and 147.]</w:t>
      </w:r>
    </w:p>
    <w:p>
      <w:pPr>
        <w:pStyle w:val="Heading5"/>
        <w:rPr>
          <w:snapToGrid w:val="0"/>
        </w:rPr>
      </w:pPr>
      <w:bookmarkStart w:id="19" w:name="_Toc390078237"/>
      <w:r>
        <w:rPr>
          <w:rStyle w:val="CharSectno"/>
        </w:rPr>
        <w:t>14</w:t>
      </w:r>
      <w:r>
        <w:rPr>
          <w:snapToGrid w:val="0"/>
        </w:rPr>
        <w:t>.</w:t>
      </w:r>
      <w:r>
        <w:rPr>
          <w:snapToGrid w:val="0"/>
        </w:rPr>
        <w:tab/>
        <w:t>Application to worker in employment of Crown</w:t>
      </w:r>
      <w:bookmarkEnd w:id="19"/>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spacing w:before="120"/>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spacing w:before="120"/>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spacing w:before="120"/>
        <w:rPr>
          <w:snapToGrid w:val="0"/>
        </w:rPr>
      </w:pPr>
      <w:r>
        <w:rPr>
          <w:snapToGrid w:val="0"/>
        </w:rPr>
        <w:tab/>
      </w:r>
      <w:r>
        <w:rPr>
          <w:snapToGrid w:val="0"/>
        </w:rPr>
        <w:tab/>
        <w:t>is deemed to be a worker employed by or under the Crown.</w:t>
      </w:r>
    </w:p>
    <w:p>
      <w:pPr>
        <w:pStyle w:val="Subsection"/>
        <w:spacing w:before="120"/>
        <w:rPr>
          <w:snapToGrid w:val="0"/>
        </w:rPr>
      </w:pPr>
      <w:r>
        <w:rPr>
          <w:snapToGrid w:val="0"/>
        </w:rPr>
        <w:tab/>
        <w:t>(3)</w:t>
      </w:r>
      <w:r>
        <w:rPr>
          <w:snapToGrid w:val="0"/>
        </w:rPr>
        <w:tab/>
        <w:t>All moneys payable under this Act by or on behalf of the Crown shall be paid out of moneys to be provided by Parliament.</w:t>
      </w:r>
    </w:p>
    <w:p>
      <w:pPr>
        <w:pStyle w:val="Subsection"/>
        <w:spacing w:before="120"/>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outlineLvl w:val="9"/>
      </w:pPr>
      <w:r>
        <w:t>[</w:t>
      </w:r>
      <w:r>
        <w:rPr>
          <w:b/>
        </w:rPr>
        <w:t>15.</w:t>
      </w:r>
      <w:r>
        <w:tab/>
        <w:t xml:space="preserve">Repealed by No. 36 of 2004 s. 5.] </w:t>
      </w:r>
    </w:p>
    <w:p>
      <w:pPr>
        <w:pStyle w:val="Heading5"/>
        <w:keepNext w:val="0"/>
        <w:keepLines w:val="0"/>
        <w:rPr>
          <w:snapToGrid w:val="0"/>
        </w:rPr>
      </w:pPr>
      <w:bookmarkStart w:id="20" w:name="_Toc390078238"/>
      <w:r>
        <w:rPr>
          <w:rStyle w:val="CharSectno"/>
        </w:rPr>
        <w:t>16</w:t>
      </w:r>
      <w:r>
        <w:rPr>
          <w:snapToGrid w:val="0"/>
        </w:rPr>
        <w:t>.</w:t>
      </w:r>
      <w:r>
        <w:rPr>
          <w:snapToGrid w:val="0"/>
        </w:rPr>
        <w:tab/>
        <w:t>Act to apply as to injury to persons employed on Western Australian ships</w:t>
      </w:r>
      <w:bookmarkEnd w:id="20"/>
      <w:r>
        <w:rPr>
          <w:snapToGrid w:val="0"/>
        </w:rPr>
        <w:t xml:space="preserve"> </w:t>
      </w:r>
    </w:p>
    <w:p>
      <w:pPr>
        <w:pStyle w:val="Ednotesubsection"/>
      </w:pPr>
      <w:r>
        <w:tab/>
        <w:t>[(1)</w:t>
      </w:r>
      <w:r>
        <w:tab/>
        <w:t>repealed]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7</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21" w:name="_Toc390078239"/>
      <w:r>
        <w:rPr>
          <w:rStyle w:val="CharSectno"/>
        </w:rPr>
        <w:t>17</w:t>
      </w:r>
      <w:r>
        <w:rPr>
          <w:snapToGrid w:val="0"/>
        </w:rPr>
        <w:t>.</w:t>
      </w:r>
      <w:r>
        <w:rPr>
          <w:snapToGrid w:val="0"/>
        </w:rPr>
        <w:tab/>
        <w:t>Crew of fishing vessel</w:t>
      </w:r>
      <w:bookmarkEnd w:id="21"/>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2" w:name="_Toc390078240"/>
      <w:r>
        <w:rPr>
          <w:rStyle w:val="CharPartNo"/>
        </w:rPr>
        <w:t>Part III</w:t>
      </w:r>
      <w:r>
        <w:t> — </w:t>
      </w:r>
      <w:r>
        <w:rPr>
          <w:rStyle w:val="CharPartText"/>
        </w:rPr>
        <w:t>Compensation</w:t>
      </w:r>
      <w:bookmarkEnd w:id="22"/>
      <w:r>
        <w:rPr>
          <w:rStyle w:val="CharPartText"/>
        </w:rPr>
        <w:t xml:space="preserve"> </w:t>
      </w:r>
    </w:p>
    <w:p>
      <w:pPr>
        <w:pStyle w:val="Heading3"/>
      </w:pPr>
      <w:bookmarkStart w:id="23" w:name="_Toc390078241"/>
      <w:r>
        <w:rPr>
          <w:rStyle w:val="CharDivNo"/>
        </w:rPr>
        <w:t>Division 1</w:t>
      </w:r>
      <w:r>
        <w:t> — </w:t>
      </w:r>
      <w:r>
        <w:rPr>
          <w:rStyle w:val="CharDivText"/>
        </w:rPr>
        <w:t>Injury: general</w:t>
      </w:r>
      <w:bookmarkEnd w:id="23"/>
    </w:p>
    <w:p>
      <w:pPr>
        <w:pStyle w:val="Footnoteheading"/>
      </w:pPr>
      <w:r>
        <w:tab/>
        <w:t>[Heading inserted by No. 42 of 2004 s. 12.]</w:t>
      </w:r>
    </w:p>
    <w:p>
      <w:pPr>
        <w:pStyle w:val="Heading5"/>
        <w:rPr>
          <w:snapToGrid w:val="0"/>
        </w:rPr>
      </w:pPr>
      <w:bookmarkStart w:id="24" w:name="_Toc390078242"/>
      <w:r>
        <w:rPr>
          <w:rStyle w:val="CharSectno"/>
        </w:rPr>
        <w:t>18</w:t>
      </w:r>
      <w:r>
        <w:rPr>
          <w:snapToGrid w:val="0"/>
        </w:rPr>
        <w:t>.</w:t>
      </w:r>
      <w:r>
        <w:rPr>
          <w:snapToGrid w:val="0"/>
        </w:rPr>
        <w:tab/>
        <w:t>Liability of employers to workers for injuries</w:t>
      </w:r>
      <w:bookmarkEnd w:id="24"/>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r>
        <w:tab/>
        <w:t>[Section 18 amended by No. 42 of 2004 s. 146.]</w:t>
      </w:r>
    </w:p>
    <w:p>
      <w:pPr>
        <w:pStyle w:val="Heading5"/>
        <w:rPr>
          <w:snapToGrid w:val="0"/>
        </w:rPr>
      </w:pPr>
      <w:bookmarkStart w:id="25" w:name="_Toc390078243"/>
      <w:r>
        <w:rPr>
          <w:rStyle w:val="CharSectno"/>
        </w:rPr>
        <w:t>19</w:t>
      </w:r>
      <w:r>
        <w:rPr>
          <w:snapToGrid w:val="0"/>
        </w:rPr>
        <w:t>.</w:t>
      </w:r>
      <w:r>
        <w:rPr>
          <w:snapToGrid w:val="0"/>
        </w:rPr>
        <w:tab/>
        <w:t>Personal injury by accident arising out of or in course of employment</w:t>
      </w:r>
      <w:bookmarkEnd w:id="25"/>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26" w:name="_Toc390078244"/>
      <w:r>
        <w:rPr>
          <w:rStyle w:val="CharSectno"/>
        </w:rPr>
        <w:t>20</w:t>
      </w:r>
      <w:r>
        <w:t>.</w:t>
      </w:r>
      <w:r>
        <w:tab/>
        <w:t>Compensation not payable unless worker’s employment connected with this State</w:t>
      </w:r>
      <w:bookmarkEnd w:id="26"/>
    </w:p>
    <w:p>
      <w:pPr>
        <w:pStyle w:val="Subsection"/>
      </w:pPr>
      <w:r>
        <w:tab/>
        <w:t>(1)</w:t>
      </w:r>
      <w:r>
        <w:tab/>
        <w:t xml:space="preserve">In this section —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spacing w:before="120"/>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spacing w:before="120"/>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rPr>
          <w:snapToGrid w:val="0"/>
        </w:rPr>
      </w:pPr>
      <w:bookmarkStart w:id="27" w:name="_Toc390078245"/>
      <w:r>
        <w:rPr>
          <w:rStyle w:val="CharSectno"/>
        </w:rPr>
        <w:t>21</w:t>
      </w:r>
      <w:r>
        <w:rPr>
          <w:snapToGrid w:val="0"/>
        </w:rPr>
        <w:t>.</w:t>
      </w:r>
      <w:r>
        <w:rPr>
          <w:snapToGrid w:val="0"/>
        </w:rPr>
        <w:tab/>
        <w:t>Compensation from date of incapacity</w:t>
      </w:r>
      <w:bookmarkEnd w:id="27"/>
      <w:r>
        <w:rPr>
          <w:snapToGrid w:val="0"/>
        </w:rPr>
        <w:t xml:space="preserve"> </w:t>
      </w:r>
    </w:p>
    <w:p>
      <w:pPr>
        <w:pStyle w:val="Subsection"/>
        <w:spacing w:before="120"/>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rPr>
          <w:snapToGrid w:val="0"/>
        </w:rPr>
      </w:pPr>
      <w:bookmarkStart w:id="28" w:name="_Toc390078246"/>
      <w:r>
        <w:rPr>
          <w:rStyle w:val="CharSectno"/>
        </w:rPr>
        <w:t>22</w:t>
      </w:r>
      <w:r>
        <w:rPr>
          <w:snapToGrid w:val="0"/>
        </w:rPr>
        <w:t>.</w:t>
      </w:r>
      <w:r>
        <w:rPr>
          <w:snapToGrid w:val="0"/>
        </w:rPr>
        <w:tab/>
        <w:t>Serious and wilful misconduct</w:t>
      </w:r>
      <w:bookmarkEnd w:id="28"/>
      <w:r>
        <w:rPr>
          <w:snapToGrid w:val="0"/>
        </w:rPr>
        <w:t xml:space="preserve"> </w:t>
      </w:r>
    </w:p>
    <w:p>
      <w:pPr>
        <w:pStyle w:val="Subsection"/>
        <w:spacing w:before="120"/>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pPr>
      <w:r>
        <w:tab/>
        <w:t>[Section 22 amended by No. 42 of 2004 s. 13 and 147.]</w:t>
      </w:r>
    </w:p>
    <w:p>
      <w:pPr>
        <w:pStyle w:val="Heading5"/>
      </w:pPr>
      <w:bookmarkStart w:id="29" w:name="_Toc390078247"/>
      <w:r>
        <w:rPr>
          <w:rStyle w:val="CharSectno"/>
        </w:rPr>
        <w:t>23</w:t>
      </w:r>
      <w:r>
        <w:t>.</w:t>
      </w:r>
      <w:r>
        <w:tab/>
        <w:t>Person not to be compensated twice</w:t>
      </w:r>
      <w:bookmarkEnd w:id="29"/>
    </w:p>
    <w:p>
      <w:pPr>
        <w:pStyle w:val="Subsection"/>
        <w:spacing w:before="10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0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00"/>
      </w:pPr>
      <w:r>
        <w:tab/>
      </w:r>
      <w:r>
        <w:tab/>
        <w:t>the person from whom compensation under this Act is received may, in a court of competent jurisdiction, sue and recover from the person the amount described in subsection (3).</w:t>
      </w:r>
    </w:p>
    <w:p>
      <w:pPr>
        <w:pStyle w:val="Subsection"/>
        <w:spacing w:before="10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00"/>
      </w:pPr>
      <w:r>
        <w:tab/>
      </w:r>
      <w:r>
        <w:tab/>
        <w:t>whichever is less.</w:t>
      </w:r>
    </w:p>
    <w:p>
      <w:pPr>
        <w:pStyle w:val="Footnotesection"/>
      </w:pPr>
      <w:r>
        <w:tab/>
        <w:t>[Section 23 inserted by No. 36 of 2004 s. 8.]</w:t>
      </w:r>
    </w:p>
    <w:p>
      <w:pPr>
        <w:pStyle w:val="Heading3"/>
      </w:pPr>
      <w:bookmarkStart w:id="30" w:name="_Toc390078248"/>
      <w:r>
        <w:rPr>
          <w:rStyle w:val="CharDivNo"/>
        </w:rPr>
        <w:t>Division 1a</w:t>
      </w:r>
      <w:r>
        <w:t> — </w:t>
      </w:r>
      <w:r>
        <w:rPr>
          <w:rStyle w:val="CharDivText"/>
        </w:rPr>
        <w:t>Determination by courts and recognition of determination</w:t>
      </w:r>
      <w:bookmarkEnd w:id="30"/>
    </w:p>
    <w:p>
      <w:pPr>
        <w:pStyle w:val="Footnoteheading"/>
        <w:tabs>
          <w:tab w:val="left" w:pos="851"/>
        </w:tabs>
      </w:pPr>
      <w:r>
        <w:tab/>
        <w:t>[Heading inserted by No. 36 of 2004 s. 9.]</w:t>
      </w:r>
    </w:p>
    <w:p>
      <w:pPr>
        <w:pStyle w:val="Heading5"/>
      </w:pPr>
      <w:bookmarkStart w:id="31" w:name="_Toc390078249"/>
      <w:r>
        <w:rPr>
          <w:rStyle w:val="CharSectno"/>
        </w:rPr>
        <w:t>23A</w:t>
      </w:r>
      <w:r>
        <w:t>.</w:t>
      </w:r>
      <w:r>
        <w:tab/>
        <w:t>Definition</w:t>
      </w:r>
      <w:bookmarkEnd w:id="31"/>
    </w:p>
    <w:p>
      <w:pPr>
        <w:pStyle w:val="Subsection"/>
        <w:spacing w:before="100"/>
      </w:pPr>
      <w:r>
        <w:tab/>
      </w:r>
      <w:r>
        <w:tab/>
        <w:t xml:space="preserve">In this Division — </w:t>
      </w:r>
    </w:p>
    <w:p>
      <w:pPr>
        <w:pStyle w:val="Defstart"/>
      </w:pPr>
      <w:r>
        <w:rPr>
          <w:b/>
        </w:rPr>
        <w:tab/>
      </w:r>
      <w:r>
        <w:rPr>
          <w:rStyle w:val="CharDefText"/>
        </w:rPr>
        <w:t>court</w:t>
      </w:r>
      <w:r>
        <w:t xml:space="preserve"> includes a tribunal constituted by a judicial officer. </w:t>
      </w:r>
    </w:p>
    <w:p>
      <w:pPr>
        <w:pStyle w:val="Footnotesection"/>
      </w:pPr>
      <w:r>
        <w:tab/>
        <w:t>[Section 23A inserted by No. 36 of 2004 s. 9.]</w:t>
      </w:r>
    </w:p>
    <w:p>
      <w:pPr>
        <w:pStyle w:val="Heading5"/>
      </w:pPr>
      <w:bookmarkStart w:id="32" w:name="_Toc390078250"/>
      <w:r>
        <w:rPr>
          <w:rStyle w:val="CharSectno"/>
        </w:rPr>
        <w:t>23B</w:t>
      </w:r>
      <w:r>
        <w:t>.</w:t>
      </w:r>
      <w:r>
        <w:tab/>
        <w:t>Determination of State with which worker’s employment is connected in proceedings under this Act</w:t>
      </w:r>
      <w:bookmarkEnd w:id="32"/>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33" w:name="_Toc390078251"/>
      <w:r>
        <w:rPr>
          <w:rStyle w:val="CharSectno"/>
        </w:rPr>
        <w:t>23C</w:t>
      </w:r>
      <w:r>
        <w:t>.</w:t>
      </w:r>
      <w:r>
        <w:tab/>
        <w:t>Determination by the District Court of State with which worker’s employment is connected</w:t>
      </w:r>
      <w:bookmarkEnd w:id="33"/>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34" w:name="_Toc390078252"/>
      <w:r>
        <w:rPr>
          <w:rStyle w:val="CharSectno"/>
        </w:rPr>
        <w:t>23D</w:t>
      </w:r>
      <w:r>
        <w:t>.</w:t>
      </w:r>
      <w:r>
        <w:tab/>
        <w:t>Recognition of previous determinations</w:t>
      </w:r>
      <w:bookmarkEnd w:id="34"/>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20"/>
      </w:pPr>
      <w:r>
        <w:tab/>
        <w:t>(2)</w:t>
      </w:r>
      <w:r>
        <w:tab/>
        <w:t>The State determined as mentioned in subsection (1) is to be recognised for the purposes of this Act as the State with which the worker’s employment is connected.</w:t>
      </w:r>
    </w:p>
    <w:p>
      <w:pPr>
        <w:pStyle w:val="Subsection"/>
        <w:spacing w:before="120"/>
      </w:pPr>
      <w:r>
        <w:tab/>
        <w:t>(3)</w:t>
      </w:r>
      <w:r>
        <w:tab/>
        <w:t>This section does not prevent any appeal relating to the determination.</w:t>
      </w:r>
    </w:p>
    <w:p>
      <w:pPr>
        <w:pStyle w:val="Subsection"/>
        <w:spacing w:before="12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pPr>
      <w:bookmarkStart w:id="35" w:name="_Toc390078253"/>
      <w:r>
        <w:rPr>
          <w:rStyle w:val="CharSectno"/>
        </w:rPr>
        <w:t>23E</w:t>
      </w:r>
      <w:r>
        <w:t>.</w:t>
      </w:r>
      <w:r>
        <w:tab/>
        <w:t>Determination may be made by consent</w:t>
      </w:r>
      <w:bookmarkEnd w:id="35"/>
    </w:p>
    <w:p>
      <w:pPr>
        <w:pStyle w:val="Subsection"/>
        <w:spacing w:before="12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36" w:name="_Toc390078254"/>
      <w:r>
        <w:rPr>
          <w:rStyle w:val="CharDivNo"/>
        </w:rPr>
        <w:t>Division 2</w:t>
      </w:r>
      <w:r>
        <w:t> — </w:t>
      </w:r>
      <w:r>
        <w:rPr>
          <w:rStyle w:val="CharDivText"/>
        </w:rPr>
        <w:t>Discontinued regime for lump sum payments for specified injuries</w:t>
      </w:r>
      <w:bookmarkEnd w:id="36"/>
    </w:p>
    <w:p>
      <w:pPr>
        <w:pStyle w:val="Footnoteheading"/>
      </w:pPr>
      <w:r>
        <w:tab/>
        <w:t>[Heading inserted by No. 42 of 2004 s. 14.]</w:t>
      </w:r>
    </w:p>
    <w:p>
      <w:pPr>
        <w:pStyle w:val="Heading5"/>
        <w:rPr>
          <w:snapToGrid w:val="0"/>
        </w:rPr>
      </w:pPr>
      <w:bookmarkStart w:id="37" w:name="_Toc390078255"/>
      <w:r>
        <w:rPr>
          <w:rStyle w:val="CharSectno"/>
        </w:rPr>
        <w:t>24</w:t>
      </w:r>
      <w:r>
        <w:rPr>
          <w:snapToGrid w:val="0"/>
        </w:rPr>
        <w:t>.</w:t>
      </w:r>
      <w:r>
        <w:rPr>
          <w:snapToGrid w:val="0"/>
        </w:rPr>
        <w:tab/>
        <w:t>Compensation for injuries mentioned in Schedule 2</w:t>
      </w:r>
      <w:bookmarkEnd w:id="37"/>
      <w:r>
        <w:rPr>
          <w:snapToGrid w:val="0"/>
        </w:rPr>
        <w:t xml:space="preserve"> </w:t>
      </w:r>
    </w:p>
    <w:p>
      <w:pPr>
        <w:pStyle w:val="Subsection"/>
        <w:spacing w:before="120"/>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rPr>
          <w:snapToGrid w:val="0"/>
        </w:rPr>
      </w:pPr>
      <w:bookmarkStart w:id="38" w:name="_Toc390078256"/>
      <w:r>
        <w:rPr>
          <w:rStyle w:val="CharSectno"/>
        </w:rPr>
        <w:t>24A</w:t>
      </w:r>
      <w:r>
        <w:rPr>
          <w:snapToGrid w:val="0"/>
        </w:rPr>
        <w:t>.</w:t>
      </w:r>
      <w:r>
        <w:rPr>
          <w:snapToGrid w:val="0"/>
        </w:rPr>
        <w:tab/>
        <w:t>Lump sum compensation for noise induced hearing loss</w:t>
      </w:r>
      <w:bookmarkEnd w:id="38"/>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spacing w:before="180"/>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spacing w:before="180"/>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spacing w:before="18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spacing w:before="18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39" w:name="_Toc390078257"/>
      <w:r>
        <w:rPr>
          <w:rStyle w:val="CharSectno"/>
        </w:rPr>
        <w:t>24B</w:t>
      </w:r>
      <w:r>
        <w:rPr>
          <w:snapToGrid w:val="0"/>
        </w:rPr>
        <w:t>.</w:t>
      </w:r>
      <w:r>
        <w:rPr>
          <w:snapToGrid w:val="0"/>
        </w:rPr>
        <w:tab/>
        <w:t>Election under section 24 or 24A</w:t>
      </w:r>
      <w:bookmarkEnd w:id="39"/>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spacing w:before="180"/>
        <w:rPr>
          <w:snapToGrid w:val="0"/>
        </w:rPr>
      </w:pPr>
      <w:bookmarkStart w:id="40" w:name="_Toc390078258"/>
      <w:r>
        <w:rPr>
          <w:rStyle w:val="CharSectno"/>
        </w:rPr>
        <w:t>25</w:t>
      </w:r>
      <w:r>
        <w:rPr>
          <w:snapToGrid w:val="0"/>
        </w:rPr>
        <w:t>.</w:t>
      </w:r>
      <w:r>
        <w:rPr>
          <w:snapToGrid w:val="0"/>
        </w:rPr>
        <w:tab/>
        <w:t>“Loss of</w:t>
      </w:r>
      <w:r>
        <w:rPr>
          <w:snapToGrid w:val="0"/>
          <w:vertAlign w:val="superscript"/>
        </w:rPr>
        <w:t xml:space="preserve"> </w:t>
      </w:r>
      <w:r>
        <w:rPr>
          <w:snapToGrid w:val="0"/>
        </w:rPr>
        <w:t>”</w:t>
      </w:r>
      <w:bookmarkEnd w:id="40"/>
      <w:r>
        <w:rPr>
          <w:snapToGrid w:val="0"/>
        </w:rPr>
        <w:t xml:space="preserve"> </w:t>
      </w:r>
    </w:p>
    <w:p>
      <w:pPr>
        <w:pStyle w:val="Subsection"/>
        <w:spacing w:before="120"/>
        <w:rPr>
          <w:snapToGrid w:val="0"/>
        </w:rPr>
      </w:pPr>
      <w:r>
        <w:rPr>
          <w:snapToGrid w:val="0"/>
        </w:rPr>
        <w:tab/>
      </w:r>
      <w:r>
        <w:rPr>
          <w:snapToGrid w:val="0"/>
        </w:rPr>
        <w:tab/>
        <w:t xml:space="preserve">For the purpose of the table set out in Schedule 2, </w:t>
      </w:r>
      <w:r>
        <w:rPr>
          <w:rStyle w:val="CharDefText"/>
        </w:rPr>
        <w:t>loss of</w:t>
      </w:r>
      <w:r>
        <w:rPr>
          <w:rStyle w:val="CharDefText"/>
          <w:vertAlign w:val="superscript"/>
        </w:rPr>
        <w:t xml:space="preserve"> </w:t>
      </w:r>
      <w:r>
        <w:rPr>
          <w:snapToGrid w:val="0"/>
        </w:rPr>
        <w:t xml:space="preserve"> includes — </w:t>
      </w:r>
    </w:p>
    <w:p>
      <w:pPr>
        <w:pStyle w:val="Indenta"/>
        <w:spacing w:before="60"/>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spacing w:before="60"/>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spacing w:before="180"/>
        <w:rPr>
          <w:snapToGrid w:val="0"/>
        </w:rPr>
      </w:pPr>
      <w:bookmarkStart w:id="41" w:name="_Toc390078259"/>
      <w:r>
        <w:rPr>
          <w:rStyle w:val="CharSectno"/>
        </w:rPr>
        <w:t>26</w:t>
      </w:r>
      <w:r>
        <w:rPr>
          <w:snapToGrid w:val="0"/>
        </w:rPr>
        <w:t>.</w:t>
      </w:r>
      <w:r>
        <w:rPr>
          <w:snapToGrid w:val="0"/>
        </w:rPr>
        <w:tab/>
        <w:t>Subsequent injuries</w:t>
      </w:r>
      <w:bookmarkEnd w:id="41"/>
      <w:r>
        <w:rPr>
          <w:snapToGrid w:val="0"/>
        </w:rPr>
        <w:t xml:space="preserve"> </w:t>
      </w:r>
    </w:p>
    <w:p>
      <w:pPr>
        <w:pStyle w:val="Subsection"/>
        <w:spacing w:before="120"/>
        <w:rPr>
          <w:snapToGrid w:val="0"/>
        </w:rPr>
      </w:pPr>
      <w:r>
        <w:rPr>
          <w:snapToGrid w:val="0"/>
        </w:rPr>
        <w:tab/>
        <w:t>(1)</w:t>
      </w:r>
      <w:r>
        <w:rPr>
          <w:snapToGrid w:val="0"/>
        </w:rPr>
        <w:tab/>
        <w:t>When, by a compensable personal injury by accident, a worker has already suffered a permanent loss of any percentage of the full efficient use of — </w:t>
      </w:r>
    </w:p>
    <w:p>
      <w:pPr>
        <w:pStyle w:val="Indenta"/>
        <w:rPr>
          <w:snapToGrid w:val="0"/>
        </w:rPr>
      </w:pPr>
      <w:r>
        <w:rPr>
          <w:snapToGrid w:val="0"/>
        </w:rPr>
        <w:tab/>
      </w:r>
      <w:r>
        <w:rPr>
          <w:snapToGrid w:val="0"/>
        </w:rPr>
        <w:tab/>
        <w:t>any part or faculty of the body referred to in column 1 of</w:t>
      </w:r>
      <w:r>
        <w:t xml:space="preserve"> Part 1 of</w:t>
      </w:r>
      <w:r>
        <w:rPr>
          <w:snapToGrid w:val="0"/>
        </w:rPr>
        <w:t xml:space="preserve"> the table set out in Schedule 2 — </w:t>
      </w:r>
    </w:p>
    <w:p>
      <w:pPr>
        <w:pStyle w:val="Subsection"/>
        <w:spacing w:before="120"/>
        <w:rPr>
          <w:snapToGrid w:val="0"/>
        </w:rPr>
      </w:pPr>
      <w:r>
        <w:rPr>
          <w:snapToGrid w:val="0"/>
        </w:rPr>
        <w:tab/>
      </w:r>
      <w:r>
        <w:rPr>
          <w:snapToGrid w:val="0"/>
        </w:rPr>
        <w:tab/>
        <w:t>and by subsequent compensable personal injury by accident suffers further loss of the full efficient use of — </w:t>
      </w:r>
    </w:p>
    <w:p>
      <w:pPr>
        <w:pStyle w:val="Indenta"/>
        <w:rPr>
          <w:snapToGrid w:val="0"/>
        </w:rPr>
      </w:pPr>
      <w:r>
        <w:rPr>
          <w:snapToGrid w:val="0"/>
        </w:rPr>
        <w:tab/>
      </w:r>
      <w:r>
        <w:rPr>
          <w:snapToGrid w:val="0"/>
        </w:rPr>
        <w:tab/>
        <w:t>that part or faculty of the body — </w:t>
      </w:r>
    </w:p>
    <w:p>
      <w:pPr>
        <w:pStyle w:val="Subsection"/>
        <w:spacing w:before="120"/>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spacing w:before="120"/>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 </w:t>
      </w:r>
    </w:p>
    <w:p>
      <w:pPr>
        <w:pStyle w:val="Indenta"/>
        <w:rPr>
          <w:snapToGrid w:val="0"/>
        </w:rPr>
      </w:pPr>
      <w:r>
        <w:rPr>
          <w:snapToGrid w:val="0"/>
        </w:rPr>
        <w:tab/>
      </w:r>
      <w:r>
        <w:rPr>
          <w:snapToGrid w:val="0"/>
        </w:rPr>
        <w:tab/>
        <w:t>whether in one payment for permanent total loss of, or permanent total loss of the efficient use of — </w:t>
      </w:r>
    </w:p>
    <w:p>
      <w:pPr>
        <w:pStyle w:val="Subsection"/>
        <w:keepNext/>
        <w:keepLines/>
        <w:spacing w:before="120"/>
        <w:rPr>
          <w:snapToGrid w:val="0"/>
        </w:rPr>
      </w:pPr>
      <w:r>
        <w:rPr>
          <w:snapToGrid w:val="0"/>
        </w:rPr>
        <w:tab/>
      </w:r>
      <w:r>
        <w:rPr>
          <w:snapToGrid w:val="0"/>
        </w:rPr>
        <w:tab/>
        <w:t>that part or faculty of the body — </w:t>
      </w:r>
    </w:p>
    <w:p>
      <w:pPr>
        <w:pStyle w:val="Indenta"/>
        <w:rPr>
          <w:snapToGrid w:val="0"/>
        </w:rPr>
      </w:pPr>
      <w:r>
        <w:rPr>
          <w:snapToGrid w:val="0"/>
        </w:rPr>
        <w:tab/>
      </w:r>
      <w:r>
        <w:rPr>
          <w:snapToGrid w:val="0"/>
        </w:rPr>
        <w:tab/>
        <w:t>or in several payments, each of which has been made for a permanent partial loss of, or a permanent partial loss of the efficient use of — </w:t>
      </w:r>
    </w:p>
    <w:p>
      <w:pPr>
        <w:pStyle w:val="Subsection"/>
        <w:spacing w:before="80"/>
        <w:rPr>
          <w:snapToGrid w:val="0"/>
        </w:rPr>
      </w:pPr>
      <w:r>
        <w:rPr>
          <w:snapToGrid w:val="0"/>
        </w:rPr>
        <w:tab/>
      </w:r>
      <w:r>
        <w:rPr>
          <w:snapToGrid w:val="0"/>
        </w:rPr>
        <w:tab/>
        <w:t>that part or faculty of the body, then and in such case, the worker is not entitled to any further payment under the provisions of that table in respect of that part or faculty.</w:t>
      </w:r>
    </w:p>
    <w:p>
      <w:pPr>
        <w:pStyle w:val="Footnotesection"/>
      </w:pPr>
      <w:r>
        <w:tab/>
        <w:t>[Section 26 amended by No. 42 of 2004 s. 18.]</w:t>
      </w:r>
    </w:p>
    <w:p>
      <w:pPr>
        <w:pStyle w:val="Heading5"/>
        <w:spacing w:before="160"/>
        <w:rPr>
          <w:snapToGrid w:val="0"/>
        </w:rPr>
      </w:pPr>
      <w:bookmarkStart w:id="42" w:name="_Toc390078260"/>
      <w:r>
        <w:rPr>
          <w:rStyle w:val="CharSectno"/>
        </w:rPr>
        <w:t>27</w:t>
      </w:r>
      <w:r>
        <w:rPr>
          <w:snapToGrid w:val="0"/>
        </w:rPr>
        <w:t>.</w:t>
      </w:r>
      <w:r>
        <w:rPr>
          <w:snapToGrid w:val="0"/>
        </w:rPr>
        <w:tab/>
        <w:t>Compensation in accordance with table at date of accident</w:t>
      </w:r>
      <w:bookmarkEnd w:id="42"/>
      <w:r>
        <w:rPr>
          <w:snapToGrid w:val="0"/>
        </w:rPr>
        <w:t xml:space="preserve"> </w:t>
      </w:r>
    </w:p>
    <w:p>
      <w:pPr>
        <w:pStyle w:val="Subsection"/>
        <w:keepNext/>
        <w:spacing w:before="80"/>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spacing w:before="160"/>
        <w:rPr>
          <w:snapToGrid w:val="0"/>
        </w:rPr>
      </w:pPr>
      <w:bookmarkStart w:id="43" w:name="_Toc390078261"/>
      <w:r>
        <w:rPr>
          <w:rStyle w:val="CharSectno"/>
        </w:rPr>
        <w:t>28</w:t>
      </w:r>
      <w:r>
        <w:rPr>
          <w:snapToGrid w:val="0"/>
        </w:rPr>
        <w:t>.</w:t>
      </w:r>
      <w:r>
        <w:rPr>
          <w:snapToGrid w:val="0"/>
        </w:rPr>
        <w:tab/>
        <w:t>Limit on compensation of worker electing</w:t>
      </w:r>
      <w:bookmarkEnd w:id="43"/>
      <w:r>
        <w:rPr>
          <w:snapToGrid w:val="0"/>
        </w:rPr>
        <w:t xml:space="preserve"> </w:t>
      </w:r>
    </w:p>
    <w:p>
      <w:pPr>
        <w:pStyle w:val="Subsection"/>
        <w:spacing w:before="80"/>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44" w:name="_Toc390078262"/>
      <w:r>
        <w:rPr>
          <w:rStyle w:val="CharSectno"/>
        </w:rPr>
        <w:t>29</w:t>
      </w:r>
      <w:r>
        <w:rPr>
          <w:snapToGrid w:val="0"/>
        </w:rPr>
        <w:t>.</w:t>
      </w:r>
      <w:r>
        <w:rPr>
          <w:snapToGrid w:val="0"/>
        </w:rPr>
        <w:tab/>
        <w:t>Compensation while incapacity continues</w:t>
      </w:r>
      <w:bookmarkEnd w:id="44"/>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rPr>
          <w:snapToGrid w:val="0"/>
        </w:rPr>
      </w:pPr>
      <w:bookmarkStart w:id="45" w:name="_Toc390078263"/>
      <w:r>
        <w:rPr>
          <w:rStyle w:val="CharSectno"/>
        </w:rPr>
        <w:t>30</w:t>
      </w:r>
      <w:r>
        <w:rPr>
          <w:snapToGrid w:val="0"/>
        </w:rPr>
        <w:t>.</w:t>
      </w:r>
      <w:r>
        <w:rPr>
          <w:snapToGrid w:val="0"/>
        </w:rPr>
        <w:tab/>
        <w:t>Compensation payable before election</w:t>
      </w:r>
      <w:bookmarkEnd w:id="45"/>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pPr>
      <w:r>
        <w:tab/>
        <w:t xml:space="preserve">[Section 30 amended by No. 44 of 1985 s. 15; No. 36 of 1988 s. 9; No. 48 of 1993 s. 28(1); No. 42 of 2004 s. 149.] </w:t>
      </w:r>
    </w:p>
    <w:p>
      <w:pPr>
        <w:pStyle w:val="Heading5"/>
        <w:rPr>
          <w:snapToGrid w:val="0"/>
        </w:rPr>
      </w:pPr>
      <w:bookmarkStart w:id="46" w:name="_Toc390078264"/>
      <w:r>
        <w:rPr>
          <w:rStyle w:val="CharSectno"/>
        </w:rPr>
        <w:t>31</w:t>
      </w:r>
      <w:r>
        <w:rPr>
          <w:snapToGrid w:val="0"/>
        </w:rPr>
        <w:t>.</w:t>
      </w:r>
      <w:r>
        <w:rPr>
          <w:snapToGrid w:val="0"/>
        </w:rPr>
        <w:tab/>
        <w:t>Schedule 2 interpretation</w:t>
      </w:r>
      <w:bookmarkEnd w:id="46"/>
      <w:r>
        <w:rPr>
          <w:snapToGrid w:val="0"/>
        </w:rPr>
        <w:t xml:space="preserve"> </w:t>
      </w:r>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47" w:name="_Toc390078265"/>
      <w:r>
        <w:rPr>
          <w:rStyle w:val="CharDivNo"/>
        </w:rPr>
        <w:t>Division 2A</w:t>
      </w:r>
      <w:r>
        <w:t> — </w:t>
      </w:r>
      <w:r>
        <w:rPr>
          <w:rStyle w:val="CharDivText"/>
        </w:rPr>
        <w:t>New regime for lump sum payments for specified injuries</w:t>
      </w:r>
      <w:bookmarkEnd w:id="47"/>
    </w:p>
    <w:p>
      <w:pPr>
        <w:pStyle w:val="Footnoteheading"/>
      </w:pPr>
      <w:r>
        <w:tab/>
        <w:t>[Heading inserted by No. 42 of 2004 s. 21.]</w:t>
      </w:r>
    </w:p>
    <w:p>
      <w:pPr>
        <w:pStyle w:val="Heading5"/>
      </w:pPr>
      <w:bookmarkStart w:id="48" w:name="_Toc390078266"/>
      <w:r>
        <w:rPr>
          <w:rStyle w:val="CharSectno"/>
        </w:rPr>
        <w:t>31A</w:t>
      </w:r>
      <w:r>
        <w:t>.</w:t>
      </w:r>
      <w:r>
        <w:tab/>
        <w:t>Application of Division</w:t>
      </w:r>
      <w:bookmarkEnd w:id="48"/>
    </w:p>
    <w:p>
      <w:pPr>
        <w:pStyle w:val="Subsection"/>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by No. 42 of 2004 s. 21.]</w:t>
      </w:r>
    </w:p>
    <w:p>
      <w:pPr>
        <w:pStyle w:val="Heading5"/>
        <w:spacing w:before="180"/>
      </w:pPr>
      <w:bookmarkStart w:id="49" w:name="_Toc390078267"/>
      <w:r>
        <w:rPr>
          <w:rStyle w:val="CharSectno"/>
        </w:rPr>
        <w:t>31B</w:t>
      </w:r>
      <w:r>
        <w:t>.</w:t>
      </w:r>
      <w:r>
        <w:tab/>
        <w:t>Degree of permanent impairment</w:t>
      </w:r>
      <w:bookmarkEnd w:id="49"/>
    </w:p>
    <w:p>
      <w:pPr>
        <w:pStyle w:val="Subsection"/>
        <w:spacing w:before="120"/>
      </w:pPr>
      <w:r>
        <w:tab/>
      </w:r>
      <w:r>
        <w:tab/>
        <w:t xml:space="preserve">In this Division — </w:t>
      </w:r>
    </w:p>
    <w:p>
      <w:pPr>
        <w:pStyle w:val="Defstart"/>
      </w:pPr>
      <w:r>
        <w:rPr>
          <w:b/>
        </w:rPr>
        <w:tab/>
      </w:r>
      <w:r>
        <w:rPr>
          <w:rStyle w:val="CharDefText"/>
        </w:rPr>
        <w:t>degree of permanent impairment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pPr>
      <w:r>
        <w:tab/>
        <w:t>resulting from the injury or injuries arising from a single accident.</w:t>
      </w:r>
    </w:p>
    <w:p>
      <w:pPr>
        <w:pStyle w:val="Footnotesection"/>
      </w:pPr>
      <w:r>
        <w:tab/>
        <w:t>[Section 31B inserted by No. 42 of 2004 s. 21.]</w:t>
      </w:r>
    </w:p>
    <w:p>
      <w:pPr>
        <w:pStyle w:val="Heading5"/>
        <w:spacing w:before="180"/>
      </w:pPr>
      <w:bookmarkStart w:id="50" w:name="_Toc390078268"/>
      <w:r>
        <w:rPr>
          <w:rStyle w:val="CharSectno"/>
        </w:rPr>
        <w:t>31C</w:t>
      </w:r>
      <w:r>
        <w:t>.</w:t>
      </w:r>
      <w:r>
        <w:tab/>
        <w:t>Compensation for impairments mentioned in Schedule 2</w:t>
      </w:r>
      <w:bookmarkEnd w:id="50"/>
    </w:p>
    <w:p>
      <w:pPr>
        <w:pStyle w:val="Subsection"/>
        <w:spacing w:before="120"/>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spacing w:before="120"/>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by No. 42 of 2004 s. 21.]</w:t>
      </w:r>
    </w:p>
    <w:p>
      <w:pPr>
        <w:pStyle w:val="Heading5"/>
      </w:pPr>
      <w:bookmarkStart w:id="51" w:name="_Toc390078269"/>
      <w:r>
        <w:rPr>
          <w:rStyle w:val="CharSectno"/>
        </w:rPr>
        <w:t>31D</w:t>
      </w:r>
      <w:r>
        <w:t>.</w:t>
      </w:r>
      <w:r>
        <w:tab/>
        <w:t>Schedule 2 impairment assessment</w:t>
      </w:r>
      <w:bookmarkEnd w:id="51"/>
    </w:p>
    <w:p>
      <w:pPr>
        <w:pStyle w:val="Subsection"/>
      </w:pPr>
      <w:r>
        <w:tab/>
        <w:t>(1)</w:t>
      </w:r>
      <w:r>
        <w:tab/>
        <w:t xml:space="preserve">In subsection (2) —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by No. 42 of 2004 s. 21.]</w:t>
      </w:r>
    </w:p>
    <w:p>
      <w:pPr>
        <w:pStyle w:val="Heading5"/>
      </w:pPr>
      <w:bookmarkStart w:id="52" w:name="_Toc390078270"/>
      <w:r>
        <w:rPr>
          <w:rStyle w:val="CharSectno"/>
        </w:rPr>
        <w:t>31E</w:t>
      </w:r>
      <w:r>
        <w:t>.</w:t>
      </w:r>
      <w:r>
        <w:tab/>
        <w:t>Lump sum compensation for noise induced hearing loss</w:t>
      </w:r>
      <w:bookmarkEnd w:id="52"/>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by No. 42 of 2004 s. 21.]</w:t>
      </w:r>
    </w:p>
    <w:p>
      <w:pPr>
        <w:pStyle w:val="Heading5"/>
      </w:pPr>
      <w:bookmarkStart w:id="53" w:name="_Toc390078271"/>
      <w:r>
        <w:rPr>
          <w:rStyle w:val="CharSectno"/>
        </w:rPr>
        <w:t>31F</w:t>
      </w:r>
      <w:r>
        <w:t>.</w:t>
      </w:r>
      <w:r>
        <w:tab/>
        <w:t>Lump sum compensation for AIDS</w:t>
      </w:r>
      <w:bookmarkEnd w:id="53"/>
    </w:p>
    <w:p>
      <w:pPr>
        <w:pStyle w:val="Subsection"/>
      </w:pPr>
      <w:r>
        <w:tab/>
        <w:t>(1)</w:t>
      </w:r>
      <w:r>
        <w:tab/>
        <w:t xml:space="preserve">In this section and in the table in Schedule 2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r>
        <w:tab/>
        <w:t>[Section 31F inserted by No. 42 of 2004 s. 21.]</w:t>
      </w:r>
    </w:p>
    <w:p>
      <w:pPr>
        <w:pStyle w:val="Heading5"/>
      </w:pPr>
      <w:bookmarkStart w:id="54" w:name="_Toc390078272"/>
      <w:r>
        <w:rPr>
          <w:rStyle w:val="CharSectno"/>
        </w:rPr>
        <w:t>31G</w:t>
      </w:r>
      <w:r>
        <w:t>.</w:t>
      </w:r>
      <w:r>
        <w:tab/>
        <w:t>Subsequent injuries</w:t>
      </w:r>
      <w:bookmarkEnd w:id="54"/>
    </w:p>
    <w:p>
      <w:pPr>
        <w:pStyle w:val="Subsection"/>
      </w:pPr>
      <w:r>
        <w:tab/>
        <w:t>(1)</w:t>
      </w:r>
      <w:r>
        <w:tab/>
        <w:t xml:space="preserve">In this section —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by No. 42 of 2004 s. 21.]</w:t>
      </w:r>
    </w:p>
    <w:p>
      <w:pPr>
        <w:pStyle w:val="Heading5"/>
      </w:pPr>
      <w:bookmarkStart w:id="55" w:name="_Toc390078273"/>
      <w:r>
        <w:rPr>
          <w:rStyle w:val="CharSectno"/>
        </w:rPr>
        <w:t>31H</w:t>
      </w:r>
      <w:r>
        <w:t>.</w:t>
      </w:r>
      <w:r>
        <w:tab/>
        <w:t>Election under section 31C or 31E</w:t>
      </w:r>
      <w:bookmarkEnd w:id="55"/>
    </w:p>
    <w:p>
      <w:pPr>
        <w:pStyle w:val="Subsection"/>
        <w:spacing w:before="220"/>
      </w:pPr>
      <w:r>
        <w:tab/>
        <w:t>(1)</w:t>
      </w:r>
      <w:r>
        <w:tab/>
        <w:t xml:space="preserve">A worker elects under this section for the purposes of section 31C or 31E when —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by No. 42 of 2004 s. 21; amended by No. 16 of 2005 s. 16.]</w:t>
      </w:r>
    </w:p>
    <w:p>
      <w:pPr>
        <w:pStyle w:val="Heading5"/>
      </w:pPr>
      <w:bookmarkStart w:id="56" w:name="_Toc390078274"/>
      <w:r>
        <w:rPr>
          <w:rStyle w:val="CharSectno"/>
        </w:rPr>
        <w:t>31I</w:t>
      </w:r>
      <w:r>
        <w:t>.</w:t>
      </w:r>
      <w:r>
        <w:tab/>
        <w:t>Effect of election</w:t>
      </w:r>
      <w:bookmarkEnd w:id="56"/>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by No. 42 of 2004 s. 21.]</w:t>
      </w:r>
    </w:p>
    <w:p>
      <w:pPr>
        <w:pStyle w:val="Heading5"/>
      </w:pPr>
      <w:bookmarkStart w:id="57" w:name="_Toc390078275"/>
      <w:r>
        <w:rPr>
          <w:rStyle w:val="CharSectno"/>
        </w:rPr>
        <w:t>31J</w:t>
      </w:r>
      <w:r>
        <w:t>.</w:t>
      </w:r>
      <w:r>
        <w:tab/>
        <w:t>Limit on compensation of worker electing</w:t>
      </w:r>
      <w:bookmarkEnd w:id="57"/>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by No. 42 of 2004 s. 21.]</w:t>
      </w:r>
    </w:p>
    <w:p>
      <w:pPr>
        <w:pStyle w:val="Heading5"/>
      </w:pPr>
      <w:bookmarkStart w:id="58" w:name="_Toc390078276"/>
      <w:r>
        <w:rPr>
          <w:rStyle w:val="CharSectno"/>
        </w:rPr>
        <w:t>31K</w:t>
      </w:r>
      <w:r>
        <w:t>.</w:t>
      </w:r>
      <w:r>
        <w:tab/>
        <w:t>Compensation payable before election</w:t>
      </w:r>
      <w:bookmarkEnd w:id="58"/>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pPr>
      <w:bookmarkStart w:id="59" w:name="_Toc390078277"/>
      <w:r>
        <w:rPr>
          <w:rStyle w:val="CharDivNo"/>
        </w:rPr>
        <w:t>Division 3</w:t>
      </w:r>
      <w:r>
        <w:t> — </w:t>
      </w:r>
      <w:r>
        <w:rPr>
          <w:rStyle w:val="CharDivText"/>
        </w:rPr>
        <w:t>Injury: specified industrial diseases</w:t>
      </w:r>
      <w:bookmarkEnd w:id="59"/>
    </w:p>
    <w:p>
      <w:pPr>
        <w:pStyle w:val="Footnoteheading"/>
      </w:pPr>
      <w:r>
        <w:tab/>
        <w:t>[Heading inserted by No. 42 of 2004 s. 22.]</w:t>
      </w:r>
    </w:p>
    <w:p>
      <w:pPr>
        <w:pStyle w:val="Heading5"/>
        <w:rPr>
          <w:snapToGrid w:val="0"/>
        </w:rPr>
      </w:pPr>
      <w:bookmarkStart w:id="60" w:name="_Toc390078278"/>
      <w:r>
        <w:rPr>
          <w:rStyle w:val="CharSectno"/>
        </w:rPr>
        <w:t>32</w:t>
      </w:r>
      <w:r>
        <w:rPr>
          <w:snapToGrid w:val="0"/>
        </w:rPr>
        <w:t>.</w:t>
      </w:r>
      <w:r>
        <w:rPr>
          <w:snapToGrid w:val="0"/>
        </w:rPr>
        <w:tab/>
        <w:t>Compensation of worker dying from or affected by certain industrial diseases (Schedule 3)</w:t>
      </w:r>
      <w:bookmarkEnd w:id="60"/>
      <w:r>
        <w:rPr>
          <w:snapToGrid w:val="0"/>
        </w:rPr>
        <w:t xml:space="preserve"> </w:t>
      </w:r>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61" w:name="_Toc390078279"/>
      <w:r>
        <w:rPr>
          <w:rStyle w:val="CharSectno"/>
        </w:rPr>
        <w:t>33</w:t>
      </w:r>
      <w:r>
        <w:rPr>
          <w:snapToGrid w:val="0"/>
        </w:rPr>
        <w:t>.</w:t>
      </w:r>
      <w:r>
        <w:rPr>
          <w:snapToGrid w:val="0"/>
        </w:rPr>
        <w:tab/>
        <w:t>Pneumoconiosis, mesothelioma or lung cancer</w:t>
      </w:r>
      <w:bookmarkEnd w:id="61"/>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62" w:name="_Toc390078280"/>
      <w:r>
        <w:rPr>
          <w:rStyle w:val="CharSectno"/>
        </w:rPr>
        <w:t>34</w:t>
      </w:r>
      <w:r>
        <w:rPr>
          <w:snapToGrid w:val="0"/>
        </w:rPr>
        <w:t>.</w:t>
      </w:r>
      <w:r>
        <w:rPr>
          <w:snapToGrid w:val="0"/>
        </w:rPr>
        <w:tab/>
        <w:t>Worker suffering from chronic bronchitis and pneumoconiosis</w:t>
      </w:r>
      <w:bookmarkEnd w:id="62"/>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rPr>
          <w:snapToGrid w:val="0"/>
        </w:rPr>
      </w:pPr>
      <w:bookmarkStart w:id="63" w:name="_Toc390078281"/>
      <w:r>
        <w:rPr>
          <w:rStyle w:val="CharSectno"/>
        </w:rPr>
        <w:t>35</w:t>
      </w:r>
      <w:r>
        <w:rPr>
          <w:snapToGrid w:val="0"/>
        </w:rPr>
        <w:t>.</w:t>
      </w:r>
      <w:r>
        <w:rPr>
          <w:snapToGrid w:val="0"/>
        </w:rPr>
        <w:tab/>
        <w:t>Worker suffering from lung cancer and pneumoconiosis</w:t>
      </w:r>
      <w:bookmarkEnd w:id="63"/>
      <w:r>
        <w:rPr>
          <w:snapToGrid w:val="0"/>
        </w:rPr>
        <w:t xml:space="preserve"> </w:t>
      </w:r>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rPr>
          <w:snapToGrid w:val="0"/>
        </w:rPr>
      </w:pPr>
      <w:bookmarkStart w:id="64" w:name="_Toc390078282"/>
      <w:r>
        <w:rPr>
          <w:rStyle w:val="CharSectno"/>
        </w:rPr>
        <w:t>36</w:t>
      </w:r>
      <w:r>
        <w:rPr>
          <w:snapToGrid w:val="0"/>
        </w:rPr>
        <w:t>.</w:t>
      </w:r>
      <w:r>
        <w:rPr>
          <w:snapToGrid w:val="0"/>
        </w:rPr>
        <w:tab/>
        <w:t>Reference to medical panel</w:t>
      </w:r>
      <w:bookmarkEnd w:id="64"/>
      <w:r>
        <w:rPr>
          <w:snapToGrid w:val="0"/>
        </w:rPr>
        <w:t xml:space="preserve"> </w:t>
      </w:r>
    </w:p>
    <w:p>
      <w:pPr>
        <w:pStyle w:val="Subsection"/>
        <w:spacing w:before="10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rPr>
          <w:snapToGrid w:val="0"/>
        </w:rPr>
      </w:pPr>
      <w:r>
        <w:rPr>
          <w:snapToGrid w:val="0"/>
        </w:rPr>
        <w:tab/>
        <w:t>(b)</w:t>
      </w:r>
      <w:r>
        <w:rPr>
          <w:snapToGrid w:val="0"/>
        </w:rPr>
        <w:tab/>
        <w:t>at least one of whom specialises in diseases of the chest.</w:t>
      </w:r>
    </w:p>
    <w:p>
      <w:pPr>
        <w:pStyle w:val="Subsection"/>
        <w:spacing w:before="100"/>
        <w:rPr>
          <w:snapToGrid w:val="0"/>
        </w:rPr>
      </w:pPr>
      <w:r>
        <w:rPr>
          <w:snapToGrid w:val="0"/>
        </w:rPr>
        <w:tab/>
        <w:t>(2)</w:t>
      </w:r>
      <w:r>
        <w:rPr>
          <w:snapToGrid w:val="0"/>
        </w:rPr>
        <w:tab/>
        <w:t>An employer who fails to comply with subsection (1) commits an offence.</w:t>
      </w:r>
    </w:p>
    <w:p>
      <w:pPr>
        <w:pStyle w:val="Subsection"/>
        <w:spacing w:before="100"/>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spacing w:before="120"/>
        <w:rPr>
          <w:snapToGrid w:val="0"/>
        </w:rPr>
      </w:pPr>
      <w:bookmarkStart w:id="65" w:name="_Toc390078283"/>
      <w:r>
        <w:rPr>
          <w:rStyle w:val="CharSectno"/>
        </w:rPr>
        <w:t>37</w:t>
      </w:r>
      <w:r>
        <w:rPr>
          <w:snapToGrid w:val="0"/>
        </w:rPr>
        <w:t>.</w:t>
      </w:r>
      <w:r>
        <w:rPr>
          <w:snapToGrid w:val="0"/>
        </w:rPr>
        <w:tab/>
        <w:t>Oral submission by medical practitioner</w:t>
      </w:r>
      <w:bookmarkEnd w:id="65"/>
      <w:r>
        <w:rPr>
          <w:snapToGrid w:val="0"/>
        </w:rPr>
        <w:t xml:space="preserve"> </w:t>
      </w:r>
    </w:p>
    <w:p>
      <w:pPr>
        <w:pStyle w:val="Subsection"/>
        <w:spacing w:before="100"/>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No. 77 of 2006 s. 17.] </w:t>
      </w:r>
    </w:p>
    <w:p>
      <w:pPr>
        <w:pStyle w:val="Heading5"/>
        <w:rPr>
          <w:snapToGrid w:val="0"/>
        </w:rPr>
      </w:pPr>
      <w:bookmarkStart w:id="66" w:name="_Toc390078284"/>
      <w:r>
        <w:rPr>
          <w:rStyle w:val="CharSectno"/>
        </w:rPr>
        <w:t>38</w:t>
      </w:r>
      <w:r>
        <w:rPr>
          <w:snapToGrid w:val="0"/>
        </w:rPr>
        <w:t>.</w:t>
      </w:r>
      <w:r>
        <w:rPr>
          <w:snapToGrid w:val="0"/>
        </w:rPr>
        <w:tab/>
        <w:t>Questions for determination by a medical panel</w:t>
      </w:r>
      <w:bookmarkEnd w:id="66"/>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spacing w:before="100"/>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spacing w:before="120"/>
        <w:rPr>
          <w:snapToGrid w:val="0"/>
        </w:rPr>
      </w:pPr>
      <w:bookmarkStart w:id="67" w:name="_Toc390078285"/>
      <w:r>
        <w:rPr>
          <w:rStyle w:val="CharSectno"/>
        </w:rPr>
        <w:t>39</w:t>
      </w:r>
      <w:r>
        <w:rPr>
          <w:snapToGrid w:val="0"/>
        </w:rPr>
        <w:t>.</w:t>
      </w:r>
      <w:r>
        <w:rPr>
          <w:snapToGrid w:val="0"/>
        </w:rPr>
        <w:tab/>
        <w:t>Worker disabled by tuberculosis and pneumoconiosis</w:t>
      </w:r>
      <w:bookmarkEnd w:id="67"/>
      <w:r>
        <w:rPr>
          <w:snapToGrid w:val="0"/>
        </w:rPr>
        <w:t xml:space="preserve"> </w:t>
      </w:r>
    </w:p>
    <w:p>
      <w:pPr>
        <w:pStyle w:val="Subsection"/>
        <w:spacing w:before="100"/>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68" w:name="_Toc390078286"/>
      <w:r>
        <w:rPr>
          <w:rStyle w:val="CharSectno"/>
        </w:rPr>
        <w:t>40</w:t>
      </w:r>
      <w:r>
        <w:t>.</w:t>
      </w:r>
      <w:r>
        <w:tab/>
        <w:t>Interpretation of this Division in cases of death without prior incapacity</w:t>
      </w:r>
      <w:bookmarkEnd w:id="68"/>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69" w:name="_Toc390078287"/>
      <w:r>
        <w:rPr>
          <w:rStyle w:val="CharSectno"/>
        </w:rPr>
        <w:t>41</w:t>
      </w:r>
      <w:r>
        <w:rPr>
          <w:snapToGrid w:val="0"/>
        </w:rPr>
        <w:t>.</w:t>
      </w:r>
      <w:r>
        <w:rPr>
          <w:snapToGrid w:val="0"/>
        </w:rPr>
        <w:tab/>
        <w:t>Last employer liable but may join others</w:t>
      </w:r>
      <w:bookmarkEnd w:id="69"/>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pPr>
      <w:r>
        <w:tab/>
        <w:t>[Section 41 amended by No. 42 of 2004 s. 31.]</w:t>
      </w:r>
    </w:p>
    <w:p>
      <w:pPr>
        <w:pStyle w:val="Heading5"/>
        <w:rPr>
          <w:snapToGrid w:val="0"/>
        </w:rPr>
      </w:pPr>
      <w:bookmarkStart w:id="70" w:name="_Toc390078288"/>
      <w:r>
        <w:rPr>
          <w:rStyle w:val="CharSectno"/>
        </w:rPr>
        <w:t>42</w:t>
      </w:r>
      <w:r>
        <w:rPr>
          <w:snapToGrid w:val="0"/>
        </w:rPr>
        <w:t>.</w:t>
      </w:r>
      <w:r>
        <w:rPr>
          <w:snapToGrid w:val="0"/>
        </w:rPr>
        <w:tab/>
        <w:t>Relevant earnings</w:t>
      </w:r>
      <w:bookmarkEnd w:id="70"/>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71" w:name="_Toc390078289"/>
      <w:r>
        <w:rPr>
          <w:rStyle w:val="CharSectno"/>
        </w:rPr>
        <w:t>43</w:t>
      </w:r>
      <w:r>
        <w:rPr>
          <w:snapToGrid w:val="0"/>
        </w:rPr>
        <w:t>.</w:t>
      </w:r>
      <w:r>
        <w:rPr>
          <w:snapToGrid w:val="0"/>
        </w:rPr>
        <w:tab/>
        <w:t>Employer to whom notice to be given</w:t>
      </w:r>
      <w:bookmarkEnd w:id="71"/>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72" w:name="_Toc390078290"/>
      <w:r>
        <w:rPr>
          <w:rStyle w:val="CharSectno"/>
        </w:rPr>
        <w:t>44</w:t>
      </w:r>
      <w:r>
        <w:rPr>
          <w:snapToGrid w:val="0"/>
        </w:rPr>
        <w:t>.</w:t>
      </w:r>
      <w:r>
        <w:rPr>
          <w:snapToGrid w:val="0"/>
        </w:rPr>
        <w:tab/>
        <w:t>Disease deemed due to nature of employment</w:t>
      </w:r>
      <w:bookmarkEnd w:id="72"/>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73" w:name="_Toc390078291"/>
      <w:r>
        <w:rPr>
          <w:rStyle w:val="CharSectno"/>
        </w:rPr>
        <w:t>45</w:t>
      </w:r>
      <w:r>
        <w:rPr>
          <w:snapToGrid w:val="0"/>
        </w:rPr>
        <w:t>.</w:t>
      </w:r>
      <w:r>
        <w:rPr>
          <w:snapToGrid w:val="0"/>
        </w:rPr>
        <w:tab/>
        <w:t>Additions to Schedule 3</w:t>
      </w:r>
      <w:bookmarkEnd w:id="73"/>
      <w:r>
        <w:rPr>
          <w:snapToGrid w:val="0"/>
        </w:rPr>
        <w:t xml:space="preserve"> </w:t>
      </w:r>
    </w:p>
    <w:p>
      <w:pPr>
        <w:pStyle w:val="Subsection"/>
        <w:spacing w:before="100"/>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p>
    <w:p>
      <w:pPr>
        <w:pStyle w:val="Subsection"/>
        <w:spacing w:before="100"/>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spacing w:before="100"/>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74" w:name="_Toc390078292"/>
      <w:r>
        <w:rPr>
          <w:rStyle w:val="CharSectno"/>
        </w:rPr>
        <w:t>46</w:t>
      </w:r>
      <w:r>
        <w:rPr>
          <w:snapToGrid w:val="0"/>
        </w:rPr>
        <w:t>.</w:t>
      </w:r>
      <w:r>
        <w:rPr>
          <w:snapToGrid w:val="0"/>
        </w:rPr>
        <w:tab/>
        <w:t>Compensation limited to prescribed amount</w:t>
      </w:r>
      <w:bookmarkEnd w:id="74"/>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A worker who has received the full amount of compensation — </w:t>
      </w:r>
    </w:p>
    <w:p>
      <w:pPr>
        <w:pStyle w:val="Indenta"/>
        <w:rPr>
          <w:snapToGrid w:val="0"/>
        </w:rPr>
      </w:pPr>
      <w:r>
        <w:rPr>
          <w:snapToGrid w:val="0"/>
        </w:rPr>
        <w:tab/>
      </w:r>
      <w:r>
        <w:rPr>
          <w:snapToGrid w:val="0"/>
        </w:rPr>
        <w:tab/>
        <w:t>that was the maximum amount of his employer’s liability to him under this Act, as it existed at the time of the payment,</w:t>
      </w:r>
    </w:p>
    <w:p>
      <w:pPr>
        <w:pStyle w:val="Subsection"/>
        <w:rPr>
          <w:snapToGrid w:val="0"/>
        </w:rPr>
      </w:pPr>
      <w:r>
        <w:rPr>
          <w:snapToGrid w:val="0"/>
        </w:rPr>
        <w:tab/>
      </w:r>
      <w:r>
        <w:rPr>
          <w:snapToGrid w:val="0"/>
        </w:rPr>
        <w:tab/>
        <w:t>in respect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w:t>
      </w:r>
    </w:p>
    <w:p>
      <w:pPr>
        <w:pStyle w:val="Heading5"/>
        <w:spacing w:before="180"/>
        <w:rPr>
          <w:snapToGrid w:val="0"/>
        </w:rPr>
      </w:pPr>
      <w:bookmarkStart w:id="75" w:name="_Toc390078293"/>
      <w:r>
        <w:rPr>
          <w:rStyle w:val="CharSectno"/>
        </w:rPr>
        <w:t>47</w:t>
      </w:r>
      <w:r>
        <w:rPr>
          <w:snapToGrid w:val="0"/>
        </w:rPr>
        <w:t>.</w:t>
      </w:r>
      <w:r>
        <w:rPr>
          <w:snapToGrid w:val="0"/>
        </w:rPr>
        <w:tab/>
        <w:t>Certain workers not to benefit</w:t>
      </w:r>
      <w:bookmarkEnd w:id="75"/>
      <w:r>
        <w:rPr>
          <w:snapToGrid w:val="0"/>
        </w:rPr>
        <w:t xml:space="preserve"> </w:t>
      </w:r>
    </w:p>
    <w:p>
      <w:pPr>
        <w:pStyle w:val="Subsection"/>
        <w:spacing w:before="12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76" w:name="_Toc390078294"/>
      <w:r>
        <w:rPr>
          <w:rStyle w:val="CharSectno"/>
        </w:rPr>
        <w:t>48</w:t>
      </w:r>
      <w:r>
        <w:rPr>
          <w:snapToGrid w:val="0"/>
        </w:rPr>
        <w:t>.</w:t>
      </w:r>
      <w:r>
        <w:rPr>
          <w:snapToGrid w:val="0"/>
        </w:rPr>
        <w:tab/>
        <w:t>Notification of disease</w:t>
      </w:r>
      <w:bookmarkEnd w:id="76"/>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pPr>
      <w:bookmarkStart w:id="77" w:name="_Toc390078295"/>
      <w:r>
        <w:rPr>
          <w:rStyle w:val="CharDivNo"/>
        </w:rPr>
        <w:t>Division 4</w:t>
      </w:r>
      <w:r>
        <w:t> — </w:t>
      </w:r>
      <w:r>
        <w:rPr>
          <w:rStyle w:val="CharDivText"/>
        </w:rPr>
        <w:t>Injury: specified losses of functions</w:t>
      </w:r>
      <w:bookmarkEnd w:id="77"/>
    </w:p>
    <w:p>
      <w:pPr>
        <w:pStyle w:val="Footnoteheading"/>
      </w:pPr>
      <w:r>
        <w:tab/>
        <w:t>[Heading inserted by No. 42 of 2004 s. 36.]</w:t>
      </w:r>
    </w:p>
    <w:p>
      <w:pPr>
        <w:pStyle w:val="Heading5"/>
      </w:pPr>
      <w:bookmarkStart w:id="78" w:name="_Toc390078296"/>
      <w:r>
        <w:rPr>
          <w:rStyle w:val="CharSectno"/>
        </w:rPr>
        <w:t>49</w:t>
      </w:r>
      <w:r>
        <w:t>.</w:t>
      </w:r>
      <w:r>
        <w:tab/>
        <w:t>Injury occurs when loss of function renders worker less able to earn full wages</w:t>
      </w:r>
      <w:bookmarkEnd w:id="78"/>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 xml:space="preserve">Repealed by No. 36 of 1988 s. 10.] </w:t>
      </w:r>
    </w:p>
    <w:p>
      <w:pPr>
        <w:pStyle w:val="Heading5"/>
        <w:rPr>
          <w:snapToGrid w:val="0"/>
        </w:rPr>
      </w:pPr>
      <w:bookmarkStart w:id="79" w:name="_Toc390078297"/>
      <w:r>
        <w:rPr>
          <w:rStyle w:val="CharSectno"/>
        </w:rPr>
        <w:t>51</w:t>
      </w:r>
      <w:r>
        <w:rPr>
          <w:snapToGrid w:val="0"/>
        </w:rPr>
        <w:t>.</w:t>
      </w:r>
      <w:r>
        <w:rPr>
          <w:snapToGrid w:val="0"/>
        </w:rPr>
        <w:tab/>
        <w:t>Compensation recoverable from last employer</w:t>
      </w:r>
      <w:bookmarkEnd w:id="79"/>
      <w:r>
        <w:rPr>
          <w:snapToGrid w:val="0"/>
        </w:rPr>
        <w:t xml:space="preserve"> </w:t>
      </w:r>
    </w:p>
    <w:p>
      <w:pPr>
        <w:pStyle w:val="Subsection"/>
        <w:spacing w:before="8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8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8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8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8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80" w:name="_Toc390078298"/>
      <w:r>
        <w:rPr>
          <w:rStyle w:val="CharSectno"/>
        </w:rPr>
        <w:t>52</w:t>
      </w:r>
      <w:r>
        <w:rPr>
          <w:snapToGrid w:val="0"/>
        </w:rPr>
        <w:t>.</w:t>
      </w:r>
      <w:r>
        <w:rPr>
          <w:snapToGrid w:val="0"/>
        </w:rPr>
        <w:tab/>
        <w:t>How compensation calculated</w:t>
      </w:r>
      <w:bookmarkEnd w:id="80"/>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81" w:name="_Toc390078299"/>
      <w:r>
        <w:rPr>
          <w:rStyle w:val="CharSectno"/>
        </w:rPr>
        <w:t>53</w:t>
      </w:r>
      <w:r>
        <w:rPr>
          <w:snapToGrid w:val="0"/>
        </w:rPr>
        <w:t>.</w:t>
      </w:r>
      <w:r>
        <w:rPr>
          <w:snapToGrid w:val="0"/>
        </w:rPr>
        <w:tab/>
        <w:t>Employer to whom notice given</w:t>
      </w:r>
      <w:bookmarkEnd w:id="81"/>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82" w:name="_Toc390078300"/>
      <w:r>
        <w:rPr>
          <w:rStyle w:val="CharSectno"/>
        </w:rPr>
        <w:t>54</w:t>
      </w:r>
      <w:r>
        <w:rPr>
          <w:snapToGrid w:val="0"/>
        </w:rPr>
        <w:t>.</w:t>
      </w:r>
      <w:r>
        <w:rPr>
          <w:snapToGrid w:val="0"/>
        </w:rPr>
        <w:tab/>
        <w:t>Loss of function deemed due to nature of employment</w:t>
      </w:r>
      <w:bookmarkEnd w:id="82"/>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83" w:name="_Toc390078301"/>
      <w:r>
        <w:rPr>
          <w:rStyle w:val="CharSectno"/>
        </w:rPr>
        <w:t>55</w:t>
      </w:r>
      <w:r>
        <w:rPr>
          <w:snapToGrid w:val="0"/>
        </w:rPr>
        <w:t>.</w:t>
      </w:r>
      <w:r>
        <w:rPr>
          <w:snapToGrid w:val="0"/>
        </w:rPr>
        <w:tab/>
        <w:t>Additions to Schedule 4</w:t>
      </w:r>
      <w:bookmarkEnd w:id="83"/>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84" w:name="_Toc390078302"/>
      <w:r>
        <w:rPr>
          <w:rStyle w:val="CharDivNo"/>
        </w:rPr>
        <w:t>Division 5</w:t>
      </w:r>
      <w:r>
        <w:rPr>
          <w:snapToGrid w:val="0"/>
        </w:rPr>
        <w:t> — </w:t>
      </w:r>
      <w:r>
        <w:rPr>
          <w:rStyle w:val="CharDivText"/>
        </w:rPr>
        <w:t>Commencement, review, suspension, and cessation of payments</w:t>
      </w:r>
      <w:bookmarkEnd w:id="84"/>
      <w:r>
        <w:rPr>
          <w:rStyle w:val="CharDivText"/>
        </w:rPr>
        <w:t xml:space="preserve"> </w:t>
      </w:r>
    </w:p>
    <w:p>
      <w:pPr>
        <w:pStyle w:val="Heading5"/>
        <w:rPr>
          <w:snapToGrid w:val="0"/>
        </w:rPr>
      </w:pPr>
      <w:bookmarkStart w:id="85" w:name="_Toc390078303"/>
      <w:r>
        <w:rPr>
          <w:rStyle w:val="CharSectno"/>
        </w:rPr>
        <w:t>56</w:t>
      </w:r>
      <w:r>
        <w:rPr>
          <w:snapToGrid w:val="0"/>
        </w:rPr>
        <w:t>.</w:t>
      </w:r>
      <w:r>
        <w:rPr>
          <w:snapToGrid w:val="0"/>
        </w:rPr>
        <w:tab/>
        <w:t>Entitlement to weekly payments ceasing on account of age</w:t>
      </w:r>
      <w:bookmarkEnd w:id="85"/>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pPr>
      <w:r>
        <w:tab/>
        <w:t>[Section 56 amended by No. 42 of 2004 s. 146 and 147.]</w:t>
      </w:r>
    </w:p>
    <w:p>
      <w:pPr>
        <w:pStyle w:val="Heading5"/>
        <w:rPr>
          <w:snapToGrid w:val="0"/>
        </w:rPr>
      </w:pPr>
      <w:bookmarkStart w:id="86" w:name="_Toc390078304"/>
      <w:r>
        <w:rPr>
          <w:rStyle w:val="CharSectno"/>
        </w:rPr>
        <w:t>57</w:t>
      </w:r>
      <w:r>
        <w:rPr>
          <w:snapToGrid w:val="0"/>
        </w:rPr>
        <w:t>.</w:t>
      </w:r>
      <w:r>
        <w:rPr>
          <w:snapToGrid w:val="0"/>
        </w:rPr>
        <w:tab/>
        <w:t>Saving as to expenses</w:t>
      </w:r>
      <w:bookmarkEnd w:id="86"/>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87" w:name="_Toc390078305"/>
      <w:r>
        <w:rPr>
          <w:rStyle w:val="CharSectno"/>
        </w:rPr>
        <w:t>57A</w:t>
      </w:r>
      <w:r>
        <w:rPr>
          <w:snapToGrid w:val="0"/>
        </w:rPr>
        <w:t>.</w:t>
      </w:r>
      <w:r>
        <w:rPr>
          <w:snapToGrid w:val="0"/>
        </w:rPr>
        <w:tab/>
        <w:t>Claims procedure — insured employer</w:t>
      </w:r>
      <w:bookmarkEnd w:id="87"/>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80"/>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20"/>
        <w:rPr>
          <w:snapToGrid w:val="0"/>
        </w:rPr>
      </w:pPr>
      <w:r>
        <w:rPr>
          <w:snapToGrid w:val="0"/>
        </w:rPr>
        <w:tab/>
      </w:r>
      <w:r>
        <w:rPr>
          <w:snapToGrid w:val="0"/>
        </w:rPr>
        <w:tab/>
        <w:t>the claim by the worker shall be deemed to be disputed.</w:t>
      </w:r>
    </w:p>
    <w:p>
      <w:pPr>
        <w:pStyle w:val="Subsection"/>
        <w:spacing w:before="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spacing w:before="120"/>
        <w:rPr>
          <w:snapToGrid w:val="0"/>
        </w:rPr>
      </w:pPr>
      <w:bookmarkStart w:id="88" w:name="_Toc390078306"/>
      <w:r>
        <w:rPr>
          <w:rStyle w:val="CharSectno"/>
        </w:rPr>
        <w:t>57B</w:t>
      </w:r>
      <w:r>
        <w:rPr>
          <w:snapToGrid w:val="0"/>
        </w:rPr>
        <w:t>.</w:t>
      </w:r>
      <w:r>
        <w:rPr>
          <w:snapToGrid w:val="0"/>
        </w:rPr>
        <w:tab/>
        <w:t>Claims procedure — self</w:t>
      </w:r>
      <w:r>
        <w:rPr>
          <w:snapToGrid w:val="0"/>
        </w:rPr>
        <w:noBreakHyphen/>
        <w:t>insurer or uninsured employer</w:t>
      </w:r>
      <w:bookmarkEnd w:id="88"/>
      <w:r>
        <w:rPr>
          <w:snapToGrid w:val="0"/>
        </w:rPr>
        <w:t xml:space="preserve"> </w:t>
      </w:r>
    </w:p>
    <w:p>
      <w:pPr>
        <w:pStyle w:val="Subsection"/>
        <w:spacing w:before="100"/>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spacing w:before="100"/>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0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00"/>
        <w:rPr>
          <w:snapToGrid w:val="0"/>
        </w:rPr>
      </w:pPr>
      <w:r>
        <w:rPr>
          <w:snapToGrid w:val="0"/>
        </w:rPr>
        <w:tab/>
      </w:r>
      <w:r>
        <w:rPr>
          <w:snapToGrid w:val="0"/>
        </w:rPr>
        <w:tab/>
        <w:t>the claim by the worker shall be deemed to be disputed.</w:t>
      </w:r>
    </w:p>
    <w:p>
      <w:pPr>
        <w:pStyle w:val="Subsection"/>
        <w:spacing w:before="10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0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0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0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0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spacing w:before="10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89" w:name="_Toc390078307"/>
      <w:r>
        <w:rPr>
          <w:rStyle w:val="CharSectno"/>
        </w:rPr>
        <w:t>57BA</w:t>
      </w:r>
      <w:r>
        <w:t>.</w:t>
      </w:r>
      <w:r>
        <w:tab/>
        <w:t>Notices under sections 57A and 57B</w:t>
      </w:r>
      <w:bookmarkEnd w:id="89"/>
    </w:p>
    <w:p>
      <w:pPr>
        <w:pStyle w:val="Subsection"/>
      </w:pPr>
      <w:r>
        <w:tab/>
        <w:t>(1)</w:t>
      </w:r>
      <w:r>
        <w:tab/>
        <w:t>A notice under section 57A or 57B is to be expressed in plain language.</w:t>
      </w:r>
    </w:p>
    <w:p>
      <w:pPr>
        <w:pStyle w:val="Subsection"/>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spacing w:before="60"/>
      </w:pPr>
      <w:r>
        <w:tab/>
        <w:t>(ii)</w:t>
      </w:r>
      <w:r>
        <w:tab/>
        <w:t>if a reason is that the person giving the notice requires further information as to the worker’s weekly earnings, a statement as to the nature and substance of the information required; and</w:t>
      </w:r>
    </w:p>
    <w:p>
      <w:pPr>
        <w:pStyle w:val="Indenti"/>
        <w:spacing w:before="60"/>
      </w:pPr>
      <w:r>
        <w:tab/>
        <w:t>(iii)</w:t>
      </w:r>
      <w:r>
        <w:tab/>
        <w:t>any other particulars required by the person giving the notice to make the decision;</w:t>
      </w:r>
    </w:p>
    <w:p>
      <w:pPr>
        <w:pStyle w:val="Indenta"/>
        <w:spacing w:before="60"/>
      </w:pPr>
      <w:r>
        <w:tab/>
      </w:r>
      <w:r>
        <w:tab/>
        <w:t>and</w:t>
      </w:r>
    </w:p>
    <w:p>
      <w:pPr>
        <w:pStyle w:val="Indenta"/>
        <w:spacing w:before="60"/>
      </w:pPr>
      <w:r>
        <w:tab/>
        <w:t>(c)</w:t>
      </w:r>
      <w:r>
        <w:tab/>
        <w:t>include such other information as the regulations may prescribe.</w:t>
      </w:r>
    </w:p>
    <w:p>
      <w:pPr>
        <w:pStyle w:val="Footnotesection"/>
      </w:pPr>
      <w:r>
        <w:tab/>
        <w:t>[Section 57BA inserted by No. 42 of 2004 s. 43.]</w:t>
      </w:r>
    </w:p>
    <w:p>
      <w:pPr>
        <w:pStyle w:val="Heading5"/>
        <w:spacing w:before="180"/>
        <w:rPr>
          <w:snapToGrid w:val="0"/>
        </w:rPr>
      </w:pPr>
      <w:bookmarkStart w:id="90" w:name="_Toc390078308"/>
      <w:r>
        <w:rPr>
          <w:rStyle w:val="CharSectno"/>
        </w:rPr>
        <w:t>57C</w:t>
      </w:r>
      <w:r>
        <w:rPr>
          <w:snapToGrid w:val="0"/>
        </w:rPr>
        <w:t>.</w:t>
      </w:r>
      <w:r>
        <w:rPr>
          <w:snapToGrid w:val="0"/>
        </w:rPr>
        <w:tab/>
        <w:t>Notification to Commission</w:t>
      </w:r>
      <w:bookmarkEnd w:id="90"/>
      <w:r>
        <w:rPr>
          <w:snapToGrid w:val="0"/>
        </w:rPr>
        <w:t xml:space="preserve"> </w:t>
      </w:r>
    </w:p>
    <w:p>
      <w:pPr>
        <w:pStyle w:val="Subsection"/>
        <w:spacing w:before="120"/>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spacing w:before="80"/>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spacing w:before="80"/>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spacing w:before="80"/>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spacing w:before="80"/>
        <w:ind w:left="890" w:hanging="890"/>
      </w:pPr>
      <w:r>
        <w:tab/>
        <w:t xml:space="preserve">[Section 57C inserted by No. 96 of 1990 s. 8; amended by No. 42 of 2004 s. 44, 147 and 150.] </w:t>
      </w:r>
    </w:p>
    <w:p>
      <w:pPr>
        <w:pStyle w:val="Heading5"/>
        <w:rPr>
          <w:snapToGrid w:val="0"/>
        </w:rPr>
      </w:pPr>
      <w:bookmarkStart w:id="91" w:name="_Toc390078309"/>
      <w:r>
        <w:rPr>
          <w:rStyle w:val="CharSectno"/>
        </w:rPr>
        <w:t>57D</w:t>
      </w:r>
      <w:r>
        <w:rPr>
          <w:snapToGrid w:val="0"/>
        </w:rPr>
        <w:t>.</w:t>
      </w:r>
      <w:r>
        <w:rPr>
          <w:snapToGrid w:val="0"/>
        </w:rPr>
        <w:tab/>
        <w:t>Confidentiality</w:t>
      </w:r>
      <w:bookmarkEnd w:id="91"/>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92" w:name="_Toc390078310"/>
      <w:r>
        <w:rPr>
          <w:rStyle w:val="CharSectno"/>
        </w:rPr>
        <w:t>58</w:t>
      </w:r>
      <w:r>
        <w:rPr>
          <w:snapToGrid w:val="0"/>
        </w:rPr>
        <w:t>.</w:t>
      </w:r>
      <w:r>
        <w:rPr>
          <w:snapToGrid w:val="0"/>
        </w:rPr>
        <w:tab/>
        <w:t>Arbitrator may determine liability</w:t>
      </w:r>
      <w:bookmarkEnd w:id="92"/>
      <w:r>
        <w:rPr>
          <w:snapToGrid w:val="0"/>
        </w:rPr>
        <w:t xml:space="preserve"> </w:t>
      </w:r>
    </w:p>
    <w:p>
      <w:pPr>
        <w:pStyle w:val="Subsection"/>
        <w:spacing w:before="80"/>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8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80"/>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spacing w:before="8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spacing w:before="80"/>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repealed]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pPr>
      <w:r>
        <w:tab/>
        <w:t xml:space="preserve">[Section 58 inserted by No. 96 of 1990 s. 9; amended by No. 72 of 1992 s. 8; No. 48 of 1993 s. 28(1); No. 49 of 1996 s. 64; No. 42 of 2004 s. 45 and 150; No. 77 of 2006 s. 17.] </w:t>
      </w:r>
    </w:p>
    <w:p>
      <w:pPr>
        <w:pStyle w:val="Heading5"/>
        <w:rPr>
          <w:snapToGrid w:val="0"/>
        </w:rPr>
      </w:pPr>
      <w:bookmarkStart w:id="93" w:name="_Toc390078311"/>
      <w:r>
        <w:rPr>
          <w:rStyle w:val="CharSectno"/>
        </w:rPr>
        <w:t>59</w:t>
      </w:r>
      <w:r>
        <w:rPr>
          <w:snapToGrid w:val="0"/>
        </w:rPr>
        <w:t>.</w:t>
      </w:r>
      <w:r>
        <w:rPr>
          <w:snapToGrid w:val="0"/>
        </w:rPr>
        <w:tab/>
        <w:t>Information as to remunerated work</w:t>
      </w:r>
      <w:bookmarkEnd w:id="93"/>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rStyle w:val="CharDefText"/>
        </w:rPr>
        <w:t>the 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spacing w:before="80"/>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spacing w:before="80"/>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spacing w:before="80"/>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94" w:name="_Toc390078312"/>
      <w:r>
        <w:rPr>
          <w:rStyle w:val="CharSectno"/>
        </w:rPr>
        <w:t>60</w:t>
      </w:r>
      <w:r>
        <w:rPr>
          <w:snapToGrid w:val="0"/>
        </w:rPr>
        <w:t>.</w:t>
      </w:r>
      <w:r>
        <w:rPr>
          <w:snapToGrid w:val="0"/>
        </w:rPr>
        <w:tab/>
        <w:t>Application for discontinuance or reduction of weekly payments</w:t>
      </w:r>
      <w:bookmarkEnd w:id="94"/>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95" w:name="_Toc390078313"/>
      <w:r>
        <w:rPr>
          <w:rStyle w:val="CharSectno"/>
        </w:rPr>
        <w:t>61</w:t>
      </w:r>
      <w:r>
        <w:rPr>
          <w:snapToGrid w:val="0"/>
        </w:rPr>
        <w:t>.</w:t>
      </w:r>
      <w:r>
        <w:rPr>
          <w:snapToGrid w:val="0"/>
        </w:rPr>
        <w:tab/>
        <w:t>Unlawful discontinuance of weekly payments</w:t>
      </w:r>
      <w:bookmarkEnd w:id="95"/>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outlineLvl w:val="0"/>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outlineLvl w:val="0"/>
        <w:rPr>
          <w:snapToGrid w:val="0"/>
        </w:rPr>
      </w:pPr>
      <w:r>
        <w:rPr>
          <w:snapToGrid w:val="0"/>
        </w:rPr>
        <w:tab/>
        <w:t>(b)</w:t>
      </w:r>
      <w:r>
        <w:rPr>
          <w:snapToGrid w:val="0"/>
        </w:rP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rPr>
          <w:snapToGrid w:val="0"/>
        </w:rPr>
      </w:pPr>
      <w:bookmarkStart w:id="96" w:name="_Toc390078314"/>
      <w:r>
        <w:rPr>
          <w:rStyle w:val="CharSectno"/>
        </w:rPr>
        <w:t>62</w:t>
      </w:r>
      <w:r>
        <w:rPr>
          <w:snapToGrid w:val="0"/>
        </w:rPr>
        <w:t>.</w:t>
      </w:r>
      <w:r>
        <w:rPr>
          <w:snapToGrid w:val="0"/>
        </w:rPr>
        <w:tab/>
        <w:t>Review of weekly payments</w:t>
      </w:r>
      <w:bookmarkEnd w:id="96"/>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97" w:name="_Toc390078315"/>
      <w:r>
        <w:rPr>
          <w:rStyle w:val="CharSectno"/>
        </w:rPr>
        <w:t>63</w:t>
      </w:r>
      <w:r>
        <w:rPr>
          <w:snapToGrid w:val="0"/>
        </w:rPr>
        <w:t>.</w:t>
      </w:r>
      <w:r>
        <w:rPr>
          <w:snapToGrid w:val="0"/>
        </w:rPr>
        <w:tab/>
        <w:t>No compensation during suspension</w:t>
      </w:r>
      <w:bookmarkEnd w:id="97"/>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98" w:name="_Toc390078316"/>
      <w:r>
        <w:rPr>
          <w:rStyle w:val="CharSectno"/>
        </w:rPr>
        <w:t>64</w:t>
      </w:r>
      <w:r>
        <w:rPr>
          <w:snapToGrid w:val="0"/>
        </w:rPr>
        <w:t>.</w:t>
      </w:r>
      <w:r>
        <w:rPr>
          <w:snapToGrid w:val="0"/>
        </w:rPr>
        <w:tab/>
        <w:t>Medical examination</w:t>
      </w:r>
      <w:bookmarkEnd w:id="98"/>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99" w:name="_Toc390078317"/>
      <w:r>
        <w:rPr>
          <w:rStyle w:val="CharSectno"/>
        </w:rPr>
        <w:t>65</w:t>
      </w:r>
      <w:r>
        <w:rPr>
          <w:snapToGrid w:val="0"/>
        </w:rPr>
        <w:t>.</w:t>
      </w:r>
      <w:r>
        <w:rPr>
          <w:snapToGrid w:val="0"/>
        </w:rPr>
        <w:tab/>
        <w:t>Periodical medical examination</w:t>
      </w:r>
      <w:bookmarkEnd w:id="99"/>
      <w:r>
        <w:rPr>
          <w:snapToGrid w:val="0"/>
        </w:rPr>
        <w:t xml:space="preserve"> </w:t>
      </w:r>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00" w:name="_Toc390078318"/>
      <w:r>
        <w:rPr>
          <w:rStyle w:val="CharSectno"/>
        </w:rPr>
        <w:t>66</w:t>
      </w:r>
      <w:r>
        <w:rPr>
          <w:snapToGrid w:val="0"/>
        </w:rPr>
        <w:t>.</w:t>
      </w:r>
      <w:r>
        <w:rPr>
          <w:snapToGrid w:val="0"/>
        </w:rPr>
        <w:tab/>
        <w:t>Regulations as to medical examination</w:t>
      </w:r>
      <w:bookmarkEnd w:id="100"/>
      <w:r>
        <w:rPr>
          <w:snapToGrid w:val="0"/>
        </w:rPr>
        <w:t xml:space="preserve"> </w:t>
      </w:r>
    </w:p>
    <w:p>
      <w:pPr>
        <w:pStyle w:val="Subsection"/>
        <w:spacing w:before="8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by No. 42 of 2004 s. 53.]</w:t>
      </w:r>
    </w:p>
    <w:p>
      <w:pPr>
        <w:pStyle w:val="Heading5"/>
      </w:pPr>
      <w:bookmarkStart w:id="101" w:name="_Toc390078319"/>
      <w:r>
        <w:rPr>
          <w:rStyle w:val="CharSectno"/>
        </w:rPr>
        <w:t>66A</w:t>
      </w:r>
      <w:r>
        <w:t>.</w:t>
      </w:r>
      <w:r>
        <w:tab/>
        <w:t>Additional medical examinations</w:t>
      </w:r>
      <w:bookmarkEnd w:id="101"/>
    </w:p>
    <w:p>
      <w:pPr>
        <w:pStyle w:val="Subsection"/>
      </w:pPr>
      <w:r>
        <w:tab/>
        <w:t>(1)</w:t>
      </w:r>
      <w:r>
        <w:tab/>
        <w:t xml:space="preserve">In this section —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02" w:name="_Toc390078320"/>
      <w:r>
        <w:rPr>
          <w:rStyle w:val="CharSectno"/>
        </w:rPr>
        <w:t>67</w:t>
      </w:r>
      <w:r>
        <w:rPr>
          <w:snapToGrid w:val="0"/>
        </w:rPr>
        <w:t>.</w:t>
      </w:r>
      <w:r>
        <w:rPr>
          <w:snapToGrid w:val="0"/>
        </w:rPr>
        <w:tab/>
        <w:t>Lump sum in redemption of weekly payments</w:t>
      </w:r>
      <w:bookmarkEnd w:id="102"/>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pPr>
      <w:r>
        <w:tab/>
        <w:t>(6)</w:t>
      </w:r>
      <w:r>
        <w:tab/>
        <w:t>The regulations may make provision as to details that are to be specified in a consent order, or an agreement registered under Division 7, for payment of a lump sum.</w:t>
      </w:r>
    </w:p>
    <w:p>
      <w:pPr>
        <w:pStyle w:val="Footnotesection"/>
      </w:pPr>
      <w:r>
        <w:tab/>
        <w:t xml:space="preserve">[Section 67 amended by No. 44 of 1985 s. 21; No. 48 of 1993 s. 36; No. 33 of 1999 s. 4; No. 34 of 1999 s. 14; No. 42 of 2004 s. 55, 146 and 147.] </w:t>
      </w:r>
    </w:p>
    <w:p>
      <w:pPr>
        <w:pStyle w:val="Heading5"/>
        <w:rPr>
          <w:snapToGrid w:val="0"/>
        </w:rPr>
      </w:pPr>
      <w:bookmarkStart w:id="103" w:name="_Toc390078321"/>
      <w:r>
        <w:rPr>
          <w:rStyle w:val="CharSectno"/>
        </w:rPr>
        <w:t>68</w:t>
      </w:r>
      <w:r>
        <w:rPr>
          <w:snapToGrid w:val="0"/>
        </w:rPr>
        <w:t>.</w:t>
      </w:r>
      <w:r>
        <w:rPr>
          <w:snapToGrid w:val="0"/>
        </w:rPr>
        <w:tab/>
        <w:t>Calculation of lump sum</w:t>
      </w:r>
      <w:bookmarkEnd w:id="103"/>
      <w:r>
        <w:rPr>
          <w:snapToGrid w:val="0"/>
        </w:rPr>
        <w:t xml:space="preserve"> </w:t>
      </w:r>
    </w:p>
    <w:p>
      <w:pPr>
        <w:pStyle w:val="Ednotesubsection"/>
      </w:pPr>
      <w:r>
        <w:t>[(1)</w:t>
      </w:r>
      <w:r>
        <w:noBreakHyphen/>
        <w:t>(2)</w:t>
      </w:r>
      <w:r>
        <w:tab/>
        <w:t>repealed]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rStyle w:val="CharDefText"/>
        </w:rPr>
        <w:t>a 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rPr>
          <w:snapToGrid w:val="0"/>
        </w:rPr>
      </w:pPr>
      <w:bookmarkStart w:id="104" w:name="_Toc390078322"/>
      <w:r>
        <w:rPr>
          <w:rStyle w:val="CharSectno"/>
        </w:rPr>
        <w:t>69</w:t>
      </w:r>
      <w:r>
        <w:rPr>
          <w:snapToGrid w:val="0"/>
        </w:rPr>
        <w:t>.</w:t>
      </w:r>
      <w:r>
        <w:rPr>
          <w:snapToGrid w:val="0"/>
        </w:rPr>
        <w:tab/>
        <w:t>Worker not residing in the State</w:t>
      </w:r>
      <w:bookmarkEnd w:id="104"/>
      <w:r>
        <w:rPr>
          <w:snapToGrid w:val="0"/>
        </w:rPr>
        <w:t xml:space="preserve"> </w:t>
      </w:r>
    </w:p>
    <w:p>
      <w:pPr>
        <w:pStyle w:val="Subsection"/>
        <w:spacing w:before="80"/>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05" w:name="_Toc390078323"/>
      <w:r>
        <w:rPr>
          <w:rStyle w:val="CharSectno"/>
        </w:rPr>
        <w:t>70</w:t>
      </w:r>
      <w:r>
        <w:t>.</w:t>
      </w:r>
      <w:r>
        <w:tab/>
        <w:t>Furnishing medical reports</w:t>
      </w:r>
      <w:bookmarkEnd w:id="105"/>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06" w:name="_Toc390078324"/>
      <w:r>
        <w:rPr>
          <w:rStyle w:val="CharSectno"/>
        </w:rPr>
        <w:t>71</w:t>
      </w:r>
      <w:r>
        <w:rPr>
          <w:snapToGrid w:val="0"/>
        </w:rPr>
        <w:t>.</w:t>
      </w:r>
      <w:r>
        <w:rPr>
          <w:snapToGrid w:val="0"/>
        </w:rPr>
        <w:tab/>
        <w:t>Recovery of payments</w:t>
      </w:r>
      <w:bookmarkEnd w:id="106"/>
      <w:r>
        <w:rPr>
          <w:snapToGrid w:val="0"/>
        </w:rPr>
        <w:t xml:space="preserve"> </w:t>
      </w:r>
    </w:p>
    <w:p>
      <w:pPr>
        <w:pStyle w:val="Subsection"/>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pPr>
      <w:bookmarkStart w:id="107" w:name="_Toc390078325"/>
      <w:r>
        <w:rPr>
          <w:rStyle w:val="CharSectno"/>
        </w:rPr>
        <w:t>72</w:t>
      </w:r>
      <w:r>
        <w:t>.</w:t>
      </w:r>
      <w:r>
        <w:tab/>
        <w:t>Suspension of payments during custody</w:t>
      </w:r>
      <w:bookmarkEnd w:id="107"/>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by No. 42 of 2004 s. 58.]</w:t>
      </w:r>
    </w:p>
    <w:p>
      <w:pPr>
        <w:pStyle w:val="Heading5"/>
      </w:pPr>
      <w:bookmarkStart w:id="108" w:name="_Toc390078326"/>
      <w:r>
        <w:rPr>
          <w:rStyle w:val="CharSectno"/>
        </w:rPr>
        <w:t>72A</w:t>
      </w:r>
      <w:r>
        <w:t>.</w:t>
      </w:r>
      <w:r>
        <w:tab/>
        <w:t>Suspension or cessation of payments for failure to undergo medical examination</w:t>
      </w:r>
      <w:bookmarkEnd w:id="108"/>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r>
        <w:tab/>
        <w:t>[Section 72A inserted by No. 42 of 2004 s. 58; amended by No. 16 of 2005 s. 17.]</w:t>
      </w:r>
    </w:p>
    <w:p>
      <w:pPr>
        <w:pStyle w:val="Heading5"/>
      </w:pPr>
      <w:bookmarkStart w:id="109" w:name="_Toc390078327"/>
      <w:r>
        <w:rPr>
          <w:rStyle w:val="CharSectno"/>
        </w:rPr>
        <w:t>72B</w:t>
      </w:r>
      <w:r>
        <w:t>.</w:t>
      </w:r>
      <w:r>
        <w:tab/>
        <w:t>Suspension or cessation of payments for failure to participate in return to work program</w:t>
      </w:r>
      <w:bookmarkEnd w:id="109"/>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outlineLvl w:val="9"/>
      </w:pPr>
      <w:r>
        <w:tab/>
        <w:t>[Division 5A repealed by No. 48 of 1993 s. 28(1).]</w:t>
      </w:r>
    </w:p>
    <w:p>
      <w:pPr>
        <w:pStyle w:val="Heading3"/>
        <w:rPr>
          <w:snapToGrid w:val="0"/>
        </w:rPr>
      </w:pPr>
      <w:bookmarkStart w:id="110" w:name="_Toc390078328"/>
      <w:r>
        <w:rPr>
          <w:rStyle w:val="CharDivNo"/>
        </w:rPr>
        <w:t>Division 6</w:t>
      </w:r>
      <w:r>
        <w:rPr>
          <w:snapToGrid w:val="0"/>
        </w:rPr>
        <w:t> — </w:t>
      </w:r>
      <w:r>
        <w:rPr>
          <w:rStyle w:val="CharDivText"/>
        </w:rPr>
        <w:t>Disputes between employers</w:t>
      </w:r>
      <w:bookmarkEnd w:id="110"/>
      <w:r>
        <w:rPr>
          <w:rStyle w:val="CharDivText"/>
        </w:rPr>
        <w:t xml:space="preserve"> </w:t>
      </w:r>
    </w:p>
    <w:p>
      <w:pPr>
        <w:pStyle w:val="Heading5"/>
        <w:rPr>
          <w:snapToGrid w:val="0"/>
        </w:rPr>
      </w:pPr>
      <w:bookmarkStart w:id="111" w:name="_Toc390078329"/>
      <w:r>
        <w:rPr>
          <w:rStyle w:val="CharSectno"/>
        </w:rPr>
        <w:t>73</w:t>
      </w:r>
      <w:r>
        <w:rPr>
          <w:snapToGrid w:val="0"/>
        </w:rPr>
        <w:t>.</w:t>
      </w:r>
      <w:r>
        <w:rPr>
          <w:snapToGrid w:val="0"/>
        </w:rPr>
        <w:tab/>
        <w:t>Worker entitled but dispute between employers</w:t>
      </w:r>
      <w:bookmarkEnd w:id="111"/>
      <w:r>
        <w:rPr>
          <w:snapToGrid w:val="0"/>
        </w:rPr>
        <w:t xml:space="preserve"> </w:t>
      </w:r>
    </w:p>
    <w:p>
      <w:pPr>
        <w:pStyle w:val="Subsection"/>
        <w:spacing w:before="80"/>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spacing w:before="80"/>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spacing w:before="80"/>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spacing w:before="80"/>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spacing w:before="80"/>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112" w:name="_Toc390078330"/>
      <w:r>
        <w:rPr>
          <w:rStyle w:val="CharSectno"/>
        </w:rPr>
        <w:t>74</w:t>
      </w:r>
      <w:r>
        <w:rPr>
          <w:snapToGrid w:val="0"/>
        </w:rPr>
        <w:t>.</w:t>
      </w:r>
      <w:r>
        <w:rPr>
          <w:snapToGrid w:val="0"/>
        </w:rPr>
        <w:tab/>
        <w:t>Dispute between insurers</w:t>
      </w:r>
      <w:bookmarkEnd w:id="112"/>
      <w:r>
        <w:rPr>
          <w:snapToGrid w:val="0"/>
        </w:rPr>
        <w:t xml:space="preserve"> </w:t>
      </w:r>
    </w:p>
    <w:p>
      <w:pPr>
        <w:pStyle w:val="Subsection"/>
        <w:spacing w:before="120"/>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spacing w:before="120"/>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spacing w:before="120"/>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spacing w:before="160"/>
        <w:rPr>
          <w:snapToGrid w:val="0"/>
        </w:rPr>
      </w:pPr>
      <w:bookmarkStart w:id="113" w:name="_Toc390078331"/>
      <w:r>
        <w:rPr>
          <w:rStyle w:val="CharSectno"/>
        </w:rPr>
        <w:t>74A</w:t>
      </w:r>
      <w:r>
        <w:rPr>
          <w:snapToGrid w:val="0"/>
        </w:rPr>
        <w:t>.</w:t>
      </w:r>
      <w:r>
        <w:rPr>
          <w:snapToGrid w:val="0"/>
        </w:rPr>
        <w:tab/>
        <w:t>Apportionment under sections 73 and 74</w:t>
      </w:r>
      <w:bookmarkEnd w:id="113"/>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114" w:name="_Toc390078332"/>
      <w:r>
        <w:rPr>
          <w:rStyle w:val="CharSectno"/>
        </w:rPr>
        <w:t>75</w:t>
      </w:r>
      <w:r>
        <w:rPr>
          <w:snapToGrid w:val="0"/>
        </w:rPr>
        <w:t>.</w:t>
      </w:r>
      <w:r>
        <w:rPr>
          <w:snapToGrid w:val="0"/>
        </w:rPr>
        <w:tab/>
        <w:t>Obligation to make weekly payments preserved</w:t>
      </w:r>
      <w:bookmarkEnd w:id="114"/>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115" w:name="_Toc390078333"/>
      <w:r>
        <w:rPr>
          <w:rStyle w:val="CharDivNo"/>
        </w:rPr>
        <w:t>Division 7</w:t>
      </w:r>
      <w:r>
        <w:rPr>
          <w:snapToGrid w:val="0"/>
        </w:rPr>
        <w:t> — </w:t>
      </w:r>
      <w:r>
        <w:rPr>
          <w:rStyle w:val="CharDivText"/>
        </w:rPr>
        <w:t>Agreements</w:t>
      </w:r>
      <w:bookmarkEnd w:id="115"/>
      <w:r>
        <w:rPr>
          <w:rStyle w:val="CharDivText"/>
        </w:rPr>
        <w:t xml:space="preserve"> </w:t>
      </w:r>
    </w:p>
    <w:p>
      <w:pPr>
        <w:pStyle w:val="Heading5"/>
        <w:rPr>
          <w:snapToGrid w:val="0"/>
        </w:rPr>
      </w:pPr>
      <w:bookmarkStart w:id="116" w:name="_Toc390078334"/>
      <w:r>
        <w:rPr>
          <w:rStyle w:val="CharSectno"/>
        </w:rPr>
        <w:t>76</w:t>
      </w:r>
      <w:r>
        <w:rPr>
          <w:snapToGrid w:val="0"/>
        </w:rPr>
        <w:t>.</w:t>
      </w:r>
      <w:r>
        <w:rPr>
          <w:snapToGrid w:val="0"/>
        </w:rPr>
        <w:tab/>
        <w:t>Registration of memorandum of agreement</w:t>
      </w:r>
      <w:bookmarkEnd w:id="116"/>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spacing w:before="100"/>
        <w:rPr>
          <w:snapToGrid w:val="0"/>
        </w:rPr>
      </w:pPr>
      <w:r>
        <w:rPr>
          <w:snapToGrid w:val="0"/>
        </w:rPr>
        <w:tab/>
        <w:t>(2)</w:t>
      </w:r>
      <w:r>
        <w:rPr>
          <w:snapToGrid w:val="0"/>
        </w:rPr>
        <w:tab/>
        <w:t>No such memorandum shall be recorded before 7 days after the despatch by the Director of notice to the parties interested.</w:t>
      </w:r>
    </w:p>
    <w:p>
      <w:pPr>
        <w:pStyle w:val="Subsection"/>
        <w:spacing w:before="100"/>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spacing w:before="100"/>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spacing w:before="200"/>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spacing w:before="200"/>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spacing w:before="200"/>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spacing w:before="200"/>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117" w:name="_Toc390078335"/>
      <w:r>
        <w:rPr>
          <w:rStyle w:val="CharSectno"/>
        </w:rPr>
        <w:t>77</w:t>
      </w:r>
      <w:r>
        <w:rPr>
          <w:snapToGrid w:val="0"/>
        </w:rPr>
        <w:t>.</w:t>
      </w:r>
      <w:r>
        <w:rPr>
          <w:snapToGrid w:val="0"/>
        </w:rPr>
        <w:tab/>
        <w:t>Registration obligatory</w:t>
      </w:r>
      <w:bookmarkEnd w:id="117"/>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18" w:name="_Toc390078336"/>
      <w:r>
        <w:rPr>
          <w:rStyle w:val="CharSectno"/>
        </w:rPr>
        <w:t>78</w:t>
      </w:r>
      <w:r>
        <w:rPr>
          <w:snapToGrid w:val="0"/>
        </w:rPr>
        <w:t>.</w:t>
      </w:r>
      <w:r>
        <w:rPr>
          <w:snapToGrid w:val="0"/>
        </w:rPr>
        <w:tab/>
        <w:t>Effect of non</w:t>
      </w:r>
      <w:r>
        <w:rPr>
          <w:snapToGrid w:val="0"/>
        </w:rPr>
        <w:noBreakHyphen/>
        <w:t>registration of agreement</w:t>
      </w:r>
      <w:bookmarkEnd w:id="118"/>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119" w:name="_Toc390078337"/>
      <w:r>
        <w:rPr>
          <w:rStyle w:val="CharDivNo"/>
        </w:rPr>
        <w:t>Division 8</w:t>
      </w:r>
      <w:r>
        <w:rPr>
          <w:snapToGrid w:val="0"/>
        </w:rPr>
        <w:t> — </w:t>
      </w:r>
      <w:r>
        <w:rPr>
          <w:rStyle w:val="CharDivText"/>
        </w:rPr>
        <w:t>Other matters affecting compensation</w:t>
      </w:r>
      <w:bookmarkEnd w:id="119"/>
      <w:r>
        <w:rPr>
          <w:rStyle w:val="CharDivText"/>
        </w:rPr>
        <w:t xml:space="preserve"> </w:t>
      </w:r>
    </w:p>
    <w:p>
      <w:pPr>
        <w:pStyle w:val="Heading5"/>
        <w:spacing w:before="120"/>
        <w:rPr>
          <w:snapToGrid w:val="0"/>
        </w:rPr>
      </w:pPr>
      <w:bookmarkStart w:id="120" w:name="_Toc390078338"/>
      <w:r>
        <w:rPr>
          <w:rStyle w:val="CharSectno"/>
        </w:rPr>
        <w:t>79</w:t>
      </w:r>
      <w:r>
        <w:rPr>
          <w:snapToGrid w:val="0"/>
        </w:rPr>
        <w:t>.</w:t>
      </w:r>
      <w:r>
        <w:rPr>
          <w:snapToGrid w:val="0"/>
        </w:rPr>
        <w:tab/>
        <w:t>Wilful and false representation</w:t>
      </w:r>
      <w:bookmarkEnd w:id="120"/>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121" w:name="_Toc390078339"/>
      <w:r>
        <w:rPr>
          <w:rStyle w:val="CharSectno"/>
        </w:rPr>
        <w:t>80</w:t>
      </w:r>
      <w:r>
        <w:rPr>
          <w:snapToGrid w:val="0"/>
        </w:rPr>
        <w:t>.</w:t>
      </w:r>
      <w:r>
        <w:rPr>
          <w:snapToGrid w:val="0"/>
        </w:rPr>
        <w:tab/>
        <w:t>Effect on annual leave, long service leave and sick leave</w:t>
      </w:r>
      <w:bookmarkEnd w:id="121"/>
      <w:r>
        <w:rPr>
          <w:snapToGrid w:val="0"/>
        </w:rPr>
        <w:t xml:space="preserve"> </w:t>
      </w:r>
    </w:p>
    <w:p>
      <w:pPr>
        <w:pStyle w:val="Subsection"/>
        <w:spacing w:before="80"/>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spacing w:before="80"/>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spacing w:before="80"/>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by No. 42 of 2004 s. 64 and 147.]</w:t>
      </w:r>
    </w:p>
    <w:p>
      <w:pPr>
        <w:pStyle w:val="Heading5"/>
        <w:rPr>
          <w:snapToGrid w:val="0"/>
        </w:rPr>
      </w:pPr>
      <w:bookmarkStart w:id="122" w:name="_Toc390078340"/>
      <w:r>
        <w:rPr>
          <w:rStyle w:val="CharSectno"/>
        </w:rPr>
        <w:t>81</w:t>
      </w:r>
      <w:r>
        <w:rPr>
          <w:snapToGrid w:val="0"/>
        </w:rPr>
        <w:t>.</w:t>
      </w:r>
      <w:r>
        <w:rPr>
          <w:snapToGrid w:val="0"/>
        </w:rPr>
        <w:tab/>
        <w:t>Effect on public holidays pay</w:t>
      </w:r>
      <w:bookmarkEnd w:id="122"/>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23" w:name="_Toc390078341"/>
      <w:r>
        <w:rPr>
          <w:rStyle w:val="CharSectno"/>
        </w:rPr>
        <w:t>82</w:t>
      </w:r>
      <w:r>
        <w:rPr>
          <w:snapToGrid w:val="0"/>
        </w:rPr>
        <w:t>.</w:t>
      </w:r>
      <w:r>
        <w:rPr>
          <w:snapToGrid w:val="0"/>
        </w:rPr>
        <w:tab/>
        <w:t>Recovery of cost of services rendered</w:t>
      </w:r>
      <w:bookmarkEnd w:id="123"/>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24" w:name="_Toc390078342"/>
      <w:r>
        <w:rPr>
          <w:rStyle w:val="CharSectno"/>
        </w:rPr>
        <w:t>83</w:t>
      </w:r>
      <w:r>
        <w:rPr>
          <w:snapToGrid w:val="0"/>
        </w:rPr>
        <w:t>.</w:t>
      </w:r>
      <w:r>
        <w:rPr>
          <w:snapToGrid w:val="0"/>
        </w:rPr>
        <w:tab/>
        <w:t>Industrial award and partial incapacity</w:t>
      </w:r>
      <w:bookmarkEnd w:id="124"/>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rPr>
          <w:snapToGrid w:val="0"/>
        </w:rPr>
      </w:pPr>
      <w:bookmarkStart w:id="125" w:name="_Toc390078343"/>
      <w:r>
        <w:rPr>
          <w:rStyle w:val="CharSectno"/>
        </w:rPr>
        <w:t>84</w:t>
      </w:r>
      <w:r>
        <w:rPr>
          <w:snapToGrid w:val="0"/>
        </w:rPr>
        <w:t>.</w:t>
      </w:r>
      <w:r>
        <w:rPr>
          <w:snapToGrid w:val="0"/>
        </w:rPr>
        <w:tab/>
        <w:t>Worker not to be prejudiced by resuming work</w:t>
      </w:r>
      <w:bookmarkEnd w:id="125"/>
      <w:r>
        <w:rPr>
          <w:snapToGrid w:val="0"/>
        </w:rPr>
        <w:t xml:space="preserve"> </w:t>
      </w:r>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26" w:name="_Toc390078344"/>
      <w:r>
        <w:rPr>
          <w:rStyle w:val="CharSectno"/>
        </w:rPr>
        <w:t>84AA</w:t>
      </w:r>
      <w:r>
        <w:rPr>
          <w:snapToGrid w:val="0"/>
        </w:rPr>
        <w:t>.</w:t>
      </w:r>
      <w:r>
        <w:rPr>
          <w:snapToGrid w:val="0"/>
        </w:rPr>
        <w:tab/>
        <w:t>Employer to keep position available during worker’s incapacity</w:t>
      </w:r>
      <w:bookmarkEnd w:id="126"/>
      <w:r>
        <w:rPr>
          <w:snapToGrid w:val="0"/>
        </w:rPr>
        <w:t xml:space="preserve"> </w:t>
      </w:r>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27" w:name="_Toc390078345"/>
      <w:r>
        <w:rPr>
          <w:rStyle w:val="CharSectno"/>
        </w:rPr>
        <w:t>84AB</w:t>
      </w:r>
      <w:r>
        <w:t>.</w:t>
      </w:r>
      <w:r>
        <w:tab/>
        <w:t>Employer to notify worker and WorkCover WA of intention to dismiss worker</w:t>
      </w:r>
      <w:bookmarkEnd w:id="127"/>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p>
      <w:pPr>
        <w:pStyle w:val="Ednotepart"/>
        <w:ind w:left="1440" w:hanging="1440"/>
        <w:outlineLvl w:val="9"/>
      </w:pPr>
      <w:r>
        <w:t>[Part IIIA:</w:t>
      </w:r>
      <w:r>
        <w:tab/>
        <w:t>s. 84A</w:t>
      </w:r>
      <w:r>
        <w:noBreakHyphen/>
        <w:t>84ZZ repealed by No. 42 of 2004 s. 67;</w:t>
      </w:r>
      <w:r>
        <w:br/>
        <w:t>s. 84ZZA, 84ZZB repealed by No. 59 of 2004 s. 131.]</w:t>
      </w:r>
    </w:p>
    <w:p>
      <w:pPr>
        <w:pStyle w:val="Heading2"/>
      </w:pPr>
      <w:bookmarkStart w:id="128" w:name="_Toc390078346"/>
      <w:r>
        <w:rPr>
          <w:rStyle w:val="CharPartNo"/>
        </w:rPr>
        <w:t>Part IV</w:t>
      </w:r>
      <w:r>
        <w:t> — </w:t>
      </w:r>
      <w:r>
        <w:rPr>
          <w:rStyle w:val="CharPartText"/>
        </w:rPr>
        <w:t>Civil proceedings in addition to or independent of this Act</w:t>
      </w:r>
      <w:bookmarkEnd w:id="128"/>
      <w:r>
        <w:rPr>
          <w:rStyle w:val="CharPartText"/>
        </w:rPr>
        <w:t xml:space="preserve"> </w:t>
      </w:r>
    </w:p>
    <w:p>
      <w:pPr>
        <w:pStyle w:val="Heading3"/>
        <w:rPr>
          <w:snapToGrid w:val="0"/>
        </w:rPr>
      </w:pPr>
      <w:bookmarkStart w:id="129" w:name="_Toc390078347"/>
      <w:r>
        <w:rPr>
          <w:rStyle w:val="CharDivNo"/>
        </w:rPr>
        <w:t>Division 1</w:t>
      </w:r>
      <w:r>
        <w:rPr>
          <w:snapToGrid w:val="0"/>
        </w:rPr>
        <w:t> — </w:t>
      </w:r>
      <w:r>
        <w:rPr>
          <w:rStyle w:val="CharDivText"/>
        </w:rPr>
        <w:t>General</w:t>
      </w:r>
      <w:bookmarkEnd w:id="129"/>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130" w:name="_Toc390078348"/>
      <w:r>
        <w:rPr>
          <w:rStyle w:val="CharSectno"/>
        </w:rPr>
        <w:t>85</w:t>
      </w:r>
      <w:r>
        <w:rPr>
          <w:snapToGrid w:val="0"/>
        </w:rPr>
        <w:t>.</w:t>
      </w:r>
      <w:r>
        <w:rPr>
          <w:snapToGrid w:val="0"/>
        </w:rPr>
        <w:tab/>
        <w:t>Saving — motor vehicle cases</w:t>
      </w:r>
      <w:bookmarkEnd w:id="130"/>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31" w:name="_Toc390078349"/>
      <w:r>
        <w:rPr>
          <w:rStyle w:val="CharSectno"/>
        </w:rPr>
        <w:t>86</w:t>
      </w:r>
      <w:r>
        <w:rPr>
          <w:snapToGrid w:val="0"/>
        </w:rPr>
        <w:t>.</w:t>
      </w:r>
      <w:r>
        <w:rPr>
          <w:snapToGrid w:val="0"/>
        </w:rPr>
        <w:tab/>
        <w:t>Saving — independent liability</w:t>
      </w:r>
      <w:bookmarkEnd w:id="131"/>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32" w:name="_Toc390078350"/>
      <w:r>
        <w:rPr>
          <w:rStyle w:val="CharSectno"/>
        </w:rPr>
        <w:t>87</w:t>
      </w:r>
      <w:r>
        <w:rPr>
          <w:snapToGrid w:val="0"/>
        </w:rPr>
        <w:t>.</w:t>
      </w:r>
      <w:r>
        <w:rPr>
          <w:snapToGrid w:val="0"/>
        </w:rPr>
        <w:tab/>
        <w:t>Costs between solicitor and client in common law actions</w:t>
      </w:r>
      <w:bookmarkEnd w:id="132"/>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legal costs determination (as defined in the </w:t>
      </w:r>
      <w:r>
        <w:rPr>
          <w:i/>
        </w:rPr>
        <w:t>Legal Practice Act 2003</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 xml:space="preserve">[Section 87 inserted by No. 48 of 1993 s. 4(2); amended by No. 65 of 2003 s. 72(2).] </w:t>
      </w:r>
    </w:p>
    <w:p>
      <w:pPr>
        <w:pStyle w:val="Ednotesection"/>
        <w:outlineLvl w:val="9"/>
      </w:pPr>
      <w:r>
        <w:t>[</w:t>
      </w:r>
      <w:r>
        <w:rPr>
          <w:b/>
        </w:rPr>
        <w:t>88</w:t>
      </w:r>
      <w:r>
        <w:rPr>
          <w:b/>
        </w:rPr>
        <w:noBreakHyphen/>
        <w:t>90.</w:t>
      </w:r>
      <w:r>
        <w:t xml:space="preserve">  Repealed by No. 48 of 1993 s. 4(2).] </w:t>
      </w:r>
    </w:p>
    <w:p>
      <w:pPr>
        <w:pStyle w:val="Heading5"/>
        <w:rPr>
          <w:snapToGrid w:val="0"/>
        </w:rPr>
      </w:pPr>
      <w:bookmarkStart w:id="133" w:name="_Toc390078351"/>
      <w:r>
        <w:rPr>
          <w:rStyle w:val="CharSectno"/>
        </w:rPr>
        <w:t>91</w:t>
      </w:r>
      <w:r>
        <w:rPr>
          <w:snapToGrid w:val="0"/>
        </w:rPr>
        <w:t>.</w:t>
      </w:r>
      <w:r>
        <w:rPr>
          <w:snapToGrid w:val="0"/>
        </w:rPr>
        <w:tab/>
        <w:t>Where action brought for injury for which compensation is payable under this Act</w:t>
      </w:r>
      <w:bookmarkEnd w:id="133"/>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134" w:name="_Toc390078352"/>
      <w:r>
        <w:rPr>
          <w:rStyle w:val="CharSectno"/>
        </w:rPr>
        <w:t>92</w:t>
      </w:r>
      <w:r>
        <w:rPr>
          <w:snapToGrid w:val="0"/>
        </w:rPr>
        <w:t>.</w:t>
      </w:r>
      <w:r>
        <w:rPr>
          <w:snapToGrid w:val="0"/>
        </w:rPr>
        <w:tab/>
        <w:t>Both damages and compensation not recoverable</w:t>
      </w:r>
      <w:bookmarkEnd w:id="134"/>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rStyle w:val="CharDefText"/>
        </w:rPr>
        <w:t>the defendant</w:t>
      </w:r>
      <w:r>
        <w:rPr>
          <w:snapToGrid w:val="0"/>
        </w:rPr>
        <w:t>) or against both of them — </w:t>
      </w:r>
    </w:p>
    <w:p>
      <w:pPr>
        <w:pStyle w:val="Indenta"/>
        <w:spacing w:before="120"/>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spacing w:before="120"/>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spacing w:before="120"/>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spacing w:before="120"/>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spacing w:before="120"/>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spacing w:before="120"/>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135" w:name="_Toc390078353"/>
      <w:r>
        <w:rPr>
          <w:rStyle w:val="CharSectno"/>
        </w:rPr>
        <w:t>93</w:t>
      </w:r>
      <w:r>
        <w:rPr>
          <w:snapToGrid w:val="0"/>
        </w:rPr>
        <w:t>.</w:t>
      </w:r>
      <w:r>
        <w:rPr>
          <w:snapToGrid w:val="0"/>
        </w:rPr>
        <w:tab/>
        <w:t>Remedies against stranger</w:t>
      </w:r>
      <w:bookmarkEnd w:id="135"/>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rStyle w:val="CharDefText"/>
        </w:rPr>
        <w:t>the 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spacing w:before="200"/>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20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20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pPr>
      <w:bookmarkStart w:id="136" w:name="_Toc390078354"/>
      <w:r>
        <w:rPr>
          <w:rStyle w:val="CharDivNo"/>
        </w:rPr>
        <w:t>Division 1a</w:t>
      </w:r>
      <w:r>
        <w:t> — </w:t>
      </w:r>
      <w:r>
        <w:rPr>
          <w:rStyle w:val="CharDivText"/>
        </w:rPr>
        <w:t>Choice of law</w:t>
      </w:r>
      <w:bookmarkEnd w:id="136"/>
      <w:r>
        <w:rPr>
          <w:rStyle w:val="CharDivText"/>
        </w:rPr>
        <w:t xml:space="preserve"> </w:t>
      </w:r>
    </w:p>
    <w:p>
      <w:pPr>
        <w:pStyle w:val="Footnoteheading"/>
        <w:keepNext/>
        <w:tabs>
          <w:tab w:val="left" w:pos="851"/>
        </w:tabs>
      </w:pPr>
      <w:r>
        <w:tab/>
        <w:t>[Heading inserted by No. 36 of 2004 s. 10.]</w:t>
      </w:r>
    </w:p>
    <w:p>
      <w:pPr>
        <w:pStyle w:val="Heading5"/>
      </w:pPr>
      <w:bookmarkStart w:id="137" w:name="_Toc390078355"/>
      <w:r>
        <w:rPr>
          <w:rStyle w:val="CharSectno"/>
        </w:rPr>
        <w:t>93AA</w:t>
      </w:r>
      <w:r>
        <w:t>.</w:t>
      </w:r>
      <w:r>
        <w:tab/>
        <w:t>The applicable substantive law for work injury claims</w:t>
      </w:r>
      <w:bookmarkEnd w:id="137"/>
    </w:p>
    <w:p>
      <w:pPr>
        <w:pStyle w:val="Subsection"/>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138" w:name="_Toc390078356"/>
      <w:r>
        <w:rPr>
          <w:rStyle w:val="CharSectno"/>
        </w:rPr>
        <w:t>93AB</w:t>
      </w:r>
      <w:r>
        <w:t>.</w:t>
      </w:r>
      <w:r>
        <w:tab/>
        <w:t>Claims to which Division applies</w:t>
      </w:r>
      <w:bookmarkEnd w:id="138"/>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39" w:name="_Toc390078357"/>
      <w:r>
        <w:rPr>
          <w:rStyle w:val="CharSectno"/>
        </w:rPr>
        <w:t>93AC</w:t>
      </w:r>
      <w:r>
        <w:t>.</w:t>
      </w:r>
      <w:r>
        <w:tab/>
        <w:t>What constitutes injury and employment</w:t>
      </w:r>
      <w:bookmarkEnd w:id="139"/>
      <w:r>
        <w:t xml:space="preserve"> </w:t>
      </w:r>
    </w:p>
    <w:p>
      <w:pPr>
        <w:pStyle w:val="Subsection"/>
      </w:pPr>
      <w:r>
        <w:tab/>
      </w:r>
      <w:r>
        <w:tab/>
        <w:t xml:space="preserve">For the purposes of this Division —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by No. 36 of 2004 s. 10; amended by No. 36 of 2004 s. 17(1).]</w:t>
      </w:r>
    </w:p>
    <w:p>
      <w:pPr>
        <w:pStyle w:val="Heading5"/>
      </w:pPr>
      <w:bookmarkStart w:id="140" w:name="_Toc390078358"/>
      <w:r>
        <w:rPr>
          <w:rStyle w:val="CharSectno"/>
        </w:rPr>
        <w:t>93AD</w:t>
      </w:r>
      <w:r>
        <w:t>.</w:t>
      </w:r>
      <w:r>
        <w:tab/>
        <w:t>Claim in respect of death included</w:t>
      </w:r>
      <w:bookmarkEnd w:id="140"/>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41" w:name="_Toc390078359"/>
      <w:r>
        <w:rPr>
          <w:rStyle w:val="CharSectno"/>
        </w:rPr>
        <w:t>93AE</w:t>
      </w:r>
      <w:r>
        <w:t>.</w:t>
      </w:r>
      <w:r>
        <w:tab/>
        <w:t>Meaning of “substantive law”</w:t>
      </w:r>
      <w:bookmarkEnd w:id="141"/>
    </w:p>
    <w:p>
      <w:pPr>
        <w:pStyle w:val="Subsection"/>
      </w:pPr>
      <w:r>
        <w:tab/>
      </w:r>
      <w:r>
        <w:tab/>
        <w:t xml:space="preserve">In this Division —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pPr>
      <w:r>
        <w:tab/>
        <w:t>but does not include a law prescribing rules for choice of law.</w:t>
      </w:r>
    </w:p>
    <w:p>
      <w:pPr>
        <w:pStyle w:val="Footnotesection"/>
      </w:pPr>
      <w:r>
        <w:tab/>
        <w:t>[Section 93AE inserted by No. 36 of 2004 s. 10; amended by No. 36 of 2004 s. 17(3).]</w:t>
      </w:r>
    </w:p>
    <w:p>
      <w:pPr>
        <w:pStyle w:val="Heading5"/>
      </w:pPr>
      <w:bookmarkStart w:id="142" w:name="_Toc390078360"/>
      <w:r>
        <w:rPr>
          <w:rStyle w:val="CharSectno"/>
        </w:rPr>
        <w:t>93AF</w:t>
      </w:r>
      <w:r>
        <w:t>.</w:t>
      </w:r>
      <w:r>
        <w:tab/>
        <w:t>Availability of action in another State not relevant</w:t>
      </w:r>
      <w:bookmarkEnd w:id="142"/>
    </w:p>
    <w:p>
      <w:pPr>
        <w:pStyle w:val="Subsection"/>
        <w:outlineLvl w:val="0"/>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outlineLvl w:val="0"/>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spacing w:before="220"/>
        <w:rPr>
          <w:snapToGrid w:val="0"/>
        </w:rPr>
      </w:pPr>
      <w:bookmarkStart w:id="143" w:name="_Toc390078361"/>
      <w:r>
        <w:rPr>
          <w:rStyle w:val="CharDivNo"/>
        </w:rPr>
        <w:t>Division 2</w:t>
      </w:r>
      <w:r>
        <w:rPr>
          <w:snapToGrid w:val="0"/>
        </w:rPr>
        <w:t> — </w:t>
      </w:r>
      <w:r>
        <w:rPr>
          <w:rStyle w:val="CharDivText"/>
        </w:rPr>
        <w:t>Constraints on awards of common law damages</w:t>
      </w:r>
      <w:bookmarkEnd w:id="143"/>
      <w:r>
        <w:rPr>
          <w:rStyle w:val="CharDivText"/>
        </w:rPr>
        <w:t xml:space="preserve"> </w:t>
      </w:r>
    </w:p>
    <w:p>
      <w:pPr>
        <w:pStyle w:val="Footnoteheading"/>
        <w:keepNext/>
        <w:rPr>
          <w:snapToGrid w:val="0"/>
        </w:rPr>
      </w:pPr>
      <w:r>
        <w:rPr>
          <w:snapToGrid w:val="0"/>
        </w:rPr>
        <w:tab/>
        <w:t>[Heading inserted by No. 48 of 1993 s. 4(3).]</w:t>
      </w:r>
    </w:p>
    <w:p>
      <w:pPr>
        <w:pStyle w:val="Heading4"/>
      </w:pPr>
      <w:bookmarkStart w:id="144" w:name="_Toc390078362"/>
      <w:r>
        <w:t>Subdivision 1 — Preliminary provisions</w:t>
      </w:r>
      <w:bookmarkEnd w:id="144"/>
    </w:p>
    <w:p>
      <w:pPr>
        <w:pStyle w:val="Footnoteheading"/>
      </w:pPr>
      <w:r>
        <w:tab/>
        <w:t>[Heading inserted by No. 42 of 2004 s. 71.]</w:t>
      </w:r>
    </w:p>
    <w:p>
      <w:pPr>
        <w:pStyle w:val="Heading5"/>
        <w:rPr>
          <w:snapToGrid w:val="0"/>
        </w:rPr>
      </w:pPr>
      <w:bookmarkStart w:id="145" w:name="_Toc390078363"/>
      <w:r>
        <w:rPr>
          <w:rStyle w:val="CharSectno"/>
        </w:rPr>
        <w:t>93A</w:t>
      </w:r>
      <w:r>
        <w:rPr>
          <w:snapToGrid w:val="0"/>
        </w:rPr>
        <w:t>.</w:t>
      </w:r>
      <w:r>
        <w:rPr>
          <w:snapToGrid w:val="0"/>
        </w:rPr>
        <w:tab/>
        <w:t>Definitions for this Division</w:t>
      </w:r>
      <w:bookmarkEnd w:id="145"/>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r>
      <w:r>
        <w:rPr>
          <w:rStyle w:val="CharDefText"/>
        </w:rPr>
        <w:t>damages</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146" w:name="_Toc390078364"/>
      <w:r>
        <w:rPr>
          <w:rStyle w:val="CharSectno"/>
        </w:rPr>
        <w:t>93B</w:t>
      </w:r>
      <w:r>
        <w:rPr>
          <w:snapToGrid w:val="0"/>
        </w:rPr>
        <w:t>.</w:t>
      </w:r>
      <w:r>
        <w:rPr>
          <w:snapToGrid w:val="0"/>
        </w:rPr>
        <w:tab/>
        <w:t>Application of this Division</w:t>
      </w:r>
      <w:bookmarkEnd w:id="146"/>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spacing w:before="120"/>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spacing w:before="120"/>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spacing w:before="120"/>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180"/>
        <w:rPr>
          <w:snapToGrid w:val="0"/>
        </w:rPr>
      </w:pPr>
      <w:bookmarkStart w:id="147" w:name="_Toc390078365"/>
      <w:r>
        <w:rPr>
          <w:rStyle w:val="CharSectno"/>
        </w:rPr>
        <w:t>93C</w:t>
      </w:r>
      <w:r>
        <w:rPr>
          <w:snapToGrid w:val="0"/>
        </w:rPr>
        <w:t>.</w:t>
      </w:r>
      <w:r>
        <w:rPr>
          <w:snapToGrid w:val="0"/>
        </w:rPr>
        <w:tab/>
        <w:t>Limit on powers of courts</w:t>
      </w:r>
      <w:bookmarkEnd w:id="147"/>
      <w:r>
        <w:rPr>
          <w:snapToGrid w:val="0"/>
        </w:rPr>
        <w:t xml:space="preserve"> </w:t>
      </w:r>
    </w:p>
    <w:p>
      <w:pPr>
        <w:pStyle w:val="Subsection"/>
        <w:spacing w:before="12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pPr>
      <w:bookmarkStart w:id="148" w:name="_Toc390078366"/>
      <w:r>
        <w:t>Subdivision 2 — 1993 scheme</w:t>
      </w:r>
      <w:bookmarkEnd w:id="148"/>
    </w:p>
    <w:p>
      <w:pPr>
        <w:pStyle w:val="Footnoteheading"/>
      </w:pPr>
      <w:r>
        <w:tab/>
        <w:t>[Heading inserted by No. 42 of 2004 s. 74.]</w:t>
      </w:r>
    </w:p>
    <w:p>
      <w:pPr>
        <w:pStyle w:val="Heading5"/>
        <w:spacing w:before="180"/>
      </w:pPr>
      <w:bookmarkStart w:id="149" w:name="_Toc390078367"/>
      <w:r>
        <w:rPr>
          <w:rStyle w:val="CharSectno"/>
        </w:rPr>
        <w:t>93CA</w:t>
      </w:r>
      <w:r>
        <w:t>.</w:t>
      </w:r>
      <w:r>
        <w:tab/>
        <w:t>Meaning of “AMA Guides” in this Subdivision</w:t>
      </w:r>
      <w:bookmarkEnd w:id="149"/>
    </w:p>
    <w:p>
      <w:pPr>
        <w:pStyle w:val="Subsection"/>
        <w:spacing w:before="12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pPr>
      <w:bookmarkStart w:id="150" w:name="_Toc390078368"/>
      <w:r>
        <w:rPr>
          <w:rStyle w:val="CharSectno"/>
        </w:rPr>
        <w:t>93CB</w:t>
      </w:r>
      <w:r>
        <w:t>.</w:t>
      </w:r>
      <w:r>
        <w:tab/>
        <w:t>Limits on application of this Subdivision</w:t>
      </w:r>
      <w:bookmarkEnd w:id="150"/>
    </w:p>
    <w:p>
      <w:pPr>
        <w:pStyle w:val="Subsection"/>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pPr>
      <w:r>
        <w:tab/>
        <w:t>[Section 93CB inserted by No. 42 of 2004 s. 75.]</w:t>
      </w:r>
    </w:p>
    <w:p>
      <w:pPr>
        <w:pStyle w:val="Heading5"/>
      </w:pPr>
      <w:bookmarkStart w:id="151" w:name="_Toc390078369"/>
      <w:r>
        <w:rPr>
          <w:rStyle w:val="CharSectno"/>
        </w:rPr>
        <w:t>93CC</w:t>
      </w:r>
      <w:r>
        <w:t>.</w:t>
      </w:r>
      <w:r>
        <w:tab/>
        <w:t>Application of this Subdivision</w:t>
      </w:r>
      <w:bookmarkEnd w:id="151"/>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spacing w:before="120"/>
      </w:pPr>
      <w:bookmarkStart w:id="152" w:name="_Toc390078370"/>
      <w:r>
        <w:rPr>
          <w:rStyle w:val="CharSectno"/>
        </w:rPr>
        <w:t>93D</w:t>
      </w:r>
      <w:r>
        <w:t>.</w:t>
      </w:r>
      <w:r>
        <w:tab/>
        <w:t>Assessment of disability</w:t>
      </w:r>
      <w:bookmarkEnd w:id="152"/>
    </w:p>
    <w:p>
      <w:pPr>
        <w:pStyle w:val="Subsection"/>
        <w:spacing w:before="100"/>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spacing w:before="100"/>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spacing w:before="100"/>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spacing w:before="100"/>
      </w:pPr>
      <w:r>
        <w:tab/>
        <w:t>(4)</w:t>
      </w:r>
      <w:r>
        <w:tab/>
        <w:t xml:space="preserve">If section 25 applies, the percentage under subsection (2)(a) is calculated in accordance with the formula — </w:t>
      </w:r>
    </w:p>
    <w:p>
      <w:pPr>
        <w:pStyle w:val="Equation"/>
        <w:tabs>
          <w:tab w:val="left" w:pos="1080"/>
        </w:tabs>
        <w:spacing w:before="120"/>
      </w:pPr>
      <w:r>
        <w:tab/>
      </w:r>
      <w:r>
        <w:rPr>
          <w:position w:val="-24"/>
        </w:rPr>
        <w:object w:dxaOrig="99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30.75pt" o:ole="" fillcolor="window">
            <v:imagedata r:id="rId19" o:title=""/>
          </v:shape>
          <o:OLEObject Type="Embed" ProgID="Equation.3" ShapeID="_x0000_i1025" DrawAspect="Content" ObjectID="_1643832527" r:id="rId20"/>
        </w:object>
      </w:r>
    </w:p>
    <w:p>
      <w:pPr>
        <w:pStyle w:val="Subsection"/>
        <w:spacing w:before="100"/>
      </w:pPr>
      <w:r>
        <w:tab/>
      </w:r>
      <w:r>
        <w:tab/>
        <w:t xml:space="preserve">Where — </w:t>
      </w:r>
    </w:p>
    <w:p>
      <w:pPr>
        <w:pStyle w:val="Subsection"/>
        <w:spacing w:before="100"/>
      </w:pPr>
      <w:r>
        <w:tab/>
      </w:r>
      <w:r>
        <w:tab/>
      </w:r>
      <w:r>
        <w:rPr>
          <w:i/>
        </w:rPr>
        <w:t>PD</w:t>
      </w:r>
      <w:r>
        <w:t xml:space="preserve"> is the percentage of the diminution of full efficient use.</w:t>
      </w:r>
    </w:p>
    <w:p>
      <w:pPr>
        <w:pStyle w:val="Subsection"/>
        <w:spacing w:before="100"/>
      </w:pPr>
      <w:r>
        <w:tab/>
      </w:r>
      <w:r>
        <w:tab/>
      </w:r>
      <w:r>
        <w:rPr>
          <w:i/>
        </w:rPr>
        <w:t>TD</w:t>
      </w:r>
      <w:r>
        <w:t xml:space="preserve"> is the relevant percentage set out in Column 2 of Schedule 2.</w:t>
      </w:r>
    </w:p>
    <w:p>
      <w:pPr>
        <w:pStyle w:val="Subsection"/>
        <w:spacing w:before="100"/>
      </w:pPr>
      <w:r>
        <w:tab/>
      </w:r>
      <w:r>
        <w:tab/>
        <w:t>Example 1</w:t>
      </w:r>
    </w:p>
    <w:p>
      <w:pPr>
        <w:pStyle w:val="Subsection"/>
        <w:spacing w:before="100"/>
      </w:pPr>
      <w:r>
        <w:tab/>
      </w:r>
      <w:r>
        <w:tab/>
        <w:t>A worker loses 40% of the full efficient use of one eye.  The percentage under subsection (2)(a) is —</w:t>
      </w:r>
    </w:p>
    <w:p>
      <w:pPr>
        <w:pStyle w:val="Equation"/>
        <w:tabs>
          <w:tab w:val="left" w:pos="1080"/>
        </w:tabs>
        <w:spacing w:before="80"/>
      </w:pPr>
      <w:r>
        <w:tab/>
      </w:r>
      <w:r>
        <w:rPr>
          <w:position w:val="-24"/>
        </w:rPr>
        <w:object w:dxaOrig="1440" w:dyaOrig="620">
          <v:shape id="_x0000_i1026" type="#_x0000_t75" style="width:1in;height:30.75pt" o:ole="" fillcolor="window">
            <v:imagedata r:id="rId21" o:title=""/>
          </v:shape>
          <o:OLEObject Type="Embed" ProgID="Equation.3" ShapeID="_x0000_i1026" DrawAspect="Content" ObjectID="_1643832528" r:id="rId22"/>
        </w:object>
      </w:r>
    </w:p>
    <w:p>
      <w:pPr>
        <w:pStyle w:val="Subsection"/>
        <w:spacing w:before="100"/>
        <w:outlineLvl w:val="0"/>
      </w:pPr>
      <w:r>
        <w:tab/>
      </w:r>
      <w:r>
        <w:tab/>
        <w:t>Example 2</w:t>
      </w:r>
    </w:p>
    <w:p>
      <w:pPr>
        <w:pStyle w:val="Subsection"/>
        <w:spacing w:before="100"/>
      </w:pPr>
      <w:r>
        <w:tab/>
      </w:r>
      <w:r>
        <w:tab/>
        <w:t>A worker loses the little finger of the left hand, 30% of the full efficient use of one eye and 10% of the full efficient use of the right arm below the elbow.  The percentage under subsection (2)(a) is —</w:t>
      </w:r>
    </w:p>
    <w:p>
      <w:pPr>
        <w:pStyle w:val="Equation"/>
        <w:tabs>
          <w:tab w:val="left" w:pos="1080"/>
        </w:tabs>
        <w:spacing w:before="80"/>
      </w:pPr>
      <w:r>
        <w:tab/>
      </w:r>
      <w:r>
        <w:rPr>
          <w:position w:val="-28"/>
        </w:rPr>
        <w:object w:dxaOrig="4560" w:dyaOrig="680">
          <v:shape id="_x0000_i1027" type="#_x0000_t75" style="width:228pt;height:33.75pt" o:ole="" fillcolor="window">
            <v:imagedata r:id="rId23" o:title=""/>
          </v:shape>
          <o:OLEObject Type="Embed" ProgID="Equation.3" ShapeID="_x0000_i1027" DrawAspect="Content" ObjectID="_1643832529" r:id="rId24"/>
        </w:object>
      </w:r>
    </w:p>
    <w:p>
      <w:pPr>
        <w:pStyle w:val="Subsection"/>
        <w:spacing w:before="100"/>
        <w:outlineLvl w:val="0"/>
      </w:pPr>
      <w:r>
        <w:tab/>
      </w:r>
      <w:r>
        <w:tab/>
        <w:t>Example 3</w:t>
      </w:r>
    </w:p>
    <w:p>
      <w:pPr>
        <w:pStyle w:val="Subsection"/>
        <w:spacing w:before="100"/>
      </w:pPr>
      <w:r>
        <w:tab/>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Equation"/>
        <w:tabs>
          <w:tab w:val="left" w:pos="1080"/>
        </w:tabs>
        <w:spacing w:before="80"/>
      </w:pPr>
      <w:r>
        <w:tab/>
      </w:r>
      <w:r>
        <w:rPr>
          <w:position w:val="-28"/>
        </w:rPr>
        <w:object w:dxaOrig="3980" w:dyaOrig="680">
          <v:shape id="_x0000_i1028" type="#_x0000_t75" style="width:198.75pt;height:33.75pt" o:ole="" fillcolor="window">
            <v:imagedata r:id="rId25" o:title=""/>
          </v:shape>
          <o:OLEObject Type="Embed" ProgID="Equation.3" ShapeID="_x0000_i1028" DrawAspect="Content" ObjectID="_1643832530" r:id="rId26"/>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153" w:name="_Toc390078371"/>
      <w:r>
        <w:rPr>
          <w:rStyle w:val="CharSectno"/>
        </w:rPr>
        <w:t>93E</w:t>
      </w:r>
      <w:r>
        <w:t>.</w:t>
      </w:r>
      <w:r>
        <w:tab/>
        <w:t>Restrictions on awarding of damages and payment of compensation</w:t>
      </w:r>
      <w:bookmarkEnd w:id="153"/>
    </w:p>
    <w:p>
      <w:pPr>
        <w:pStyle w:val="Subsection"/>
      </w:pPr>
      <w:r>
        <w:tab/>
        <w:t>(1)</w:t>
      </w:r>
      <w:r>
        <w:tab/>
        <w:t xml:space="preserve">In this section — </w:t>
      </w:r>
    </w:p>
    <w:p>
      <w:pPr>
        <w:pStyle w:val="Defstart"/>
      </w:pPr>
      <w:r>
        <w:tab/>
      </w:r>
      <w:r>
        <w:rPr>
          <w:rStyle w:val="CharDefText"/>
        </w:rPr>
        <w:t>agreed</w:t>
      </w:r>
      <w:r>
        <w:t xml:space="preserve"> means agreed between the worker and the employer, whether under section 93D(12) or otherwise;</w:t>
      </w:r>
    </w:p>
    <w:p>
      <w:pPr>
        <w:pStyle w:val="Defstart"/>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r>
      <w:r>
        <w:rPr>
          <w:rStyle w:val="CharDefText"/>
        </w:rPr>
        <w:t>relevant period</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54" w:name="_Toc390078372"/>
      <w:r>
        <w:rPr>
          <w:rStyle w:val="CharSectno"/>
        </w:rPr>
        <w:t>93EA</w:t>
      </w:r>
      <w:r>
        <w:t>.</w:t>
      </w:r>
      <w:r>
        <w:tab/>
        <w:t>Referring questions with fresh evidence in particular cases</w:t>
      </w:r>
      <w:bookmarkEnd w:id="154"/>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55" w:name="_Toc390078373"/>
      <w:r>
        <w:rPr>
          <w:rStyle w:val="CharSectno"/>
        </w:rPr>
        <w:t>93EB</w:t>
      </w:r>
      <w:r>
        <w:t>.</w:t>
      </w:r>
      <w:r>
        <w:tab/>
        <w:t>Referring questions in certain other cases</w:t>
      </w:r>
      <w:bookmarkEnd w:id="155"/>
    </w:p>
    <w:p>
      <w:pPr>
        <w:pStyle w:val="Subsection"/>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156" w:name="_Toc390078374"/>
      <w:r>
        <w:rPr>
          <w:rStyle w:val="CharSectno"/>
        </w:rPr>
        <w:t>93EC</w:t>
      </w:r>
      <w:r>
        <w:t>.</w:t>
      </w:r>
      <w:r>
        <w:tab/>
        <w:t>Extended time for commencing proceedings</w:t>
      </w:r>
      <w:bookmarkEnd w:id="156"/>
    </w:p>
    <w:p>
      <w:pPr>
        <w:pStyle w:val="Subsection"/>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rStyle w:val="CharDefText"/>
        </w:rPr>
        <w:t>notification day</w:t>
      </w:r>
      <w:r>
        <w:t>); or</w:t>
      </w:r>
    </w:p>
    <w:p>
      <w:pPr>
        <w:pStyle w:val="Indenti"/>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by No. 35 of 2004 s. 10; amended by No. 42 of 2004 s. 146 and 147.]</w:t>
      </w:r>
    </w:p>
    <w:p>
      <w:pPr>
        <w:pStyle w:val="Heading5"/>
        <w:spacing w:before="120"/>
      </w:pPr>
      <w:bookmarkStart w:id="157" w:name="_Toc390078375"/>
      <w:r>
        <w:rPr>
          <w:rStyle w:val="CharSectno"/>
        </w:rPr>
        <w:t>93F</w:t>
      </w:r>
      <w:r>
        <w:t>.</w:t>
      </w:r>
      <w:r>
        <w:tab/>
        <w:t>Restrictions on awarding and amount of damages if disability less than 30%</w:t>
      </w:r>
      <w:bookmarkEnd w:id="157"/>
    </w:p>
    <w:p>
      <w:pPr>
        <w:pStyle w:val="Subsection"/>
        <w:spacing w:before="100"/>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pPr>
      <w:r>
        <w:tab/>
        <w:t>(b)</w:t>
      </w:r>
      <w:r>
        <w:tab/>
        <w:t>damages in respect of the injury have been awarded in accordance with subsection (1),</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spacing w:before="100"/>
      </w:pPr>
      <w:r>
        <w:tab/>
        <w:t>(8)</w:t>
      </w:r>
      <w:r>
        <w:tab/>
        <w:t xml:space="preserve">In this section — </w:t>
      </w:r>
    </w:p>
    <w:p>
      <w:pPr>
        <w:pStyle w:val="Defstart"/>
        <w:outlineLvl w:val="0"/>
      </w:pPr>
      <w:r>
        <w:tab/>
      </w:r>
      <w:r>
        <w:rPr>
          <w:rStyle w:val="CharDefText"/>
        </w:rPr>
        <w:t>Amount A</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Wages Cost Index, ordinary time hourly rates of pay (excluding bonuses) for Western Australia (the </w:t>
      </w:r>
      <w:r>
        <w:rPr>
          <w:rStyle w:val="CharDefText"/>
        </w:rPr>
        <w:t>WCI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w:t>
      </w:r>
    </w:p>
    <w:p>
      <w:pPr>
        <w:pStyle w:val="Heading5"/>
        <w:spacing w:before="120"/>
      </w:pPr>
      <w:bookmarkStart w:id="158" w:name="_Toc390078376"/>
      <w:r>
        <w:rPr>
          <w:rStyle w:val="CharSectno"/>
        </w:rPr>
        <w:t>93G</w:t>
      </w:r>
      <w:r>
        <w:t>.</w:t>
      </w:r>
      <w:r>
        <w:tab/>
        <w:t>Regulations</w:t>
      </w:r>
      <w:bookmarkEnd w:id="158"/>
    </w:p>
    <w:p>
      <w:pPr>
        <w:pStyle w:val="Subsection"/>
        <w:spacing w:before="100"/>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59" w:name="_Toc390078377"/>
      <w:r>
        <w:t>Subdivision 3 — 2004 scheme</w:t>
      </w:r>
      <w:bookmarkEnd w:id="159"/>
    </w:p>
    <w:p>
      <w:pPr>
        <w:pStyle w:val="Footnoteheading"/>
        <w:keepNext/>
        <w:keepLines/>
      </w:pPr>
      <w:r>
        <w:tab/>
        <w:t>[Heading inserted by No. 42 of 2004 s. 79.]</w:t>
      </w:r>
    </w:p>
    <w:p>
      <w:pPr>
        <w:pStyle w:val="Heading5"/>
      </w:pPr>
      <w:bookmarkStart w:id="160" w:name="_Toc390078378"/>
      <w:r>
        <w:rPr>
          <w:rStyle w:val="CharSectno"/>
        </w:rPr>
        <w:t>93H</w:t>
      </w:r>
      <w:r>
        <w:t>.</w:t>
      </w:r>
      <w:r>
        <w:tab/>
        <w:t>Terms used in this Subdivision</w:t>
      </w:r>
      <w:bookmarkEnd w:id="160"/>
    </w:p>
    <w:p>
      <w:pPr>
        <w:pStyle w:val="Subsection"/>
        <w:outlineLvl w:val="0"/>
      </w:pPr>
      <w:r>
        <w:tab/>
        <w:t>(1)</w:t>
      </w:r>
      <w:r>
        <w:tab/>
        <w:t xml:space="preserve">In this Subdivision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outlineLvl w:val="0"/>
      </w:pPr>
      <w:r>
        <w:tab/>
        <w:t>(2)</w:t>
      </w:r>
      <w:r>
        <w:tab/>
        <w:t xml:space="preserve">In the definition of “degree of permanent whole of person impairment”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by No. 42 of 2004 s. 79.]</w:t>
      </w:r>
    </w:p>
    <w:p>
      <w:pPr>
        <w:pStyle w:val="Heading5"/>
      </w:pPr>
      <w:bookmarkStart w:id="161" w:name="_Toc390078379"/>
      <w:r>
        <w:rPr>
          <w:rStyle w:val="CharSectno"/>
        </w:rPr>
        <w:t>93I</w:t>
      </w:r>
      <w:r>
        <w:t>.</w:t>
      </w:r>
      <w:r>
        <w:tab/>
        <w:t>Application of this Subdivision</w:t>
      </w:r>
      <w:bookmarkEnd w:id="161"/>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r>
        <w:tab/>
        <w:t>[Section 93I inserted by No. 42 of 2004 s. 79; amended by No. 20 of 2005 s. 22.]</w:t>
      </w:r>
    </w:p>
    <w:p>
      <w:pPr>
        <w:pStyle w:val="Heading5"/>
        <w:spacing w:before="180"/>
      </w:pPr>
      <w:bookmarkStart w:id="162" w:name="_Toc390078380"/>
      <w:r>
        <w:rPr>
          <w:rStyle w:val="CharSectno"/>
        </w:rPr>
        <w:t>93J</w:t>
      </w:r>
      <w:r>
        <w:t>.</w:t>
      </w:r>
      <w:r>
        <w:tab/>
        <w:t>No damages for noise induced hearing loss if not an injury</w:t>
      </w:r>
      <w:bookmarkEnd w:id="162"/>
    </w:p>
    <w:p>
      <w:pPr>
        <w:pStyle w:val="Subsection"/>
        <w:spacing w:before="120"/>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by No. 42 of 2004 s. 79.]</w:t>
      </w:r>
    </w:p>
    <w:p>
      <w:pPr>
        <w:pStyle w:val="Heading5"/>
        <w:spacing w:before="180"/>
      </w:pPr>
      <w:bookmarkStart w:id="163" w:name="_Toc390078381"/>
      <w:r>
        <w:rPr>
          <w:rStyle w:val="CharSectno"/>
        </w:rPr>
        <w:t>93K</w:t>
      </w:r>
      <w:r>
        <w:t>.</w:t>
      </w:r>
      <w:r>
        <w:tab/>
        <w:t>Restrictions on awarding, and amount of, damages</w:t>
      </w:r>
      <w:bookmarkEnd w:id="163"/>
    </w:p>
    <w:p>
      <w:pPr>
        <w:pStyle w:val="Subsection"/>
        <w:spacing w:before="120"/>
      </w:pPr>
      <w:r>
        <w:tab/>
        <w:t>(1)</w:t>
      </w:r>
      <w:r>
        <w:tab/>
        <w:t>If the liability for an incapacity resulting from the injury has been redeemed under section 67, damages are not to be awarded in respect of the injury.</w:t>
      </w:r>
    </w:p>
    <w:p>
      <w:pPr>
        <w:pStyle w:val="Subsection"/>
        <w:spacing w:before="120"/>
      </w:pPr>
      <w:r>
        <w:tab/>
        <w:t>(2)</w:t>
      </w:r>
      <w:r>
        <w:tab/>
        <w:t>If a further additional sum has been allowed to the worker under clause 18A(1b) in relation to an injury that is compensable under this Act, damages are not to be awarded in respect of the injury.</w:t>
      </w:r>
    </w:p>
    <w:p>
      <w:pPr>
        <w:pStyle w:val="Subsection"/>
        <w:spacing w:before="120"/>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spacing w:before="120"/>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by No. 42 of 2004 s. 79.]</w:t>
      </w:r>
    </w:p>
    <w:p>
      <w:pPr>
        <w:pStyle w:val="Heading5"/>
      </w:pPr>
      <w:bookmarkStart w:id="164" w:name="_Toc390078382"/>
      <w:r>
        <w:rPr>
          <w:rStyle w:val="CharSectno"/>
        </w:rPr>
        <w:t>93L</w:t>
      </w:r>
      <w:r>
        <w:t>.</w:t>
      </w:r>
      <w:r>
        <w:tab/>
        <w:t>Election to retain right to seek damages</w:t>
      </w:r>
      <w:bookmarkEnd w:id="164"/>
    </w:p>
    <w:p>
      <w:pPr>
        <w:pStyle w:val="Subsection"/>
        <w:keepNext/>
      </w:pPr>
      <w:r>
        <w:tab/>
        <w:t>(1)</w:t>
      </w:r>
      <w:r>
        <w:tab/>
        <w:t xml:space="preserve">In this section — </w:t>
      </w:r>
    </w:p>
    <w:p>
      <w:pPr>
        <w:pStyle w:val="Defstart"/>
      </w:pPr>
      <w:r>
        <w:rPr>
          <w:b/>
        </w:rPr>
        <w:tab/>
      </w:r>
      <w:r>
        <w:rPr>
          <w:rStyle w:val="CharDefText"/>
        </w:rPr>
        <w:t>termination day</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by No. 42 of 2004 s. 79.]</w:t>
      </w:r>
    </w:p>
    <w:p>
      <w:pPr>
        <w:pStyle w:val="Heading5"/>
      </w:pPr>
      <w:bookmarkStart w:id="165" w:name="_Toc390078383"/>
      <w:r>
        <w:rPr>
          <w:rStyle w:val="CharSectno"/>
        </w:rPr>
        <w:t>93M</w:t>
      </w:r>
      <w:r>
        <w:t>.</w:t>
      </w:r>
      <w:r>
        <w:tab/>
        <w:t>Termination day</w:t>
      </w:r>
      <w:bookmarkEnd w:id="165"/>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r>
        <w:tab/>
        <w:t>[Section 93M inserted by No. 42 of 2004 s. 79.]</w:t>
      </w:r>
    </w:p>
    <w:p>
      <w:pPr>
        <w:pStyle w:val="Heading5"/>
      </w:pPr>
      <w:bookmarkStart w:id="166" w:name="_Toc390078384"/>
      <w:r>
        <w:rPr>
          <w:rStyle w:val="CharSectno"/>
        </w:rPr>
        <w:t>93N</w:t>
      </w:r>
      <w:r>
        <w:t>.</w:t>
      </w:r>
      <w:r>
        <w:tab/>
        <w:t>Special evaluation if condition has not sufficiently stabilised</w:t>
      </w:r>
      <w:bookmarkEnd w:id="166"/>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 by No. 42 of 2004 s. 79.]</w:t>
      </w:r>
    </w:p>
    <w:p>
      <w:pPr>
        <w:pStyle w:val="Heading5"/>
      </w:pPr>
      <w:bookmarkStart w:id="167" w:name="_Toc390078385"/>
      <w:r>
        <w:rPr>
          <w:rStyle w:val="CharSectno"/>
        </w:rPr>
        <w:t>93O</w:t>
      </w:r>
      <w:r>
        <w:t>.</w:t>
      </w:r>
      <w:r>
        <w:tab/>
        <w:t>Employer to give worker notice of certain things</w:t>
      </w:r>
      <w:bookmarkEnd w:id="167"/>
    </w:p>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r>
        <w:tab/>
        <w:t>[Section 93O inserted by No. 42 of 2004 s. 79.]</w:t>
      </w:r>
    </w:p>
    <w:p>
      <w:pPr>
        <w:pStyle w:val="Heading5"/>
      </w:pPr>
      <w:bookmarkStart w:id="168" w:name="_Toc390078386"/>
      <w:r>
        <w:rPr>
          <w:rStyle w:val="CharSectno"/>
        </w:rPr>
        <w:t>93P</w:t>
      </w:r>
      <w:r>
        <w:t>.</w:t>
      </w:r>
      <w:r>
        <w:tab/>
        <w:t>How election may affect statutory compensation</w:t>
      </w:r>
      <w:bookmarkEnd w:id="168"/>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by No. 42 of 2004 s. 79.]</w:t>
      </w:r>
    </w:p>
    <w:p>
      <w:pPr>
        <w:pStyle w:val="Heading5"/>
      </w:pPr>
      <w:bookmarkStart w:id="169" w:name="_Toc390078387"/>
      <w:r>
        <w:rPr>
          <w:rStyle w:val="CharSectno"/>
        </w:rPr>
        <w:t>93Q</w:t>
      </w:r>
      <w:r>
        <w:t>.</w:t>
      </w:r>
      <w:r>
        <w:tab/>
        <w:t>Special provisions about HIV and AIDS</w:t>
      </w:r>
      <w:bookmarkEnd w:id="169"/>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 by No. 42 of 2004 s. 79.]</w:t>
      </w:r>
    </w:p>
    <w:p>
      <w:pPr>
        <w:pStyle w:val="Heading5"/>
      </w:pPr>
      <w:bookmarkStart w:id="170" w:name="_Toc390078388"/>
      <w:r>
        <w:rPr>
          <w:rStyle w:val="CharSectno"/>
        </w:rPr>
        <w:t>93R</w:t>
      </w:r>
      <w:r>
        <w:t>.</w:t>
      </w:r>
      <w:r>
        <w:tab/>
        <w:t>Special provisions about specified industrial diseases</w:t>
      </w:r>
      <w:bookmarkEnd w:id="170"/>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r>
        <w:tab/>
        <w:t>[Section 93R inserted by No. 42 of 2004 s. 79.]</w:t>
      </w:r>
    </w:p>
    <w:p>
      <w:pPr>
        <w:pStyle w:val="Heading5"/>
      </w:pPr>
      <w:bookmarkStart w:id="171" w:name="_Toc390078389"/>
      <w:r>
        <w:rPr>
          <w:rStyle w:val="CharSectno"/>
        </w:rPr>
        <w:t>93S</w:t>
      </w:r>
      <w:r>
        <w:t>.</w:t>
      </w:r>
      <w:r>
        <w:tab/>
        <w:t>Regulations</w:t>
      </w:r>
      <w:bookmarkEnd w:id="171"/>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172" w:name="_Toc390078390"/>
      <w:r>
        <w:rPr>
          <w:rStyle w:val="CharPartNo"/>
        </w:rPr>
        <w:t>Part V </w:t>
      </w:r>
      <w:r>
        <w:t>—</w:t>
      </w:r>
      <w:r>
        <w:rPr>
          <w:b w:val="0"/>
        </w:rPr>
        <w:t> </w:t>
      </w:r>
      <w:r>
        <w:rPr>
          <w:rStyle w:val="CharPartText"/>
        </w:rPr>
        <w:t>WorkCover Western Australia Authority</w:t>
      </w:r>
      <w:bookmarkEnd w:id="172"/>
    </w:p>
    <w:p>
      <w:pPr>
        <w:pStyle w:val="Footnoteheading"/>
        <w:rPr>
          <w:snapToGrid w:val="0"/>
        </w:rPr>
      </w:pPr>
      <w:r>
        <w:rPr>
          <w:snapToGrid w:val="0"/>
        </w:rPr>
        <w:tab/>
        <w:t>[Heading inserted by No. 42 of 2004 s. 80.]</w:t>
      </w:r>
    </w:p>
    <w:p>
      <w:pPr>
        <w:pStyle w:val="Heading3"/>
        <w:spacing w:before="160"/>
        <w:rPr>
          <w:snapToGrid w:val="0"/>
        </w:rPr>
      </w:pPr>
      <w:bookmarkStart w:id="173" w:name="_Toc390078391"/>
      <w:r>
        <w:rPr>
          <w:rStyle w:val="CharDivNo"/>
        </w:rPr>
        <w:t>Division 1</w:t>
      </w:r>
      <w:r>
        <w:rPr>
          <w:snapToGrid w:val="0"/>
        </w:rPr>
        <w:t> — </w:t>
      </w:r>
      <w:r>
        <w:rPr>
          <w:rStyle w:val="CharDivText"/>
        </w:rPr>
        <w:t>Constitution, purposes, and powers</w:t>
      </w:r>
      <w:bookmarkEnd w:id="173"/>
      <w:r>
        <w:rPr>
          <w:rStyle w:val="CharDivText"/>
        </w:rPr>
        <w:t xml:space="preserve"> </w:t>
      </w:r>
    </w:p>
    <w:p>
      <w:pPr>
        <w:pStyle w:val="Heading5"/>
        <w:spacing w:before="160"/>
        <w:rPr>
          <w:snapToGrid w:val="0"/>
        </w:rPr>
      </w:pPr>
      <w:bookmarkStart w:id="174" w:name="_Toc390078392"/>
      <w:r>
        <w:rPr>
          <w:rStyle w:val="CharSectno"/>
        </w:rPr>
        <w:t>94</w:t>
      </w:r>
      <w:r>
        <w:rPr>
          <w:snapToGrid w:val="0"/>
        </w:rPr>
        <w:t>.</w:t>
      </w:r>
      <w:r>
        <w:rPr>
          <w:snapToGrid w:val="0"/>
        </w:rPr>
        <w:tab/>
        <w:t>WorkCover Western Australia Authority</w:t>
      </w:r>
      <w:bookmarkEnd w:id="174"/>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spacing w:before="80"/>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spacing w:before="80"/>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spacing w:before="80"/>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spacing w:before="80"/>
        <w:ind w:left="890" w:hanging="890"/>
      </w:pPr>
      <w:r>
        <w:tab/>
        <w:t xml:space="preserve">[Section 94 amended by No. 86 of 1986 s. 8; No. 48 of 1993 s. 40; No. 42 of 2004 s. 81 and 150.] </w:t>
      </w:r>
    </w:p>
    <w:p>
      <w:pPr>
        <w:pStyle w:val="Heading5"/>
      </w:pPr>
      <w:bookmarkStart w:id="175" w:name="_Toc390078393"/>
      <w:r>
        <w:rPr>
          <w:rStyle w:val="CharSectno"/>
        </w:rPr>
        <w:t>95</w:t>
      </w:r>
      <w:r>
        <w:t>.</w:t>
      </w:r>
      <w:r>
        <w:tab/>
        <w:t>WorkCover WA’s governing body</w:t>
      </w:r>
      <w:bookmarkEnd w:id="175"/>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spacing w:before="200"/>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spacing w:before="200"/>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176" w:name="_Toc390078394"/>
      <w:r>
        <w:rPr>
          <w:rStyle w:val="CharSectno"/>
        </w:rPr>
        <w:t>96</w:t>
      </w:r>
      <w:r>
        <w:rPr>
          <w:snapToGrid w:val="0"/>
        </w:rPr>
        <w:t>.</w:t>
      </w:r>
      <w:r>
        <w:rPr>
          <w:snapToGrid w:val="0"/>
        </w:rPr>
        <w:tab/>
        <w:t>Term of office</w:t>
      </w:r>
      <w:bookmarkEnd w:id="176"/>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spacing w:before="80"/>
        <w:rPr>
          <w:snapToGrid w:val="0"/>
        </w:rPr>
      </w:pPr>
      <w:r>
        <w:rPr>
          <w:snapToGrid w:val="0"/>
        </w:rPr>
        <w:tab/>
        <w:t>(2)</w:t>
      </w:r>
      <w:r>
        <w:rPr>
          <w:snapToGrid w:val="0"/>
        </w:rPr>
        <w:tab/>
        <w:t>The Minister on such terms as he thinks fit may grant leave of absence to a nominee member.</w:t>
      </w:r>
    </w:p>
    <w:p>
      <w:pPr>
        <w:pStyle w:val="Subsection"/>
        <w:spacing w:before="80"/>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spacing w:before="80"/>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spacing w:before="80"/>
        <w:rPr>
          <w:snapToGrid w:val="0"/>
        </w:rPr>
      </w:pPr>
      <w:r>
        <w:rPr>
          <w:snapToGrid w:val="0"/>
        </w:rPr>
        <w:tab/>
        <w:t>(5)</w:t>
      </w:r>
      <w:r>
        <w:rPr>
          <w:snapToGrid w:val="0"/>
        </w:rPr>
        <w:tab/>
        <w:t>If a nominee member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spacing w:before="80"/>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w:t>
      </w:r>
    </w:p>
    <w:p>
      <w:pPr>
        <w:pStyle w:val="Heading5"/>
        <w:spacing w:before="160"/>
        <w:rPr>
          <w:snapToGrid w:val="0"/>
        </w:rPr>
      </w:pPr>
      <w:bookmarkStart w:id="177" w:name="_Toc390078395"/>
      <w:r>
        <w:rPr>
          <w:rStyle w:val="CharSectno"/>
        </w:rPr>
        <w:t>97</w:t>
      </w:r>
      <w:r>
        <w:rPr>
          <w:snapToGrid w:val="0"/>
        </w:rPr>
        <w:t>.</w:t>
      </w:r>
      <w:r>
        <w:rPr>
          <w:snapToGrid w:val="0"/>
        </w:rPr>
        <w:tab/>
        <w:t>Meetings</w:t>
      </w:r>
      <w:bookmarkEnd w:id="177"/>
      <w:r>
        <w:rPr>
          <w:snapToGrid w:val="0"/>
        </w:rPr>
        <w:t xml:space="preserve"> </w:t>
      </w:r>
    </w:p>
    <w:p>
      <w:pPr>
        <w:pStyle w:val="Subsection"/>
        <w:spacing w:before="80"/>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spacing w:before="80"/>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spacing w:before="80"/>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spacing w:before="80"/>
        <w:rPr>
          <w:snapToGrid w:val="0"/>
        </w:rPr>
      </w:pPr>
      <w:r>
        <w:rPr>
          <w:snapToGrid w:val="0"/>
        </w:rPr>
        <w:tab/>
        <w:t>(4)</w:t>
      </w:r>
      <w:r>
        <w:rPr>
          <w:snapToGrid w:val="0"/>
        </w:rPr>
        <w:tab/>
        <w:t>Any question arising at a meeting is to be decided by a majority of the members present and voting.</w:t>
      </w:r>
    </w:p>
    <w:p>
      <w:pPr>
        <w:pStyle w:val="Subsection"/>
        <w:spacing w:before="80"/>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178" w:name="_Toc390078396"/>
      <w:r>
        <w:rPr>
          <w:rStyle w:val="CharSectno"/>
        </w:rPr>
        <w:t>98</w:t>
      </w:r>
      <w:r>
        <w:rPr>
          <w:snapToGrid w:val="0"/>
        </w:rPr>
        <w:t>.</w:t>
      </w:r>
      <w:r>
        <w:rPr>
          <w:snapToGrid w:val="0"/>
        </w:rPr>
        <w:tab/>
        <w:t>Defects not to invalidate proceedings</w:t>
      </w:r>
      <w:bookmarkEnd w:id="178"/>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179" w:name="_Toc390078397"/>
      <w:r>
        <w:rPr>
          <w:rStyle w:val="CharSectno"/>
        </w:rPr>
        <w:t>99.</w:t>
      </w:r>
      <w:r>
        <w:rPr>
          <w:rStyle w:val="CharSectno"/>
        </w:rPr>
        <w:tab/>
      </w:r>
      <w:r>
        <w:rPr>
          <w:snapToGrid w:val="0"/>
        </w:rPr>
        <w:t>Conditions of appointment</w:t>
      </w:r>
      <w:bookmarkEnd w:id="179"/>
      <w:r>
        <w:rPr>
          <w:snapToGrid w:val="0"/>
        </w:rPr>
        <w:t xml:space="preserve"> </w:t>
      </w:r>
    </w:p>
    <w:p>
      <w:pPr>
        <w:pStyle w:val="Subsection"/>
        <w:spacing w:before="80"/>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spacing w:before="80"/>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spacing w:before="120"/>
        <w:rPr>
          <w:snapToGrid w:val="0"/>
        </w:rPr>
      </w:pPr>
      <w:bookmarkStart w:id="180" w:name="_Toc390078398"/>
      <w:r>
        <w:rPr>
          <w:rStyle w:val="CharSectno"/>
        </w:rPr>
        <w:t>100</w:t>
      </w:r>
      <w:r>
        <w:rPr>
          <w:snapToGrid w:val="0"/>
        </w:rPr>
        <w:t>.</w:t>
      </w:r>
      <w:r>
        <w:rPr>
          <w:snapToGrid w:val="0"/>
        </w:rPr>
        <w:tab/>
        <w:t>Functions of WorkCover WA</w:t>
      </w:r>
      <w:bookmarkEnd w:id="180"/>
      <w:r>
        <w:rPr>
          <w:snapToGrid w:val="0"/>
        </w:rPr>
        <w:t xml:space="preserve"> </w:t>
      </w:r>
    </w:p>
    <w:p>
      <w:pPr>
        <w:pStyle w:val="Subsection"/>
        <w:spacing w:before="100"/>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No. 77 of 2006 s. 17.] </w:t>
      </w:r>
    </w:p>
    <w:p>
      <w:pPr>
        <w:pStyle w:val="Heading5"/>
        <w:spacing w:before="120"/>
        <w:rPr>
          <w:snapToGrid w:val="0"/>
        </w:rPr>
      </w:pPr>
      <w:bookmarkStart w:id="181" w:name="_Toc390078399"/>
      <w:r>
        <w:rPr>
          <w:rStyle w:val="CharSectno"/>
        </w:rPr>
        <w:t>100A</w:t>
      </w:r>
      <w:r>
        <w:rPr>
          <w:snapToGrid w:val="0"/>
        </w:rPr>
        <w:t>.</w:t>
      </w:r>
      <w:r>
        <w:rPr>
          <w:snapToGrid w:val="0"/>
        </w:rPr>
        <w:tab/>
        <w:t>Advisory committees</w:t>
      </w:r>
      <w:bookmarkEnd w:id="181"/>
      <w:r>
        <w:rPr>
          <w:snapToGrid w:val="0"/>
        </w:rPr>
        <w:t xml:space="preserve"> </w:t>
      </w:r>
    </w:p>
    <w:p>
      <w:pPr>
        <w:pStyle w:val="Subsection"/>
        <w:spacing w:before="10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00"/>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spacing w:before="10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0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spacing w:before="100"/>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spacing w:before="10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 xml:space="preserve">[Section 100A inserted by No. 96 of 1990 s. 22; amended by No. 49 of 1996 s. 64; No. 42 of 2004 s. 88 and 150; No. 77 of 2006 s. 17.] </w:t>
      </w:r>
    </w:p>
    <w:p>
      <w:pPr>
        <w:pStyle w:val="Heading5"/>
      </w:pPr>
      <w:bookmarkStart w:id="182" w:name="_Toc390078400"/>
      <w:r>
        <w:rPr>
          <w:rStyle w:val="CharSectno"/>
        </w:rPr>
        <w:t>100B</w:t>
      </w:r>
      <w:r>
        <w:t>.</w:t>
      </w:r>
      <w:r>
        <w:tab/>
        <w:t>Disclosure of information</w:t>
      </w:r>
      <w:bookmarkEnd w:id="182"/>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spacing w:before="120"/>
        <w:rPr>
          <w:snapToGrid w:val="0"/>
        </w:rPr>
      </w:pPr>
      <w:bookmarkStart w:id="183" w:name="_Toc390078401"/>
      <w:r>
        <w:rPr>
          <w:rStyle w:val="CharSectno"/>
        </w:rPr>
        <w:t>101</w:t>
      </w:r>
      <w:r>
        <w:rPr>
          <w:snapToGrid w:val="0"/>
        </w:rPr>
        <w:t>.</w:t>
      </w:r>
      <w:r>
        <w:rPr>
          <w:snapToGrid w:val="0"/>
        </w:rPr>
        <w:tab/>
        <w:t>Powers</w:t>
      </w:r>
      <w:bookmarkEnd w:id="183"/>
      <w:r>
        <w:rPr>
          <w:snapToGrid w:val="0"/>
        </w:rPr>
        <w:t xml:space="preserve"> </w:t>
      </w:r>
    </w:p>
    <w:p>
      <w:pPr>
        <w:pStyle w:val="Subsection"/>
        <w:spacing w:before="100"/>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spacing w:before="60"/>
        <w:rPr>
          <w:snapToGrid w:val="0"/>
        </w:rPr>
      </w:pPr>
      <w:r>
        <w:rPr>
          <w:snapToGrid w:val="0"/>
        </w:rPr>
        <w:tab/>
        <w:t>(aa)</w:t>
      </w:r>
      <w:r>
        <w:rPr>
          <w:snapToGrid w:val="0"/>
        </w:rPr>
        <w:tab/>
        <w:t>to charge for the provision of any service that it makes available such fees as it determines;</w:t>
      </w:r>
    </w:p>
    <w:p>
      <w:pPr>
        <w:pStyle w:val="Indenta"/>
        <w:spacing w:before="60"/>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spacing w:before="60"/>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w:t>
      </w:r>
    </w:p>
    <w:p>
      <w:pPr>
        <w:pStyle w:val="Indenta"/>
        <w:spacing w:before="60"/>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spacing w:before="60"/>
        <w:rPr>
          <w:snapToGrid w:val="0"/>
        </w:rPr>
      </w:pPr>
      <w:r>
        <w:rPr>
          <w:snapToGrid w:val="0"/>
        </w:rPr>
        <w:tab/>
        <w:t>(cb)</w:t>
      </w:r>
      <w:r>
        <w:rPr>
          <w:snapToGrid w:val="0"/>
        </w:rPr>
        <w:tab/>
        <w:t>to improve, develop or alter real property;</w:t>
      </w:r>
    </w:p>
    <w:p>
      <w:pPr>
        <w:pStyle w:val="Indenta"/>
        <w:spacing w:before="60"/>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spacing w:before="60"/>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spacing w:before="80"/>
        <w:ind w:left="890" w:hanging="890"/>
      </w:pPr>
      <w:r>
        <w:tab/>
        <w:t xml:space="preserve">[Section 101 amended by No. 104 of 1984 s. 4; No. 86 of 1986 s. 5; No. 96 of 1990 s. 23; No. 34 of 1999 s. 34; No. 42 of 2004 s. 90 and 150; No. 77 of 2006 s. 17.] </w:t>
      </w:r>
    </w:p>
    <w:p>
      <w:pPr>
        <w:pStyle w:val="Heading5"/>
        <w:spacing w:before="120"/>
      </w:pPr>
      <w:bookmarkStart w:id="184" w:name="_Toc390078402"/>
      <w:r>
        <w:rPr>
          <w:rStyle w:val="CharSectno"/>
        </w:rPr>
        <w:t>101AA</w:t>
      </w:r>
      <w:r>
        <w:t>.</w:t>
      </w:r>
      <w:r>
        <w:tab/>
        <w:t>Delegation by WorkCover WA</w:t>
      </w:r>
      <w:bookmarkEnd w:id="184"/>
    </w:p>
    <w:p>
      <w:pPr>
        <w:pStyle w:val="Subsection"/>
        <w:spacing w:before="100"/>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185" w:name="_Toc390078403"/>
      <w:r>
        <w:rPr>
          <w:rStyle w:val="CharSectno"/>
        </w:rPr>
        <w:t>101A</w:t>
      </w:r>
      <w:r>
        <w:rPr>
          <w:snapToGrid w:val="0"/>
        </w:rPr>
        <w:t>.</w:t>
      </w:r>
      <w:r>
        <w:rPr>
          <w:snapToGrid w:val="0"/>
        </w:rPr>
        <w:tab/>
        <w:t xml:space="preserve">Borrowings by </w:t>
      </w:r>
      <w:r>
        <w:t>WorkCover WA</w:t>
      </w:r>
      <w:bookmarkEnd w:id="185"/>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186" w:name="_Toc390078404"/>
      <w:r>
        <w:rPr>
          <w:rStyle w:val="CharSectno"/>
        </w:rPr>
        <w:t>101B</w:t>
      </w:r>
      <w:r>
        <w:rPr>
          <w:snapToGrid w:val="0"/>
        </w:rPr>
        <w:t>.</w:t>
      </w:r>
      <w:r>
        <w:rPr>
          <w:snapToGrid w:val="0"/>
        </w:rPr>
        <w:tab/>
        <w:t>Guarantees of borrowings</w:t>
      </w:r>
      <w:bookmarkEnd w:id="186"/>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 xml:space="preserve">[Section 101B inserted by No. 104 of 1984 s. 5; amended by No. 6 of 1993 s. 11; No. 49 of 1996 s. 64; No. 42 of 2004 s. 150; No. 77 of 2006 s. 4.] </w:t>
      </w:r>
    </w:p>
    <w:p>
      <w:pPr>
        <w:pStyle w:val="Heading5"/>
        <w:spacing w:before="260"/>
        <w:rPr>
          <w:snapToGrid w:val="0"/>
        </w:rPr>
      </w:pPr>
      <w:bookmarkStart w:id="187" w:name="_Toc390078405"/>
      <w:r>
        <w:rPr>
          <w:rStyle w:val="CharSectno"/>
        </w:rPr>
        <w:t>102</w:t>
      </w:r>
      <w:r>
        <w:rPr>
          <w:snapToGrid w:val="0"/>
        </w:rPr>
        <w:t>.</w:t>
      </w:r>
      <w:r>
        <w:rPr>
          <w:snapToGrid w:val="0"/>
        </w:rPr>
        <w:tab/>
        <w:t>Limitation on powers</w:t>
      </w:r>
      <w:bookmarkEnd w:id="187"/>
      <w:r>
        <w:rPr>
          <w:snapToGrid w:val="0"/>
        </w:rPr>
        <w:t xml:space="preserve"> </w:t>
      </w:r>
    </w:p>
    <w:p>
      <w:pPr>
        <w:pStyle w:val="Subsection"/>
        <w:spacing w:before="200"/>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spacing w:before="260"/>
        <w:ind w:left="890" w:hanging="890"/>
        <w:outlineLvl w:val="9"/>
      </w:pPr>
      <w:r>
        <w:t>[</w:t>
      </w:r>
      <w:r>
        <w:rPr>
          <w:b/>
        </w:rPr>
        <w:t>103.</w:t>
      </w:r>
      <w:r>
        <w:rPr>
          <w:b/>
        </w:rPr>
        <w:tab/>
      </w:r>
      <w:r>
        <w:t>Repealed by No. 34 of 1999 s. 35.]</w:t>
      </w:r>
    </w:p>
    <w:p>
      <w:pPr>
        <w:pStyle w:val="Heading5"/>
        <w:spacing w:before="260"/>
        <w:rPr>
          <w:snapToGrid w:val="0"/>
        </w:rPr>
      </w:pPr>
      <w:bookmarkStart w:id="188" w:name="_Toc390078406"/>
      <w:r>
        <w:rPr>
          <w:rStyle w:val="CharSectno"/>
        </w:rPr>
        <w:t>103A</w:t>
      </w:r>
      <w:r>
        <w:rPr>
          <w:snapToGrid w:val="0"/>
        </w:rPr>
        <w:t>.</w:t>
      </w:r>
      <w:r>
        <w:rPr>
          <w:snapToGrid w:val="0"/>
        </w:rPr>
        <w:tab/>
        <w:t>Returns</w:t>
      </w:r>
      <w:bookmarkEnd w:id="188"/>
      <w:r>
        <w:rPr>
          <w:snapToGrid w:val="0"/>
        </w:rPr>
        <w:t xml:space="preserve"> </w:t>
      </w:r>
    </w:p>
    <w:p>
      <w:pPr>
        <w:pStyle w:val="Subsection"/>
        <w:spacing w:before="200"/>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189" w:name="_Toc390078407"/>
      <w:r>
        <w:rPr>
          <w:rStyle w:val="CharSectno"/>
        </w:rPr>
        <w:t>104</w:t>
      </w:r>
      <w:r>
        <w:rPr>
          <w:snapToGrid w:val="0"/>
        </w:rPr>
        <w:t>.</w:t>
      </w:r>
      <w:r>
        <w:rPr>
          <w:snapToGrid w:val="0"/>
        </w:rPr>
        <w:tab/>
        <w:t>Publishing and furnishing information</w:t>
      </w:r>
      <w:bookmarkEnd w:id="189"/>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190" w:name="_Toc390078408"/>
      <w:r>
        <w:rPr>
          <w:rStyle w:val="CharDivNo"/>
        </w:rPr>
        <w:t>Division 1AA</w:t>
      </w:r>
      <w:r>
        <w:t> — </w:t>
      </w:r>
      <w:r>
        <w:rPr>
          <w:rStyle w:val="CharDivText"/>
        </w:rPr>
        <w:t>Personal interest</w:t>
      </w:r>
      <w:bookmarkEnd w:id="190"/>
    </w:p>
    <w:p>
      <w:pPr>
        <w:pStyle w:val="Footnoteheading"/>
        <w:tabs>
          <w:tab w:val="left" w:pos="851"/>
        </w:tabs>
      </w:pPr>
      <w:r>
        <w:tab/>
        <w:t>[Heading inserted by No. 42 of 2004 s. 95.]</w:t>
      </w:r>
    </w:p>
    <w:p>
      <w:pPr>
        <w:pStyle w:val="Heading5"/>
        <w:rPr>
          <w:snapToGrid w:val="0"/>
        </w:rPr>
      </w:pPr>
      <w:bookmarkStart w:id="191" w:name="_Toc390078409"/>
      <w:r>
        <w:rPr>
          <w:rStyle w:val="CharSectno"/>
        </w:rPr>
        <w:t>104AA</w:t>
      </w:r>
      <w:r>
        <w:t>.</w:t>
      </w:r>
      <w:r>
        <w:tab/>
        <w:t>D</w:t>
      </w:r>
      <w:r>
        <w:rPr>
          <w:snapToGrid w:val="0"/>
        </w:rPr>
        <w:t>isclosure of interests</w:t>
      </w:r>
      <w:bookmarkEnd w:id="191"/>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192" w:name="_Toc390078410"/>
      <w:r>
        <w:rPr>
          <w:rStyle w:val="CharSectno"/>
        </w:rPr>
        <w:t>104AB</w:t>
      </w:r>
      <w:r>
        <w:rPr>
          <w:snapToGrid w:val="0"/>
        </w:rPr>
        <w:t>.</w:t>
      </w:r>
      <w:r>
        <w:rPr>
          <w:snapToGrid w:val="0"/>
        </w:rPr>
        <w:tab/>
        <w:t>Exclusion of interested member</w:t>
      </w:r>
      <w:bookmarkEnd w:id="192"/>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193" w:name="_Toc390078411"/>
      <w:r>
        <w:rPr>
          <w:rStyle w:val="CharSectno"/>
        </w:rPr>
        <w:t>104AC</w:t>
      </w:r>
      <w:r>
        <w:rPr>
          <w:snapToGrid w:val="0"/>
        </w:rPr>
        <w:t>.</w:t>
      </w:r>
      <w:r>
        <w:rPr>
          <w:snapToGrid w:val="0"/>
        </w:rPr>
        <w:tab/>
        <w:t>Resolution that section 104AB inapplicable</w:t>
      </w:r>
      <w:bookmarkEnd w:id="193"/>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194" w:name="_Toc390078412"/>
      <w:r>
        <w:rPr>
          <w:rStyle w:val="CharSectno"/>
        </w:rPr>
        <w:t>104AD</w:t>
      </w:r>
      <w:r>
        <w:rPr>
          <w:snapToGrid w:val="0"/>
        </w:rPr>
        <w:t>.</w:t>
      </w:r>
      <w:r>
        <w:rPr>
          <w:snapToGrid w:val="0"/>
        </w:rPr>
        <w:tab/>
        <w:t>Quorum where section 104AB applies</w:t>
      </w:r>
      <w:bookmarkEnd w:id="194"/>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rPr>
          <w:snapToGrid w:val="0"/>
        </w:rPr>
      </w:pPr>
      <w:bookmarkStart w:id="195" w:name="_Toc390078413"/>
      <w:r>
        <w:rPr>
          <w:rStyle w:val="CharSectno"/>
        </w:rPr>
        <w:t>104AE</w:t>
      </w:r>
      <w:r>
        <w:rPr>
          <w:snapToGrid w:val="0"/>
        </w:rPr>
        <w:t>.</w:t>
      </w:r>
      <w:r>
        <w:rPr>
          <w:snapToGrid w:val="0"/>
        </w:rPr>
        <w:tab/>
        <w:t>Minister may declare sections 104AB and 104AD inapplicable</w:t>
      </w:r>
      <w:bookmarkEnd w:id="195"/>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p>
      <w:pPr>
        <w:pStyle w:val="Ednotedivision"/>
        <w:outlineLvl w:val="9"/>
      </w:pPr>
      <w:r>
        <w:t>[Division 1A (s. 104A, 104B) repealed by No. 42 of 2004 s. 96.]</w:t>
      </w:r>
    </w:p>
    <w:p>
      <w:pPr>
        <w:pStyle w:val="Heading3"/>
        <w:rPr>
          <w:snapToGrid w:val="0"/>
        </w:rPr>
      </w:pPr>
      <w:bookmarkStart w:id="196" w:name="_Toc390078414"/>
      <w:r>
        <w:rPr>
          <w:rStyle w:val="CharDivNo"/>
        </w:rPr>
        <w:t>Division 2</w:t>
      </w:r>
      <w:r>
        <w:rPr>
          <w:snapToGrid w:val="0"/>
        </w:rPr>
        <w:t> — </w:t>
      </w:r>
      <w:r>
        <w:rPr>
          <w:rStyle w:val="CharDivText"/>
        </w:rPr>
        <w:t>Accounts and audit</w:t>
      </w:r>
      <w:bookmarkEnd w:id="196"/>
      <w:r>
        <w:rPr>
          <w:rStyle w:val="CharDivText"/>
        </w:rPr>
        <w:t xml:space="preserve"> </w:t>
      </w:r>
    </w:p>
    <w:p>
      <w:pPr>
        <w:pStyle w:val="Heading5"/>
        <w:spacing w:before="160"/>
        <w:rPr>
          <w:snapToGrid w:val="0"/>
        </w:rPr>
      </w:pPr>
      <w:bookmarkStart w:id="197" w:name="_Toc390078415"/>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197"/>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No. 77 of 2006 s. 17 .] </w:t>
      </w:r>
    </w:p>
    <w:p>
      <w:pPr>
        <w:pStyle w:val="Heading3"/>
        <w:rPr>
          <w:snapToGrid w:val="0"/>
        </w:rPr>
      </w:pPr>
      <w:bookmarkStart w:id="198" w:name="_Toc390078416"/>
      <w:r>
        <w:rPr>
          <w:rStyle w:val="CharDivNo"/>
        </w:rPr>
        <w:t>Division 3</w:t>
      </w:r>
      <w:r>
        <w:rPr>
          <w:snapToGrid w:val="0"/>
        </w:rPr>
        <w:t> — </w:t>
      </w:r>
      <w:r>
        <w:rPr>
          <w:rStyle w:val="CharDivText"/>
        </w:rPr>
        <w:t>Workers’ Compensation and Injury Management General Fund</w:t>
      </w:r>
      <w:bookmarkEnd w:id="198"/>
      <w:r>
        <w:rPr>
          <w:rStyle w:val="CharDivText"/>
        </w:rPr>
        <w:t xml:space="preserve"> </w:t>
      </w:r>
    </w:p>
    <w:p>
      <w:pPr>
        <w:pStyle w:val="Footnoteheading"/>
        <w:rPr>
          <w:snapToGrid w:val="0"/>
        </w:rPr>
      </w:pPr>
      <w:r>
        <w:rPr>
          <w:snapToGrid w:val="0"/>
        </w:rPr>
        <w:tab/>
        <w:t>[Heading inserted by No. 86 of 1986 s. 7; amended by No. 42 of 2004 s. 97.]</w:t>
      </w:r>
    </w:p>
    <w:p>
      <w:pPr>
        <w:pStyle w:val="Heading5"/>
        <w:keepNext w:val="0"/>
        <w:keepLines w:val="0"/>
        <w:rPr>
          <w:snapToGrid w:val="0"/>
        </w:rPr>
      </w:pPr>
      <w:bookmarkStart w:id="199" w:name="_Toc390078417"/>
      <w:r>
        <w:rPr>
          <w:rStyle w:val="CharSectno"/>
        </w:rPr>
        <w:t>106</w:t>
      </w:r>
      <w:r>
        <w:rPr>
          <w:snapToGrid w:val="0"/>
        </w:rPr>
        <w:t>.</w:t>
      </w:r>
      <w:r>
        <w:rPr>
          <w:snapToGrid w:val="0"/>
        </w:rPr>
        <w:tab/>
        <w:t xml:space="preserve">General </w:t>
      </w:r>
      <w:r>
        <w:t>Account</w:t>
      </w:r>
      <w:bookmarkEnd w:id="199"/>
    </w:p>
    <w:p>
      <w:pPr>
        <w:pStyle w:val="Subsection"/>
      </w:pPr>
      <w:r>
        <w:tab/>
        <w:t>(1)</w:t>
      </w:r>
      <w:r>
        <w:tab/>
        <w:t xml:space="preserve">For the purposes of this Act, an account called the Workers’ Compensation and Injury Management General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Fund</w:t>
      </w:r>
      <w:r>
        <w:rPr>
          <w:snapToGrid w:val="0"/>
        </w:rPr>
        <w:t xml:space="preserve"> under section 6A(1) of the </w:t>
      </w:r>
      <w:r>
        <w:rPr>
          <w:i/>
          <w:snapToGrid w:val="0"/>
        </w:rPr>
        <w:t>Employers’ Indemnity Supplementation Fund Act 1980</w:t>
      </w:r>
      <w:r>
        <w:rPr>
          <w:snapToGrid w:val="0"/>
        </w:rPr>
        <w:t>.</w:t>
      </w:r>
    </w:p>
    <w:p>
      <w:pPr>
        <w:pStyle w:val="Subsection"/>
        <w:spacing w:before="120"/>
        <w:rPr>
          <w:snapToGrid w:val="0"/>
        </w:rPr>
      </w:pPr>
      <w:r>
        <w:rPr>
          <w:snapToGrid w:val="0"/>
        </w:rPr>
        <w:tab/>
        <w:t>(3)</w:t>
      </w:r>
      <w:r>
        <w:rPr>
          <w:snapToGrid w:val="0"/>
        </w:rPr>
        <w:tab/>
        <w:t>There shall be paid from moneys standing to the credit of the General</w:t>
      </w:r>
      <w:r>
        <w:t xml:space="preserve"> Account</w:t>
      </w:r>
      <w:r>
        <w:rPr>
          <w:snapToGrid w:val="0"/>
        </w:rPr>
        <w:t> — </w:t>
      </w:r>
    </w:p>
    <w:p>
      <w:pPr>
        <w:pStyle w:val="Indenta"/>
        <w:spacing w:before="60"/>
      </w:pPr>
      <w:r>
        <w:tab/>
        <w:t>(a)</w:t>
      </w:r>
      <w:r>
        <w:tab/>
      </w:r>
      <w:r>
        <w:rPr>
          <w:snapToGrid w:val="0"/>
        </w:rPr>
        <w:t>all moneys required for the remuneration and allowances of members of the governing body of WorkCover WA and of WorkCover WA’s staff;</w:t>
      </w:r>
    </w:p>
    <w:p>
      <w:pPr>
        <w:pStyle w:val="Indenta"/>
        <w:spacing w:before="60"/>
        <w:rPr>
          <w:snapToGrid w:val="0"/>
        </w:rPr>
      </w:pPr>
      <w:r>
        <w:rPr>
          <w:snapToGrid w:val="0"/>
        </w:rPr>
        <w:tab/>
        <w:t>(b)</w:t>
      </w:r>
      <w:r>
        <w:rPr>
          <w:snapToGrid w:val="0"/>
        </w:rPr>
        <w:tab/>
        <w:t xml:space="preserve">compensation payable by the General </w:t>
      </w:r>
      <w:r>
        <w:t>Account</w:t>
      </w:r>
      <w:r>
        <w:rPr>
          <w:snapToGrid w:val="0"/>
        </w:rPr>
        <w:t xml:space="preserve"> to a worker pursuant to this Act;</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spacing w:before="60"/>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spacing w:before="60"/>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No. 77 of 2006 s. 17.] </w:t>
      </w:r>
    </w:p>
    <w:p>
      <w:pPr>
        <w:pStyle w:val="Heading5"/>
        <w:keepNext w:val="0"/>
        <w:keepLines w:val="0"/>
        <w:rPr>
          <w:snapToGrid w:val="0"/>
        </w:rPr>
      </w:pPr>
      <w:bookmarkStart w:id="200" w:name="_Toc390078418"/>
      <w:r>
        <w:rPr>
          <w:rStyle w:val="CharSectno"/>
        </w:rPr>
        <w:t>107</w:t>
      </w:r>
      <w:r>
        <w:rPr>
          <w:snapToGrid w:val="0"/>
        </w:rPr>
        <w:t>.</w:t>
      </w:r>
      <w:r>
        <w:rPr>
          <w:snapToGrid w:val="0"/>
        </w:rPr>
        <w:tab/>
        <w:t>Estimates</w:t>
      </w:r>
      <w:bookmarkEnd w:id="200"/>
      <w:r>
        <w:rPr>
          <w:snapToGrid w:val="0"/>
        </w:rPr>
        <w:t xml:space="preserve"> </w:t>
      </w:r>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 xml:space="preserve">[Section 107 amended by No. 98 of 1985 s. 3; No. 96 of 1990 s. 27; No. 42 of 2004 s. 150; No. 77 of 2006 s. 17.] </w:t>
      </w:r>
    </w:p>
    <w:p>
      <w:pPr>
        <w:pStyle w:val="Heading5"/>
        <w:rPr>
          <w:snapToGrid w:val="0"/>
        </w:rPr>
      </w:pPr>
      <w:bookmarkStart w:id="201" w:name="_Toc390078419"/>
      <w:r>
        <w:rPr>
          <w:rStyle w:val="CharSectno"/>
        </w:rPr>
        <w:t>108</w:t>
      </w:r>
      <w:r>
        <w:rPr>
          <w:snapToGrid w:val="0"/>
        </w:rPr>
        <w:t>.</w:t>
      </w:r>
      <w:r>
        <w:rPr>
          <w:snapToGrid w:val="0"/>
        </w:rPr>
        <w:tab/>
        <w:t>Total contributions</w:t>
      </w:r>
      <w:bookmarkEnd w:id="201"/>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 17.]</w:t>
      </w:r>
    </w:p>
    <w:p>
      <w:pPr>
        <w:pStyle w:val="Heading5"/>
        <w:rPr>
          <w:snapToGrid w:val="0"/>
        </w:rPr>
      </w:pPr>
      <w:bookmarkStart w:id="202" w:name="_Toc390078420"/>
      <w:r>
        <w:rPr>
          <w:rStyle w:val="CharSectno"/>
        </w:rPr>
        <w:t>109</w:t>
      </w:r>
      <w:r>
        <w:rPr>
          <w:snapToGrid w:val="0"/>
        </w:rPr>
        <w:t>.</w:t>
      </w:r>
      <w:r>
        <w:rPr>
          <w:snapToGrid w:val="0"/>
        </w:rPr>
        <w:tab/>
        <w:t xml:space="preserve">Contributions to General </w:t>
      </w:r>
      <w:r>
        <w:t>Account</w:t>
      </w:r>
      <w:r>
        <w:rPr>
          <w:snapToGrid w:val="0"/>
        </w:rPr>
        <w:t xml:space="preserve"> by insurers</w:t>
      </w:r>
      <w:bookmarkEnd w:id="202"/>
      <w:r>
        <w:rPr>
          <w:snapToGrid w:val="0"/>
        </w:rPr>
        <w:t xml:space="preserve"> </w:t>
      </w:r>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spacing w:before="200"/>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spacing w:before="200"/>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spacing w:before="200"/>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spacing w:before="120"/>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spacing w:before="120"/>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spacing w:before="100"/>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No. 77 of 2006 s. 17.] </w:t>
      </w:r>
    </w:p>
    <w:p>
      <w:pPr>
        <w:pStyle w:val="Heading3"/>
        <w:spacing w:before="120"/>
        <w:rPr>
          <w:snapToGrid w:val="0"/>
        </w:rPr>
      </w:pPr>
      <w:bookmarkStart w:id="203" w:name="_Toc390078421"/>
      <w:r>
        <w:rPr>
          <w:rStyle w:val="CharDivNo"/>
        </w:rPr>
        <w:t>Division 4</w:t>
      </w:r>
      <w:r>
        <w:rPr>
          <w:snapToGrid w:val="0"/>
        </w:rPr>
        <w:t> — </w:t>
      </w:r>
      <w:r>
        <w:rPr>
          <w:rStyle w:val="CharDivText"/>
        </w:rPr>
        <w:t>Workers’ Compensation and Injury Management Trust Fund</w:t>
      </w:r>
      <w:bookmarkEnd w:id="203"/>
      <w:r>
        <w:rPr>
          <w:rStyle w:val="CharDivText"/>
        </w:rPr>
        <w:t xml:space="preserve"> </w:t>
      </w:r>
    </w:p>
    <w:p>
      <w:pPr>
        <w:pStyle w:val="Footnoteheading"/>
        <w:rPr>
          <w:snapToGrid w:val="0"/>
        </w:rPr>
      </w:pPr>
      <w:r>
        <w:rPr>
          <w:snapToGrid w:val="0"/>
        </w:rPr>
        <w:tab/>
        <w:t>[Heading inserted by No. 86 of 1986 s. 7; amended by No. 42 of 2004 s. 100.]</w:t>
      </w:r>
    </w:p>
    <w:p>
      <w:pPr>
        <w:pStyle w:val="Heading5"/>
        <w:spacing w:before="120"/>
        <w:rPr>
          <w:snapToGrid w:val="0"/>
        </w:rPr>
      </w:pPr>
      <w:bookmarkStart w:id="204" w:name="_Toc390078422"/>
      <w:r>
        <w:rPr>
          <w:rStyle w:val="CharSectno"/>
        </w:rPr>
        <w:t>110</w:t>
      </w:r>
      <w:r>
        <w:rPr>
          <w:snapToGrid w:val="0"/>
        </w:rPr>
        <w:t>.</w:t>
      </w:r>
      <w:r>
        <w:rPr>
          <w:snapToGrid w:val="0"/>
        </w:rPr>
        <w:tab/>
        <w:t xml:space="preserve">Trust </w:t>
      </w:r>
      <w:r>
        <w:t>Account</w:t>
      </w:r>
      <w:bookmarkEnd w:id="204"/>
    </w:p>
    <w:p>
      <w:pPr>
        <w:pStyle w:val="Subsection"/>
      </w:pPr>
      <w:r>
        <w:tab/>
        <w:t>(1)</w:t>
      </w:r>
      <w:r>
        <w:tab/>
        <w:t xml:space="preserve">For the purposes of this Act, an account called the Workers’ Compensation and Injury Management Trust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No. 77 of 2006 s. 17.] </w:t>
      </w:r>
    </w:p>
    <w:p>
      <w:pPr>
        <w:pStyle w:val="Heading3"/>
        <w:rPr>
          <w:snapToGrid w:val="0"/>
        </w:rPr>
      </w:pPr>
      <w:bookmarkStart w:id="205" w:name="_Toc390078423"/>
      <w:r>
        <w:rPr>
          <w:rStyle w:val="CharDivNo"/>
        </w:rPr>
        <w:t>Division 5</w:t>
      </w:r>
      <w:r>
        <w:rPr>
          <w:snapToGrid w:val="0"/>
        </w:rPr>
        <w:t> — </w:t>
      </w:r>
      <w:r>
        <w:rPr>
          <w:rStyle w:val="CharDivText"/>
        </w:rPr>
        <w:t>Ministerial control</w:t>
      </w:r>
      <w:bookmarkEnd w:id="205"/>
      <w:r>
        <w:rPr>
          <w:rStyle w:val="CharDivText"/>
        </w:rPr>
        <w:t xml:space="preserve"> </w:t>
      </w:r>
    </w:p>
    <w:p>
      <w:pPr>
        <w:pStyle w:val="Heading5"/>
        <w:rPr>
          <w:snapToGrid w:val="0"/>
        </w:rPr>
      </w:pPr>
      <w:bookmarkStart w:id="206" w:name="_Toc390078424"/>
      <w:r>
        <w:rPr>
          <w:rStyle w:val="CharSectno"/>
        </w:rPr>
        <w:t>111</w:t>
      </w:r>
      <w:r>
        <w:rPr>
          <w:snapToGrid w:val="0"/>
        </w:rPr>
        <w:t>.</w:t>
      </w:r>
      <w:r>
        <w:rPr>
          <w:snapToGrid w:val="0"/>
        </w:rPr>
        <w:tab/>
        <w:t>Minister may give directions</w:t>
      </w:r>
      <w:bookmarkEnd w:id="206"/>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 xml:space="preserve">[Section 111 inserted by No. 72 of 1992 s. 14; amended by No. 42 of 2004 s. 102 and 150; No. 77 of 2006 s. 17.] </w:t>
      </w:r>
    </w:p>
    <w:p>
      <w:pPr>
        <w:pStyle w:val="Heading5"/>
        <w:spacing w:before="160"/>
        <w:rPr>
          <w:snapToGrid w:val="0"/>
        </w:rPr>
      </w:pPr>
      <w:bookmarkStart w:id="207" w:name="_Toc390078425"/>
      <w:r>
        <w:rPr>
          <w:rStyle w:val="CharSectno"/>
        </w:rPr>
        <w:t>111A</w:t>
      </w:r>
      <w:r>
        <w:rPr>
          <w:snapToGrid w:val="0"/>
        </w:rPr>
        <w:t>.</w:t>
      </w:r>
      <w:r>
        <w:rPr>
          <w:snapToGrid w:val="0"/>
        </w:rPr>
        <w:tab/>
        <w:t>Minister to have access to information</w:t>
      </w:r>
      <w:bookmarkEnd w:id="207"/>
      <w:r>
        <w:rPr>
          <w:snapToGrid w:val="0"/>
        </w:rPr>
        <w:t xml:space="preserve"> </w:t>
      </w:r>
    </w:p>
    <w:p>
      <w:pPr>
        <w:pStyle w:val="Subsection"/>
        <w:spacing w:before="80"/>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8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spacing w:before="80"/>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spacing w:before="80"/>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outlineLvl w:val="9"/>
      </w:pPr>
      <w:r>
        <w:t>[Part VI:</w:t>
      </w:r>
      <w:r>
        <w:tab/>
        <w:t>s. 112</w:t>
      </w:r>
      <w:r>
        <w:noBreakHyphen/>
        <w:t>120 repealed by No. 42 of 2004 s. 103;</w:t>
      </w:r>
      <w:r>
        <w:br/>
        <w:t>s. 121</w:t>
      </w:r>
      <w:r>
        <w:noBreakHyphen/>
        <w:t>144 repealed by No. 48 of 1993 s. 24.]</w:t>
      </w:r>
    </w:p>
    <w:p>
      <w:pPr>
        <w:pStyle w:val="Heading2"/>
      </w:pPr>
      <w:bookmarkStart w:id="208" w:name="_Toc390078426"/>
      <w:r>
        <w:rPr>
          <w:rStyle w:val="CharPartNo"/>
        </w:rPr>
        <w:t>Part VII</w:t>
      </w:r>
      <w:r>
        <w:rPr>
          <w:b w:val="0"/>
        </w:rPr>
        <w:t> </w:t>
      </w:r>
      <w:r>
        <w:t>—</w:t>
      </w:r>
      <w:r>
        <w:rPr>
          <w:b w:val="0"/>
        </w:rPr>
        <w:t> </w:t>
      </w:r>
      <w:r>
        <w:rPr>
          <w:rStyle w:val="CharPartText"/>
        </w:rPr>
        <w:t>Medical assessment and assessment for specialised retraining programs</w:t>
      </w:r>
      <w:bookmarkEnd w:id="208"/>
    </w:p>
    <w:p>
      <w:pPr>
        <w:pStyle w:val="Footnoteheading"/>
      </w:pPr>
      <w:r>
        <w:tab/>
        <w:t>[Heading inserted by No. 42 of 2004 s. 104.]</w:t>
      </w:r>
    </w:p>
    <w:p>
      <w:pPr>
        <w:pStyle w:val="Heading3"/>
      </w:pPr>
      <w:bookmarkStart w:id="209" w:name="_Toc390078427"/>
      <w:r>
        <w:rPr>
          <w:rStyle w:val="CharDivNo"/>
        </w:rPr>
        <w:t>Division 1</w:t>
      </w:r>
      <w:r>
        <w:t> — </w:t>
      </w:r>
      <w:r>
        <w:rPr>
          <w:rStyle w:val="CharDivText"/>
        </w:rPr>
        <w:t>Medical assessment panels</w:t>
      </w:r>
      <w:bookmarkEnd w:id="209"/>
    </w:p>
    <w:p>
      <w:pPr>
        <w:pStyle w:val="Footnoteheading"/>
      </w:pPr>
      <w:r>
        <w:tab/>
        <w:t>[Heading inserted by No. 42 of 2004 s. 104.]</w:t>
      </w:r>
    </w:p>
    <w:p>
      <w:pPr>
        <w:pStyle w:val="Heading5"/>
        <w:spacing w:before="120"/>
        <w:rPr>
          <w:snapToGrid w:val="0"/>
        </w:rPr>
      </w:pPr>
      <w:bookmarkStart w:id="210" w:name="_Toc390078428"/>
      <w:r>
        <w:rPr>
          <w:rStyle w:val="CharSectno"/>
        </w:rPr>
        <w:t>145</w:t>
      </w:r>
      <w:r>
        <w:rPr>
          <w:snapToGrid w:val="0"/>
        </w:rPr>
        <w:t>.</w:t>
      </w:r>
      <w:r>
        <w:rPr>
          <w:snapToGrid w:val="0"/>
        </w:rPr>
        <w:tab/>
        <w:t>Exclusion</w:t>
      </w:r>
      <w:bookmarkEnd w:id="210"/>
      <w:r>
        <w:rPr>
          <w:snapToGrid w:val="0"/>
        </w:rPr>
        <w:t xml:space="preserve"> </w:t>
      </w:r>
    </w:p>
    <w:p>
      <w:pPr>
        <w:pStyle w:val="Subsection"/>
        <w:spacing w:before="8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pPr>
      <w:r>
        <w:tab/>
        <w:t>[Section 145 inserted by No. 48 of 1993 s. 25.]</w:t>
      </w:r>
    </w:p>
    <w:p>
      <w:pPr>
        <w:pStyle w:val="Heading5"/>
        <w:spacing w:before="120"/>
        <w:rPr>
          <w:rStyle w:val="CharSectno"/>
        </w:rPr>
      </w:pPr>
      <w:bookmarkStart w:id="211" w:name="_Toc390078429"/>
      <w:r>
        <w:rPr>
          <w:rStyle w:val="CharSectno"/>
        </w:rPr>
        <w:t>145A.</w:t>
      </w:r>
      <w:r>
        <w:rPr>
          <w:rStyle w:val="CharSectno"/>
        </w:rPr>
        <w:tab/>
        <w:t>Questions that have to be referred</w:t>
      </w:r>
      <w:bookmarkEnd w:id="211"/>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212" w:name="_Toc390078430"/>
      <w:r>
        <w:rPr>
          <w:rStyle w:val="CharSectno"/>
        </w:rPr>
        <w:t>145B</w:t>
      </w:r>
      <w:r>
        <w:rPr>
          <w:snapToGrid w:val="0"/>
        </w:rPr>
        <w:t>.</w:t>
      </w:r>
      <w:r>
        <w:rPr>
          <w:snapToGrid w:val="0"/>
        </w:rPr>
        <w:tab/>
        <w:t>Register for panel membership</w:t>
      </w:r>
      <w:bookmarkEnd w:id="212"/>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213" w:name="_Toc390078431"/>
      <w:r>
        <w:rPr>
          <w:rStyle w:val="CharSectno"/>
        </w:rPr>
        <w:t>145C</w:t>
      </w:r>
      <w:r>
        <w:rPr>
          <w:snapToGrid w:val="0"/>
        </w:rPr>
        <w:t>.</w:t>
      </w:r>
      <w:r>
        <w:rPr>
          <w:snapToGrid w:val="0"/>
        </w:rPr>
        <w:tab/>
        <w:t>Panel to be constituted</w:t>
      </w:r>
      <w:bookmarkEnd w:id="213"/>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214" w:name="_Toc390078432"/>
      <w:r>
        <w:rPr>
          <w:rStyle w:val="CharSectno"/>
        </w:rPr>
        <w:t>145D</w:t>
      </w:r>
      <w:r>
        <w:rPr>
          <w:snapToGrid w:val="0"/>
        </w:rPr>
        <w:t>.</w:t>
      </w:r>
      <w:r>
        <w:rPr>
          <w:snapToGrid w:val="0"/>
        </w:rPr>
        <w:tab/>
        <w:t>Procedures</w:t>
      </w:r>
      <w:bookmarkEnd w:id="214"/>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215" w:name="_Toc390078433"/>
      <w:r>
        <w:rPr>
          <w:rStyle w:val="CharSectno"/>
        </w:rPr>
        <w:t>145E</w:t>
      </w:r>
      <w:r>
        <w:rPr>
          <w:snapToGrid w:val="0"/>
        </w:rPr>
        <w:t>.</w:t>
      </w:r>
      <w:r>
        <w:rPr>
          <w:snapToGrid w:val="0"/>
        </w:rPr>
        <w:tab/>
        <w:t>Determinations</w:t>
      </w:r>
      <w:bookmarkEnd w:id="215"/>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216" w:name="_Toc390078434"/>
      <w:r>
        <w:rPr>
          <w:rStyle w:val="CharSectno"/>
        </w:rPr>
        <w:t>145F</w:t>
      </w:r>
      <w:r>
        <w:rPr>
          <w:snapToGrid w:val="0"/>
        </w:rPr>
        <w:t>.</w:t>
      </w:r>
      <w:r>
        <w:rPr>
          <w:snapToGrid w:val="0"/>
        </w:rPr>
        <w:tab/>
        <w:t>Review</w:t>
      </w:r>
      <w:bookmarkEnd w:id="216"/>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217" w:name="_Toc390078435"/>
      <w:r>
        <w:rPr>
          <w:rStyle w:val="CharSectno"/>
        </w:rPr>
        <w:t>145G</w:t>
      </w:r>
      <w:r>
        <w:rPr>
          <w:snapToGrid w:val="0"/>
        </w:rPr>
        <w:t>.</w:t>
      </w:r>
      <w:r>
        <w:rPr>
          <w:snapToGrid w:val="0"/>
        </w:rPr>
        <w:tab/>
        <w:t>Remuneration</w:t>
      </w:r>
      <w:bookmarkEnd w:id="217"/>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pPr>
      <w:r>
        <w:tab/>
        <w:t>[Section 145G inserted by No. 48 of 1993 s. 25; amended by No. 49 of 1996 s. 64; No. 42 of 2004 s. 150; No. 77 of 2006 s. 17.]</w:t>
      </w:r>
    </w:p>
    <w:p>
      <w:pPr>
        <w:pStyle w:val="Heading3"/>
      </w:pPr>
      <w:bookmarkStart w:id="218" w:name="_Toc390078436"/>
      <w:r>
        <w:rPr>
          <w:rStyle w:val="CharDivNo"/>
        </w:rPr>
        <w:t>Division 2</w:t>
      </w:r>
      <w:r>
        <w:t> — </w:t>
      </w:r>
      <w:r>
        <w:rPr>
          <w:rStyle w:val="CharDivText"/>
        </w:rPr>
        <w:t>Assessing degree of impairment</w:t>
      </w:r>
      <w:bookmarkEnd w:id="218"/>
    </w:p>
    <w:p>
      <w:pPr>
        <w:pStyle w:val="Footnoteheading"/>
      </w:pPr>
      <w:r>
        <w:tab/>
        <w:t>[Heading inserted by No. 42 of 2004 s. 109.]</w:t>
      </w:r>
    </w:p>
    <w:p>
      <w:pPr>
        <w:pStyle w:val="Heading5"/>
      </w:pPr>
      <w:bookmarkStart w:id="219" w:name="_Toc390078437"/>
      <w:r>
        <w:rPr>
          <w:rStyle w:val="CharSectno"/>
        </w:rPr>
        <w:t>146</w:t>
      </w:r>
      <w:r>
        <w:t>.</w:t>
      </w:r>
      <w:r>
        <w:tab/>
        <w:t>Degree of impairment</w:t>
      </w:r>
      <w:bookmarkEnd w:id="219"/>
    </w:p>
    <w:p>
      <w:pPr>
        <w:pStyle w:val="Subsection"/>
      </w:pPr>
      <w:r>
        <w:tab/>
      </w:r>
      <w:r>
        <w:tab/>
        <w:t xml:space="preserve">In this Part — </w:t>
      </w:r>
    </w:p>
    <w:p>
      <w:pPr>
        <w:pStyle w:val="Defstart"/>
      </w:pPr>
      <w:r>
        <w:rPr>
          <w:b/>
        </w:rPr>
        <w:tab/>
      </w:r>
      <w:r>
        <w:rPr>
          <w:rStyle w:val="CharDefText"/>
        </w:rPr>
        <w:t>degree of impairment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20" w:name="_Toc390078438"/>
      <w:r>
        <w:rPr>
          <w:rStyle w:val="CharSectno"/>
        </w:rPr>
        <w:t>146A</w:t>
      </w:r>
      <w:r>
        <w:t>.</w:t>
      </w:r>
      <w:r>
        <w:tab/>
        <w:t>Evaluation of impairment generally</w:t>
      </w:r>
      <w:bookmarkEnd w:id="220"/>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by No. 42 of 2004 s. 109.]</w:t>
      </w:r>
    </w:p>
    <w:p>
      <w:pPr>
        <w:pStyle w:val="Heading5"/>
      </w:pPr>
      <w:bookmarkStart w:id="221" w:name="_Toc390078439"/>
      <w:r>
        <w:rPr>
          <w:rStyle w:val="CharSectno"/>
        </w:rPr>
        <w:t>146B</w:t>
      </w:r>
      <w:r>
        <w:t>.</w:t>
      </w:r>
      <w:r>
        <w:tab/>
        <w:t>Evaluation for the purposes of Part III Division 2A</w:t>
      </w:r>
      <w:bookmarkEnd w:id="221"/>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by No. 42 of 2004 s. 109.]</w:t>
      </w:r>
    </w:p>
    <w:p>
      <w:pPr>
        <w:pStyle w:val="Heading5"/>
      </w:pPr>
      <w:bookmarkStart w:id="222" w:name="_Toc390078440"/>
      <w:r>
        <w:rPr>
          <w:rStyle w:val="CharSectno"/>
        </w:rPr>
        <w:t>146C</w:t>
      </w:r>
      <w:r>
        <w:t>.</w:t>
      </w:r>
      <w:r>
        <w:tab/>
        <w:t>Evaluation for purposes of Part IV Division 2 Subdivision 3</w:t>
      </w:r>
      <w:bookmarkEnd w:id="222"/>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by No. 42 of 2004 s. 109.]</w:t>
      </w:r>
    </w:p>
    <w:p>
      <w:pPr>
        <w:pStyle w:val="Heading5"/>
      </w:pPr>
      <w:bookmarkStart w:id="223" w:name="_Toc390078441"/>
      <w:r>
        <w:rPr>
          <w:rStyle w:val="CharSectno"/>
        </w:rPr>
        <w:t>146D</w:t>
      </w:r>
      <w:r>
        <w:t>.</w:t>
      </w:r>
      <w:r>
        <w:tab/>
        <w:t>Evaluation for the purposes of Part IXA</w:t>
      </w:r>
      <w:bookmarkEnd w:id="223"/>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by No. 42 of 2004 s. 109.]</w:t>
      </w:r>
    </w:p>
    <w:p>
      <w:pPr>
        <w:pStyle w:val="Heading5"/>
      </w:pPr>
      <w:bookmarkStart w:id="224" w:name="_Toc390078442"/>
      <w:r>
        <w:rPr>
          <w:rStyle w:val="CharSectno"/>
        </w:rPr>
        <w:t>146E</w:t>
      </w:r>
      <w:r>
        <w:t>.</w:t>
      </w:r>
      <w:r>
        <w:tab/>
        <w:t>Evaluation for the purposes of clause 18A</w:t>
      </w:r>
      <w:bookmarkEnd w:id="224"/>
    </w:p>
    <w:p>
      <w:pPr>
        <w:pStyle w:val="Subsection"/>
      </w:pPr>
      <w:r>
        <w:tab/>
        <w:t>(1)</w:t>
      </w:r>
      <w:r>
        <w:tab/>
        <w:t>This section applies to an evaluation of a worker’s degree of permanent whole of person impairment for the purposes of clause 18A.</w:t>
      </w:r>
    </w:p>
    <w:p>
      <w:pPr>
        <w:pStyle w:val="Subsection"/>
      </w:pPr>
      <w:r>
        <w:tab/>
        <w:t>(2)</w:t>
      </w:r>
      <w:r>
        <w:tab/>
        <w:t xml:space="preserve">The evaluation (a </w:t>
      </w:r>
      <w:r>
        <w:rPr>
          <w:rStyle w:val="CharDefText"/>
        </w:rPr>
        <w:t>special evaluation</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by No. 42 of 2004 s. 109.]</w:t>
      </w:r>
    </w:p>
    <w:p>
      <w:pPr>
        <w:pStyle w:val="Heading5"/>
      </w:pPr>
      <w:bookmarkStart w:id="225" w:name="_Toc390078443"/>
      <w:r>
        <w:rPr>
          <w:rStyle w:val="CharSectno"/>
        </w:rPr>
        <w:t>146F</w:t>
      </w:r>
      <w:r>
        <w:t>.</w:t>
      </w:r>
      <w:r>
        <w:tab/>
        <w:t>Approved medical specialist</w:t>
      </w:r>
      <w:bookmarkEnd w:id="225"/>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r>
        <w:tab/>
        <w:t>[Section 146F inserted by No. 42 of 2004 s. 109.]</w:t>
      </w:r>
    </w:p>
    <w:p>
      <w:pPr>
        <w:pStyle w:val="Heading5"/>
      </w:pPr>
      <w:bookmarkStart w:id="226" w:name="_Toc390078444"/>
      <w:r>
        <w:rPr>
          <w:rStyle w:val="CharSectno"/>
        </w:rPr>
        <w:t>146G</w:t>
      </w:r>
      <w:r>
        <w:t>.</w:t>
      </w:r>
      <w:r>
        <w:tab/>
        <w:t>Powers of approved medical specialist</w:t>
      </w:r>
      <w:bookmarkEnd w:id="226"/>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by No. 42 of 2004 s. 109.]</w:t>
      </w:r>
    </w:p>
    <w:p>
      <w:pPr>
        <w:pStyle w:val="Heading5"/>
      </w:pPr>
      <w:bookmarkStart w:id="227" w:name="_Toc390078445"/>
      <w:r>
        <w:rPr>
          <w:rStyle w:val="CharSectno"/>
        </w:rPr>
        <w:t>146H</w:t>
      </w:r>
      <w:r>
        <w:t>.</w:t>
      </w:r>
      <w:r>
        <w:tab/>
        <w:t>Outcome of assessment</w:t>
      </w:r>
      <w:bookmarkEnd w:id="227"/>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by No. 42 of 2004 s. 109; amended by No. 16 of 2005 s. 18.]</w:t>
      </w:r>
    </w:p>
    <w:p>
      <w:pPr>
        <w:pStyle w:val="Heading5"/>
      </w:pPr>
      <w:bookmarkStart w:id="228" w:name="_Toc390078446"/>
      <w:r>
        <w:rPr>
          <w:rStyle w:val="CharSectno"/>
        </w:rPr>
        <w:t>146I</w:t>
      </w:r>
      <w:r>
        <w:t>.</w:t>
      </w:r>
      <w:r>
        <w:tab/>
        <w:t>Release of information relevant to assessment</w:t>
      </w:r>
      <w:bookmarkEnd w:id="228"/>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r>
        <w:tab/>
        <w:t>[Section 146I inserted by No. 42 of 2004 s. 109.]</w:t>
      </w:r>
    </w:p>
    <w:p>
      <w:pPr>
        <w:pStyle w:val="Heading5"/>
      </w:pPr>
      <w:bookmarkStart w:id="229" w:name="_Toc390078447"/>
      <w:r>
        <w:rPr>
          <w:rStyle w:val="CharSectno"/>
        </w:rPr>
        <w:t>146J</w:t>
      </w:r>
      <w:r>
        <w:t>.</w:t>
      </w:r>
      <w:r>
        <w:tab/>
        <w:t>Decisions of approved medical specialist</w:t>
      </w:r>
      <w:bookmarkEnd w:id="229"/>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pPr>
      <w:r>
        <w:tab/>
        <w:t>[Section 146J inserted by No. 42 of 2004 s. 109.]</w:t>
      </w:r>
    </w:p>
    <w:p>
      <w:pPr>
        <w:pStyle w:val="Heading3"/>
      </w:pPr>
      <w:bookmarkStart w:id="230" w:name="_Toc390078448"/>
      <w:r>
        <w:rPr>
          <w:rStyle w:val="CharDivNo"/>
        </w:rPr>
        <w:t>Division 3</w:t>
      </w:r>
      <w:r>
        <w:t> — </w:t>
      </w:r>
      <w:r>
        <w:rPr>
          <w:rStyle w:val="CharDivText"/>
        </w:rPr>
        <w:t>Approved medical specialist panels</w:t>
      </w:r>
      <w:bookmarkEnd w:id="230"/>
    </w:p>
    <w:p>
      <w:pPr>
        <w:pStyle w:val="Footnoteheading"/>
      </w:pPr>
      <w:r>
        <w:tab/>
        <w:t>[Heading inserted by No. 42 of 2004 s. 109.]</w:t>
      </w:r>
    </w:p>
    <w:p>
      <w:pPr>
        <w:pStyle w:val="Heading5"/>
      </w:pPr>
      <w:bookmarkStart w:id="231" w:name="_Toc390078449"/>
      <w:r>
        <w:rPr>
          <w:rStyle w:val="CharSectno"/>
        </w:rPr>
        <w:t>146K</w:t>
      </w:r>
      <w:r>
        <w:t>.</w:t>
      </w:r>
      <w:r>
        <w:tab/>
        <w:t>Panel to be constituted</w:t>
      </w:r>
      <w:bookmarkEnd w:id="231"/>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r>
        <w:tab/>
        <w:t>[Section 146K inserted by No. 42 of 2004 s. 109.]</w:t>
      </w:r>
    </w:p>
    <w:p>
      <w:pPr>
        <w:pStyle w:val="Heading5"/>
      </w:pPr>
      <w:bookmarkStart w:id="232" w:name="_Toc390078450"/>
      <w:r>
        <w:rPr>
          <w:rStyle w:val="CharSectno"/>
        </w:rPr>
        <w:t>146L</w:t>
      </w:r>
      <w:r>
        <w:t>.</w:t>
      </w:r>
      <w:r>
        <w:tab/>
        <w:t>Procedures</w:t>
      </w:r>
      <w:bookmarkEnd w:id="232"/>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by No. 42 of 2004 s. 109.]</w:t>
      </w:r>
    </w:p>
    <w:p>
      <w:pPr>
        <w:pStyle w:val="Heading5"/>
      </w:pPr>
      <w:bookmarkStart w:id="233" w:name="_Toc390078451"/>
      <w:r>
        <w:rPr>
          <w:rStyle w:val="CharSectno"/>
        </w:rPr>
        <w:t>146M</w:t>
      </w:r>
      <w:r>
        <w:t>.</w:t>
      </w:r>
      <w:r>
        <w:tab/>
        <w:t>Failure to comply with requirement of approved medical specialist panel</w:t>
      </w:r>
      <w:bookmarkEnd w:id="233"/>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by No. 42 of 2004 s. 109.]</w:t>
      </w:r>
    </w:p>
    <w:p>
      <w:pPr>
        <w:pStyle w:val="Heading5"/>
      </w:pPr>
      <w:bookmarkStart w:id="234" w:name="_Toc390078452"/>
      <w:r>
        <w:rPr>
          <w:rStyle w:val="CharSectno"/>
        </w:rPr>
        <w:t>146N</w:t>
      </w:r>
      <w:r>
        <w:t>.</w:t>
      </w:r>
      <w:r>
        <w:tab/>
        <w:t>Assessment of impairment by approved medical specialist panel</w:t>
      </w:r>
      <w:bookmarkEnd w:id="234"/>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by No. 42 of 2004 s. 109.]</w:t>
      </w:r>
    </w:p>
    <w:p>
      <w:pPr>
        <w:pStyle w:val="Heading5"/>
      </w:pPr>
      <w:bookmarkStart w:id="235" w:name="_Toc390078453"/>
      <w:r>
        <w:rPr>
          <w:rStyle w:val="CharSectno"/>
        </w:rPr>
        <w:t>146O</w:t>
      </w:r>
      <w:r>
        <w:t>.</w:t>
      </w:r>
      <w:r>
        <w:tab/>
        <w:t>Outcome of assessment by approved medical specialist panel</w:t>
      </w:r>
      <w:bookmarkEnd w:id="235"/>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r>
        <w:tab/>
        <w:t>[Section 146O inserted by No. 42 of 2004 s. 109; amended by No. 16 of 2005 s. 19.]</w:t>
      </w:r>
    </w:p>
    <w:p>
      <w:pPr>
        <w:pStyle w:val="Heading5"/>
      </w:pPr>
      <w:bookmarkStart w:id="236" w:name="_Toc390078454"/>
      <w:r>
        <w:rPr>
          <w:rStyle w:val="CharSectno"/>
        </w:rPr>
        <w:t>146P</w:t>
      </w:r>
      <w:r>
        <w:t>.</w:t>
      </w:r>
      <w:r>
        <w:tab/>
        <w:t>No assessment without unanimous agreement</w:t>
      </w:r>
      <w:bookmarkEnd w:id="236"/>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by No. 42 of 2004 s. 109.]</w:t>
      </w:r>
    </w:p>
    <w:p>
      <w:pPr>
        <w:pStyle w:val="Heading5"/>
      </w:pPr>
      <w:bookmarkStart w:id="237" w:name="_Toc390078455"/>
      <w:r>
        <w:rPr>
          <w:rStyle w:val="CharSectno"/>
        </w:rPr>
        <w:t>146Q</w:t>
      </w:r>
      <w:r>
        <w:t>.</w:t>
      </w:r>
      <w:r>
        <w:tab/>
        <w:t>Remuneration</w:t>
      </w:r>
      <w:bookmarkEnd w:id="237"/>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r>
        <w:tab/>
        <w:t>[Section 146Q inserted by No. 42 of 2004 s. 109; amended by No. 77 of 2006 s. 17.]</w:t>
      </w:r>
    </w:p>
    <w:p>
      <w:pPr>
        <w:pStyle w:val="Heading3"/>
      </w:pPr>
      <w:bookmarkStart w:id="238" w:name="_Toc390078456"/>
      <w:r>
        <w:rPr>
          <w:rStyle w:val="CharDivNo"/>
        </w:rPr>
        <w:t>Division 4</w:t>
      </w:r>
      <w:r>
        <w:t xml:space="preserve"> — </w:t>
      </w:r>
      <w:r>
        <w:rPr>
          <w:rStyle w:val="CharDivText"/>
        </w:rPr>
        <w:t>WorkCover Guides</w:t>
      </w:r>
      <w:bookmarkEnd w:id="238"/>
    </w:p>
    <w:p>
      <w:pPr>
        <w:pStyle w:val="Footnoteheading"/>
        <w:keepNext/>
      </w:pPr>
      <w:r>
        <w:tab/>
        <w:t>[Heading inserted by No. 42 of 2004 s. 109.]</w:t>
      </w:r>
    </w:p>
    <w:p>
      <w:pPr>
        <w:pStyle w:val="Heading5"/>
      </w:pPr>
      <w:bookmarkStart w:id="239" w:name="_Toc390078457"/>
      <w:r>
        <w:rPr>
          <w:rStyle w:val="CharSectno"/>
        </w:rPr>
        <w:t>146R</w:t>
      </w:r>
      <w:r>
        <w:t>.</w:t>
      </w:r>
      <w:r>
        <w:tab/>
        <w:t>WorkCover Guides</w:t>
      </w:r>
      <w:bookmarkEnd w:id="239"/>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240" w:name="_Toc390078458"/>
      <w:r>
        <w:rPr>
          <w:rStyle w:val="CharDivNo"/>
        </w:rPr>
        <w:t>Division 5</w:t>
      </w:r>
      <w:r>
        <w:t> — </w:t>
      </w:r>
      <w:r>
        <w:rPr>
          <w:rStyle w:val="CharDivText"/>
        </w:rPr>
        <w:t>Assessment for specialised retraining programs</w:t>
      </w:r>
      <w:bookmarkEnd w:id="240"/>
    </w:p>
    <w:p>
      <w:pPr>
        <w:pStyle w:val="Footnoteheading"/>
      </w:pPr>
      <w:r>
        <w:tab/>
        <w:t>[Heading inserted by No. 42 of 2004 s. 110.]</w:t>
      </w:r>
    </w:p>
    <w:p>
      <w:pPr>
        <w:pStyle w:val="Heading5"/>
      </w:pPr>
      <w:bookmarkStart w:id="241" w:name="_Toc390078459"/>
      <w:r>
        <w:rPr>
          <w:rStyle w:val="CharSectno"/>
        </w:rPr>
        <w:t>146S</w:t>
      </w:r>
      <w:r>
        <w:t>.</w:t>
      </w:r>
      <w:r>
        <w:tab/>
        <w:t>Register for panel membership</w:t>
      </w:r>
      <w:bookmarkEnd w:id="241"/>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by No. 42 of 2004 s. 110.]</w:t>
      </w:r>
    </w:p>
    <w:p>
      <w:pPr>
        <w:pStyle w:val="Heading5"/>
      </w:pPr>
      <w:bookmarkStart w:id="242" w:name="_Toc390078460"/>
      <w:r>
        <w:rPr>
          <w:rStyle w:val="CharSectno"/>
        </w:rPr>
        <w:t>146T</w:t>
      </w:r>
      <w:r>
        <w:t>.</w:t>
      </w:r>
      <w:r>
        <w:tab/>
        <w:t>Panel to be constituted</w:t>
      </w:r>
      <w:bookmarkEnd w:id="242"/>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pPr>
      <w:r>
        <w:tab/>
        <w:t>(4)</w:t>
      </w:r>
      <w:r>
        <w:tab/>
        <w:t>The Director is to nominate one of the members of the panel to be its chairman.</w:t>
      </w:r>
    </w:p>
    <w:p>
      <w:pPr>
        <w:pStyle w:val="Footnotesection"/>
      </w:pPr>
      <w:r>
        <w:tab/>
        <w:t>[Section 146T inserted by No. 42 of 2004 s. 110.]</w:t>
      </w:r>
    </w:p>
    <w:p>
      <w:pPr>
        <w:pStyle w:val="Heading5"/>
      </w:pPr>
      <w:bookmarkStart w:id="243" w:name="_Toc390078461"/>
      <w:r>
        <w:rPr>
          <w:rStyle w:val="CharSectno"/>
        </w:rPr>
        <w:t>146U</w:t>
      </w:r>
      <w:r>
        <w:t>.</w:t>
      </w:r>
      <w:r>
        <w:tab/>
        <w:t>Procedures</w:t>
      </w:r>
      <w:bookmarkEnd w:id="243"/>
    </w:p>
    <w:p>
      <w:pPr>
        <w:pStyle w:val="Subsection"/>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by No. 42 of 2004 s. 110.]</w:t>
      </w:r>
    </w:p>
    <w:p>
      <w:pPr>
        <w:pStyle w:val="Heading5"/>
      </w:pPr>
      <w:bookmarkStart w:id="244" w:name="_Toc390078462"/>
      <w:r>
        <w:rPr>
          <w:rStyle w:val="CharSectno"/>
        </w:rPr>
        <w:t>146V</w:t>
      </w:r>
      <w:r>
        <w:t>.</w:t>
      </w:r>
      <w:r>
        <w:tab/>
        <w:t>Assessments</w:t>
      </w:r>
      <w:bookmarkEnd w:id="244"/>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pPr>
      <w:r>
        <w:tab/>
        <w:t>(9)</w:t>
      </w:r>
      <w:r>
        <w:tab/>
        <w:t xml:space="preserve">In subsection (8) —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pPr>
      <w:r>
        <w:tab/>
        <w:t>[Section 146V inserted by No. 42 of 2004 s. 110.]</w:t>
      </w:r>
    </w:p>
    <w:p>
      <w:pPr>
        <w:pStyle w:val="Heading5"/>
      </w:pPr>
      <w:bookmarkStart w:id="245" w:name="_Toc390078463"/>
      <w:r>
        <w:rPr>
          <w:rStyle w:val="CharSectno"/>
        </w:rPr>
        <w:t>146W</w:t>
      </w:r>
      <w:r>
        <w:t>.</w:t>
      </w:r>
      <w:r>
        <w:tab/>
        <w:t>Remuneration</w:t>
      </w:r>
      <w:bookmarkEnd w:id="245"/>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by No. 42 of 2004 s. 110; amended by No. 77 of 2006 s. 17.]</w:t>
      </w:r>
    </w:p>
    <w:p>
      <w:pPr>
        <w:pStyle w:val="Heading2"/>
      </w:pPr>
      <w:bookmarkStart w:id="246" w:name="_Toc390078464"/>
      <w:r>
        <w:rPr>
          <w:rStyle w:val="CharPartNo"/>
        </w:rPr>
        <w:t>Part VIII</w:t>
      </w:r>
      <w:r>
        <w:rPr>
          <w:rStyle w:val="CharDivNo"/>
        </w:rPr>
        <w:t> </w:t>
      </w:r>
      <w:r>
        <w:t>—</w:t>
      </w:r>
      <w:r>
        <w:rPr>
          <w:rStyle w:val="CharDivText"/>
        </w:rPr>
        <w:t> </w:t>
      </w:r>
      <w:r>
        <w:rPr>
          <w:rStyle w:val="CharPartText"/>
        </w:rPr>
        <w:t>Premium rates</w:t>
      </w:r>
      <w:bookmarkEnd w:id="246"/>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Repealed by No. 42 of 2004 s. 112.]</w:t>
      </w:r>
    </w:p>
    <w:p>
      <w:pPr>
        <w:pStyle w:val="Heading5"/>
        <w:spacing w:before="120"/>
        <w:rPr>
          <w:snapToGrid w:val="0"/>
        </w:rPr>
      </w:pPr>
      <w:bookmarkStart w:id="247" w:name="_Toc390078465"/>
      <w:r>
        <w:rPr>
          <w:rStyle w:val="CharSectno"/>
        </w:rPr>
        <w:t>151</w:t>
      </w:r>
      <w:r>
        <w:rPr>
          <w:snapToGrid w:val="0"/>
        </w:rPr>
        <w:t>.</w:t>
      </w:r>
      <w:r>
        <w:rPr>
          <w:snapToGrid w:val="0"/>
        </w:rPr>
        <w:tab/>
        <w:t>Fixing premiums</w:t>
      </w:r>
      <w:bookmarkEnd w:id="247"/>
      <w:r>
        <w:rPr>
          <w:snapToGrid w:val="0"/>
        </w:rPr>
        <w:t xml:space="preserve"> </w:t>
      </w:r>
    </w:p>
    <w:p>
      <w:pPr>
        <w:pStyle w:val="Subsection"/>
        <w:spacing w:before="100"/>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spacing w:before="120"/>
        <w:rPr>
          <w:snapToGrid w:val="0"/>
        </w:rPr>
      </w:pPr>
      <w:bookmarkStart w:id="248" w:name="_Toc390078466"/>
      <w:r>
        <w:rPr>
          <w:rStyle w:val="CharSectno"/>
        </w:rPr>
        <w:t>151A</w:t>
      </w:r>
      <w:r>
        <w:rPr>
          <w:snapToGrid w:val="0"/>
        </w:rPr>
        <w:t>.</w:t>
      </w:r>
      <w:r>
        <w:rPr>
          <w:snapToGrid w:val="0"/>
        </w:rPr>
        <w:tab/>
        <w:t>Report as to rates</w:t>
      </w:r>
      <w:bookmarkEnd w:id="248"/>
      <w:r>
        <w:rPr>
          <w:snapToGrid w:val="0"/>
        </w:rPr>
        <w:t xml:space="preserve"> </w:t>
      </w:r>
    </w:p>
    <w:p>
      <w:pPr>
        <w:pStyle w:val="Subsection"/>
        <w:spacing w:before="80"/>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spacing w:before="80"/>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249" w:name="_Toc390078467"/>
      <w:r>
        <w:rPr>
          <w:rStyle w:val="CharSectno"/>
        </w:rPr>
        <w:t>152</w:t>
      </w:r>
      <w:r>
        <w:t>.</w:t>
      </w:r>
      <w:r>
        <w:tab/>
        <w:t>Loading not to exceed 100% unless permitted by WorkCover WA</w:t>
      </w:r>
      <w:bookmarkEnd w:id="249"/>
    </w:p>
    <w:p>
      <w:pPr>
        <w:pStyle w:val="Subsection"/>
        <w:spacing w:before="80"/>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250" w:name="_Toc390078468"/>
      <w:r>
        <w:rPr>
          <w:rStyle w:val="CharSectno"/>
        </w:rPr>
        <w:t>153.</w:t>
      </w:r>
      <w:r>
        <w:rPr>
          <w:rStyle w:val="CharSectno"/>
        </w:rPr>
        <w:tab/>
      </w:r>
      <w:r>
        <w:rPr>
          <w:snapToGrid w:val="0"/>
        </w:rPr>
        <w:t>Fixing maximum loading or discount</w:t>
      </w:r>
      <w:bookmarkEnd w:id="250"/>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pPr>
      <w:r>
        <w:tab/>
        <w:t>[Section 153 amended by No. 42 of 2004 s. 115 and 150.]</w:t>
      </w:r>
    </w:p>
    <w:p>
      <w:pPr>
        <w:pStyle w:val="Heading5"/>
        <w:rPr>
          <w:snapToGrid w:val="0"/>
        </w:rPr>
      </w:pPr>
      <w:bookmarkStart w:id="251" w:name="_Toc390078469"/>
      <w:r>
        <w:rPr>
          <w:rStyle w:val="CharSectno"/>
        </w:rPr>
        <w:t>153A</w:t>
      </w:r>
      <w:r>
        <w:rPr>
          <w:snapToGrid w:val="0"/>
        </w:rPr>
        <w:t>.</w:t>
      </w:r>
      <w:r>
        <w:rPr>
          <w:snapToGrid w:val="0"/>
        </w:rPr>
        <w:tab/>
        <w:t>Minimum premiums</w:t>
      </w:r>
      <w:bookmarkEnd w:id="251"/>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252" w:name="_Toc390078470"/>
      <w:r>
        <w:rPr>
          <w:rStyle w:val="CharSectno"/>
        </w:rPr>
        <w:t>154</w:t>
      </w:r>
      <w:r>
        <w:rPr>
          <w:snapToGrid w:val="0"/>
        </w:rPr>
        <w:t>.</w:t>
      </w:r>
      <w:r>
        <w:rPr>
          <w:snapToGrid w:val="0"/>
        </w:rPr>
        <w:tab/>
        <w:t>Appeals</w:t>
      </w:r>
      <w:bookmarkEnd w:id="252"/>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The appeal is made by giving written notice of it —</w:t>
      </w:r>
    </w:p>
    <w:p>
      <w:pPr>
        <w:pStyle w:val="Indenta"/>
        <w:rPr>
          <w:snapToGrid w:val="0"/>
        </w:rPr>
      </w:pPr>
      <w:r>
        <w:rPr>
          <w:snapToGrid w:val="0"/>
        </w:rPr>
        <w:tab/>
        <w:t>(a)</w:t>
      </w:r>
      <w:r>
        <w:rPr>
          <w:snapToGrid w:val="0"/>
        </w:rPr>
        <w:tab/>
      </w:r>
      <w:r>
        <w:t>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allow;</w:t>
      </w:r>
    </w:p>
    <w:p>
      <w:pPr>
        <w:pStyle w:val="Ednotepara"/>
        <w:rPr>
          <w:snapToGrid w:val="0"/>
        </w:rPr>
      </w:pPr>
      <w:r>
        <w:rPr>
          <w:snapToGrid w:val="0"/>
        </w:rPr>
        <w:tab/>
        <w:t>[(b)</w:t>
      </w:r>
      <w:r>
        <w:rPr>
          <w:snapToGrid w:val="0"/>
        </w:rPr>
        <w:tab/>
        <w:t>deleted]</w:t>
      </w:r>
    </w:p>
    <w:p>
      <w:pPr>
        <w:pStyle w:val="Subsection"/>
        <w:rPr>
          <w:snapToGrid w:val="0"/>
        </w:rPr>
      </w:pPr>
      <w:r>
        <w:rPr>
          <w:snapToGrid w:val="0"/>
        </w:rPr>
        <w:tab/>
      </w:r>
      <w:r>
        <w:rPr>
          <w:snapToGrid w:val="0"/>
        </w:rPr>
        <w:tab/>
        <w:t>stating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w:t>
      </w:r>
    </w:p>
    <w:p>
      <w:pPr>
        <w:pStyle w:val="Heading5"/>
      </w:pPr>
      <w:bookmarkStart w:id="253" w:name="_Toc390078471"/>
      <w:r>
        <w:rPr>
          <w:rStyle w:val="CharSectno"/>
        </w:rPr>
        <w:t>154A</w:t>
      </w:r>
      <w:r>
        <w:t>.</w:t>
      </w:r>
      <w:r>
        <w:tab/>
        <w:t>Regulations for provision of information</w:t>
      </w:r>
      <w:bookmarkEnd w:id="253"/>
    </w:p>
    <w:p>
      <w:pPr>
        <w:pStyle w:val="Subsection"/>
        <w:outlineLvl w:val="0"/>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outlineLvl w:val="0"/>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254" w:name="_Toc390078472"/>
      <w:r>
        <w:rPr>
          <w:rStyle w:val="CharSectno"/>
        </w:rPr>
        <w:t>154AB</w:t>
      </w:r>
      <w:r>
        <w:t>.</w:t>
      </w:r>
      <w:r>
        <w:tab/>
        <w:t>Special directions by Minister</w:t>
      </w:r>
      <w:bookmarkEnd w:id="254"/>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255" w:name="_Toc390078473"/>
      <w:r>
        <w:rPr>
          <w:rStyle w:val="CharSectno"/>
        </w:rPr>
        <w:t>154AC</w:t>
      </w:r>
      <w:r>
        <w:t>.</w:t>
      </w:r>
      <w:r>
        <w:tab/>
        <w:t>Regulations for subsidy from Supplementation Fund</w:t>
      </w:r>
      <w:bookmarkEnd w:id="255"/>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256" w:name="_Toc390078474"/>
      <w:r>
        <w:rPr>
          <w:rStyle w:val="CharPartNo"/>
        </w:rPr>
        <w:t>Part IX</w:t>
      </w:r>
      <w:r>
        <w:rPr>
          <w:b w:val="0"/>
        </w:rPr>
        <w:t> </w:t>
      </w:r>
      <w:r>
        <w:t>—</w:t>
      </w:r>
      <w:r>
        <w:rPr>
          <w:b w:val="0"/>
        </w:rPr>
        <w:t> </w:t>
      </w:r>
      <w:r>
        <w:rPr>
          <w:rStyle w:val="CharPartText"/>
        </w:rPr>
        <w:t>Injury management</w:t>
      </w:r>
      <w:bookmarkEnd w:id="256"/>
    </w:p>
    <w:p>
      <w:pPr>
        <w:pStyle w:val="Footnoteheading"/>
      </w:pPr>
      <w:r>
        <w:tab/>
        <w:t>[Heading inserted by No. 42 of 2004 s. 118.]</w:t>
      </w:r>
    </w:p>
    <w:p>
      <w:pPr>
        <w:pStyle w:val="Heading5"/>
      </w:pPr>
      <w:bookmarkStart w:id="257" w:name="_Toc390078475"/>
      <w:r>
        <w:rPr>
          <w:rStyle w:val="CharSectno"/>
        </w:rPr>
        <w:t>155</w:t>
      </w:r>
      <w:r>
        <w:t>.</w:t>
      </w:r>
      <w:r>
        <w:tab/>
        <w:t>Terms used in this Part</w:t>
      </w:r>
      <w:bookmarkEnd w:id="257"/>
    </w:p>
    <w:p>
      <w:pPr>
        <w:pStyle w:val="Subsection"/>
      </w:pPr>
      <w:r>
        <w:tab/>
      </w:r>
      <w:r>
        <w:tab/>
        <w:t xml:space="preserve">In this Part —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258" w:name="_Toc390078476"/>
      <w:r>
        <w:rPr>
          <w:rStyle w:val="CharSectno"/>
        </w:rPr>
        <w:t>155A</w:t>
      </w:r>
      <w:r>
        <w:t>.</w:t>
      </w:r>
      <w:r>
        <w:tab/>
        <w:t>Code of practice (injury management)</w:t>
      </w:r>
      <w:bookmarkEnd w:id="258"/>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spacing w:before="120"/>
      </w:pPr>
      <w:r>
        <w:tab/>
        <w:t>(3)</w:t>
      </w:r>
      <w:r>
        <w:tab/>
        <w:t>The code may adopt the provisions of other publications, whether with or without modification or addition and whether in force at a particular time or from time to time.</w:t>
      </w:r>
    </w:p>
    <w:p>
      <w:pPr>
        <w:pStyle w:val="Subsection"/>
        <w:spacing w:before="120"/>
      </w:pPr>
      <w:r>
        <w:tab/>
        <w:t>(4)</w:t>
      </w:r>
      <w:r>
        <w:tab/>
        <w:t xml:space="preserve">Sections 41, 42, 43 and 44 of the </w:t>
      </w:r>
      <w:r>
        <w:rPr>
          <w:i/>
        </w:rPr>
        <w:t>Interpretation Act 1984</w:t>
      </w:r>
      <w:r>
        <w:t xml:space="preserve"> apply to the code as if the code were regulations.</w:t>
      </w:r>
    </w:p>
    <w:p>
      <w:pPr>
        <w:pStyle w:val="Footnotesection"/>
      </w:pPr>
      <w:r>
        <w:tab/>
        <w:t>[Section 155A inserted by No. 42 of 2004 s. 118.]</w:t>
      </w:r>
    </w:p>
    <w:p>
      <w:pPr>
        <w:pStyle w:val="Heading5"/>
      </w:pPr>
      <w:bookmarkStart w:id="259" w:name="_Toc390078477"/>
      <w:r>
        <w:rPr>
          <w:rStyle w:val="CharSectno"/>
        </w:rPr>
        <w:t>155B</w:t>
      </w:r>
      <w:r>
        <w:t>.</w:t>
      </w:r>
      <w:r>
        <w:tab/>
        <w:t>Establishment of injury management systems for employer’s workers</w:t>
      </w:r>
      <w:bookmarkEnd w:id="259"/>
      <w:r>
        <w:t xml:space="preserve"> </w:t>
      </w:r>
    </w:p>
    <w:p>
      <w:pPr>
        <w:pStyle w:val="Subsection"/>
        <w:spacing w:before="120"/>
      </w:pPr>
      <w:r>
        <w:tab/>
      </w:r>
      <w:r>
        <w:tab/>
        <w:t xml:space="preserve">Each employer is to ensure that —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pPr>
      <w:r>
        <w:tab/>
        <w:t>[Section 155B inserted by No. 42 of 2004 s. 118.]</w:t>
      </w:r>
    </w:p>
    <w:p>
      <w:pPr>
        <w:pStyle w:val="Heading5"/>
      </w:pPr>
      <w:bookmarkStart w:id="260" w:name="_Toc390078478"/>
      <w:r>
        <w:rPr>
          <w:rStyle w:val="CharSectno"/>
        </w:rPr>
        <w:t>155C</w:t>
      </w:r>
      <w:r>
        <w:t>.</w:t>
      </w:r>
      <w:r>
        <w:tab/>
        <w:t>Establishment of return to work programs for individual workers</w:t>
      </w:r>
      <w:bookmarkEnd w:id="260"/>
    </w:p>
    <w:p>
      <w:pPr>
        <w:pStyle w:val="Subsection"/>
        <w:spacing w:before="120"/>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spacing w:before="60"/>
      </w:pPr>
      <w:r>
        <w:tab/>
        <w:t>(a)</w:t>
      </w:r>
      <w:r>
        <w:tab/>
        <w:t xml:space="preserve">the worker’s treating medical practitioner advises the employer in writing that a return to work program should be established for the worker; </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20"/>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spacing w:before="12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r>
        <w:tab/>
        <w:t>[Section 155C inserted by No. 42 of 2004 s. 118.]</w:t>
      </w:r>
    </w:p>
    <w:p>
      <w:pPr>
        <w:pStyle w:val="Heading5"/>
      </w:pPr>
      <w:bookmarkStart w:id="261" w:name="_Toc390078479"/>
      <w:r>
        <w:rPr>
          <w:rStyle w:val="CharSectno"/>
        </w:rPr>
        <w:t>155D</w:t>
      </w:r>
      <w:r>
        <w:t>.</w:t>
      </w:r>
      <w:r>
        <w:tab/>
        <w:t>Injury management: insurers’ obligations</w:t>
      </w:r>
      <w:bookmarkEnd w:id="261"/>
    </w:p>
    <w:p>
      <w:pPr>
        <w:pStyle w:val="Subsection"/>
        <w:spacing w:before="120"/>
      </w:pPr>
      <w:r>
        <w:tab/>
        <w:t>(1)</w:t>
      </w:r>
      <w:r>
        <w:tab/>
        <w:t>An insurer must take such action as is prescribed by the regulations in relation to making each employer who is insured by the insurer aware of the employer’s obligations under sections 155B and 155C(1) and (3).</w:t>
      </w:r>
    </w:p>
    <w:p>
      <w:pPr>
        <w:pStyle w:val="Subsection"/>
        <w:spacing w:before="120"/>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spacing w:before="120"/>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pPr>
      <w:r>
        <w:tab/>
        <w:t>[Section 155D inserted by No. 42 of 2004 s. 118.]</w:t>
      </w:r>
    </w:p>
    <w:p>
      <w:pPr>
        <w:pStyle w:val="Heading5"/>
        <w:rPr>
          <w:snapToGrid w:val="0"/>
        </w:rPr>
      </w:pPr>
      <w:bookmarkStart w:id="262" w:name="_Toc390078480"/>
      <w:r>
        <w:rPr>
          <w:rStyle w:val="CharSectno"/>
        </w:rPr>
        <w:t>156</w:t>
      </w:r>
      <w:r>
        <w:rPr>
          <w:snapToGrid w:val="0"/>
        </w:rPr>
        <w:t>.</w:t>
      </w:r>
      <w:r>
        <w:rPr>
          <w:snapToGrid w:val="0"/>
        </w:rPr>
        <w:tab/>
        <w:t>Approval of vocational rehabilitation providers</w:t>
      </w:r>
      <w:bookmarkEnd w:id="262"/>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r>
        <w:tab/>
        <w:t>[Section 156 inserted by No. 42 of 2004 s. 118.]</w:t>
      </w:r>
    </w:p>
    <w:p>
      <w:pPr>
        <w:pStyle w:val="Heading5"/>
      </w:pPr>
      <w:bookmarkStart w:id="263" w:name="_Toc390078481"/>
      <w:r>
        <w:rPr>
          <w:rStyle w:val="CharSectno"/>
        </w:rPr>
        <w:t>156A</w:t>
      </w:r>
      <w:r>
        <w:t>.</w:t>
      </w:r>
      <w:r>
        <w:tab/>
        <w:t>Vocational rehabilitation services</w:t>
      </w:r>
      <w:bookmarkEnd w:id="263"/>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by No. 42 of 2004 s. 118.]</w:t>
      </w:r>
    </w:p>
    <w:p>
      <w:pPr>
        <w:pStyle w:val="Heading5"/>
        <w:rPr>
          <w:snapToGrid w:val="0"/>
        </w:rPr>
      </w:pPr>
      <w:bookmarkStart w:id="264" w:name="_Toc390078482"/>
      <w:r>
        <w:rPr>
          <w:rStyle w:val="CharSectno"/>
        </w:rPr>
        <w:t>156B</w:t>
      </w:r>
      <w:r>
        <w:rPr>
          <w:snapToGrid w:val="0"/>
        </w:rPr>
        <w:t>.</w:t>
      </w:r>
      <w:r>
        <w:rPr>
          <w:snapToGrid w:val="0"/>
        </w:rPr>
        <w:tab/>
        <w:t>Arbitrators’ powers in relation to return to work programs</w:t>
      </w:r>
      <w:bookmarkEnd w:id="264"/>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by No. 42 of 2004 s. 118.]</w:t>
      </w:r>
    </w:p>
    <w:p>
      <w:pPr>
        <w:pStyle w:val="Heading5"/>
        <w:rPr>
          <w:snapToGrid w:val="0"/>
        </w:rPr>
      </w:pPr>
      <w:bookmarkStart w:id="265" w:name="_Toc390078483"/>
      <w:r>
        <w:rPr>
          <w:rStyle w:val="CharSectno"/>
        </w:rPr>
        <w:t>157</w:t>
      </w:r>
      <w:r>
        <w:rPr>
          <w:snapToGrid w:val="0"/>
        </w:rPr>
        <w:t>.</w:t>
      </w:r>
      <w:r>
        <w:rPr>
          <w:snapToGrid w:val="0"/>
        </w:rPr>
        <w:tab/>
        <w:t>Information about injury management matters</w:t>
      </w:r>
      <w:bookmarkEnd w:id="265"/>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r>
        <w:tab/>
        <w:t>[Section 157 inserted by No. 42 of 2004 s. 118.]</w:t>
      </w:r>
    </w:p>
    <w:p>
      <w:pPr>
        <w:pStyle w:val="Heading5"/>
      </w:pPr>
      <w:bookmarkStart w:id="266" w:name="_Toc390078484"/>
      <w:r>
        <w:rPr>
          <w:rStyle w:val="CharSectno"/>
        </w:rPr>
        <w:t>157A</w:t>
      </w:r>
      <w:r>
        <w:t>.</w:t>
      </w:r>
      <w:r>
        <w:tab/>
        <w:t>Early identification of injuries that require, or may require, management</w:t>
      </w:r>
      <w:bookmarkEnd w:id="266"/>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r>
        <w:tab/>
        <w:t>[Section 157A inserted by No. 42 of 2004 s. 118.]</w:t>
      </w:r>
    </w:p>
    <w:p>
      <w:pPr>
        <w:pStyle w:val="Heading5"/>
      </w:pPr>
      <w:bookmarkStart w:id="267" w:name="_Toc390078485"/>
      <w:r>
        <w:rPr>
          <w:rStyle w:val="CharSectno"/>
        </w:rPr>
        <w:t>157B</w:t>
      </w:r>
      <w:r>
        <w:t>.</w:t>
      </w:r>
      <w:r>
        <w:tab/>
        <w:t>Mediation and assistance</w:t>
      </w:r>
      <w:bookmarkEnd w:id="267"/>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268" w:name="_Toc390078486"/>
      <w:r>
        <w:rPr>
          <w:rStyle w:val="CharPartNo"/>
        </w:rPr>
        <w:t>Part IXA</w:t>
      </w:r>
      <w:r>
        <w:rPr>
          <w:b w:val="0"/>
        </w:rPr>
        <w:t> </w:t>
      </w:r>
      <w:r>
        <w:t>—</w:t>
      </w:r>
      <w:r>
        <w:rPr>
          <w:b w:val="0"/>
        </w:rPr>
        <w:t> </w:t>
      </w:r>
      <w:r>
        <w:rPr>
          <w:rStyle w:val="CharPartText"/>
        </w:rPr>
        <w:t>Specialised retraining programs</w:t>
      </w:r>
      <w:bookmarkEnd w:id="268"/>
    </w:p>
    <w:p>
      <w:pPr>
        <w:pStyle w:val="Footnoteheading"/>
      </w:pPr>
      <w:r>
        <w:tab/>
        <w:t>[Heading inserted by No. 42 of 2004 s. 119.]</w:t>
      </w:r>
    </w:p>
    <w:p>
      <w:pPr>
        <w:pStyle w:val="Heading5"/>
      </w:pPr>
      <w:bookmarkStart w:id="269" w:name="_Toc390078487"/>
      <w:r>
        <w:rPr>
          <w:rStyle w:val="CharSectno"/>
        </w:rPr>
        <w:t>158</w:t>
      </w:r>
      <w:r>
        <w:t>.</w:t>
      </w:r>
      <w:r>
        <w:tab/>
        <w:t>Meaning of “retraining criteria”</w:t>
      </w:r>
      <w:bookmarkEnd w:id="269"/>
    </w:p>
    <w:p>
      <w:pPr>
        <w:pStyle w:val="Subsection"/>
      </w:pPr>
      <w:r>
        <w:tab/>
        <w:t>(1)</w:t>
      </w:r>
      <w:r>
        <w:tab/>
        <w:t xml:space="preserve">In this Part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“degree of permanent whole of person impairment”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r>
        <w:tab/>
        <w:t>[Section 158 inserted by No. 42 of 2004 s. 119.]</w:t>
      </w:r>
    </w:p>
    <w:p>
      <w:pPr>
        <w:pStyle w:val="Heading5"/>
      </w:pPr>
      <w:bookmarkStart w:id="270" w:name="_Toc390078488"/>
      <w:r>
        <w:rPr>
          <w:rStyle w:val="CharSectno"/>
        </w:rPr>
        <w:t>158A</w:t>
      </w:r>
      <w:r>
        <w:t>.</w:t>
      </w:r>
      <w:r>
        <w:tab/>
        <w:t>Eligibility to participate in specialised retraining programs</w:t>
      </w:r>
      <w:bookmarkEnd w:id="270"/>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by No. 42 of 2004 s. 119.]</w:t>
      </w:r>
    </w:p>
    <w:p>
      <w:pPr>
        <w:pStyle w:val="Heading5"/>
      </w:pPr>
      <w:bookmarkStart w:id="271" w:name="_Toc390078489"/>
      <w:r>
        <w:rPr>
          <w:rStyle w:val="CharSectno"/>
        </w:rPr>
        <w:t>158B</w:t>
      </w:r>
      <w:r>
        <w:t>.</w:t>
      </w:r>
      <w:r>
        <w:tab/>
        <w:t>Final day for recording agreed matters, referring disputed matters for determination</w:t>
      </w:r>
      <w:bookmarkEnd w:id="271"/>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by No. 42 of 2004 s. 119.]</w:t>
      </w:r>
    </w:p>
    <w:p>
      <w:pPr>
        <w:pStyle w:val="Heading5"/>
      </w:pPr>
      <w:bookmarkStart w:id="272" w:name="_Toc390078490"/>
      <w:r>
        <w:rPr>
          <w:rStyle w:val="CharSectno"/>
        </w:rPr>
        <w:t>158C</w:t>
      </w:r>
      <w:r>
        <w:t>.</w:t>
      </w:r>
      <w:r>
        <w:tab/>
        <w:t>Disputes as to degree of permanent whole of person impairment</w:t>
      </w:r>
      <w:bookmarkEnd w:id="272"/>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by No. 42 of 2004 s. 119.]</w:t>
      </w:r>
    </w:p>
    <w:p>
      <w:pPr>
        <w:pStyle w:val="Heading5"/>
      </w:pPr>
      <w:bookmarkStart w:id="273" w:name="_Toc390078491"/>
      <w:r>
        <w:rPr>
          <w:rStyle w:val="CharSectno"/>
        </w:rPr>
        <w:t>158D</w:t>
      </w:r>
      <w:r>
        <w:t>.</w:t>
      </w:r>
      <w:r>
        <w:tab/>
        <w:t>Disputes as to retraining criteria</w:t>
      </w:r>
      <w:bookmarkEnd w:id="273"/>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by No. 42 of 2004 s. 119.]</w:t>
      </w:r>
    </w:p>
    <w:p>
      <w:pPr>
        <w:pStyle w:val="Heading5"/>
      </w:pPr>
      <w:bookmarkStart w:id="274" w:name="_Toc390078492"/>
      <w:r>
        <w:rPr>
          <w:rStyle w:val="CharSectno"/>
        </w:rPr>
        <w:t>158E</w:t>
      </w:r>
      <w:r>
        <w:t>.</w:t>
      </w:r>
      <w:r>
        <w:tab/>
        <w:t>Specialised retraining program agreements</w:t>
      </w:r>
      <w:bookmarkEnd w:id="274"/>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r>
        <w:tab/>
        <w:t>[Section 158E inserted by No. 42 of 2004 s. 119.]</w:t>
      </w:r>
    </w:p>
    <w:p>
      <w:pPr>
        <w:pStyle w:val="Heading5"/>
      </w:pPr>
      <w:bookmarkStart w:id="275" w:name="_Toc390078493"/>
      <w:r>
        <w:rPr>
          <w:rStyle w:val="CharSectno"/>
        </w:rPr>
        <w:t>158F</w:t>
      </w:r>
      <w:r>
        <w:t>.</w:t>
      </w:r>
      <w:r>
        <w:tab/>
        <w:t>WorkCover WA to direct payments in relation to specialised retraining programs</w:t>
      </w:r>
      <w:bookmarkEnd w:id="275"/>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r>
        <w:tab/>
        <w:t>[Section 158F inserted by No. 42 of 2004 s. 119.]</w:t>
      </w:r>
    </w:p>
    <w:p>
      <w:pPr>
        <w:pStyle w:val="Heading5"/>
      </w:pPr>
      <w:bookmarkStart w:id="276" w:name="_Toc390078494"/>
      <w:r>
        <w:rPr>
          <w:rStyle w:val="CharSectno"/>
        </w:rPr>
        <w:t>158G</w:t>
      </w:r>
      <w:r>
        <w:t>.</w:t>
      </w:r>
      <w:r>
        <w:tab/>
        <w:t>Obligations of employers, insurers</w:t>
      </w:r>
      <w:bookmarkEnd w:id="276"/>
    </w:p>
    <w:p>
      <w:pPr>
        <w:pStyle w:val="Subsection"/>
        <w:spacing w:before="120"/>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spacing w:before="120"/>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spacing w:before="120"/>
      </w:pPr>
      <w:r>
        <w:tab/>
        <w:t>(3)</w:t>
      </w:r>
      <w:r>
        <w:tab/>
        <w:t>A reference in section 174(1)(c) to the obtaining of an award by the worker includes a reference to the receipt by an employer or insurer of a direction under section 158F or 158I.</w:t>
      </w:r>
    </w:p>
    <w:p>
      <w:pPr>
        <w:pStyle w:val="Subsection"/>
        <w:spacing w:before="120"/>
      </w:pPr>
      <w:r>
        <w:tab/>
        <w:t>(4)</w:t>
      </w:r>
      <w:r>
        <w:tab/>
        <w:t xml:space="preserve">Nothing in section 174 prevents moneys standing to the credit of the General Account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pPr>
      <w:r>
        <w:tab/>
        <w:t>(b)</w:t>
      </w:r>
      <w:r>
        <w:tab/>
        <w:t>moneys have already been paid from the General Account in respect of that program.</w:t>
      </w:r>
    </w:p>
    <w:p>
      <w:pPr>
        <w:pStyle w:val="Footnotesection"/>
      </w:pPr>
      <w:r>
        <w:tab/>
        <w:t>[Section 158G inserted by No. 42 of 2004 s. 119; amended by No. 77 of 2006 s. 17.]</w:t>
      </w:r>
    </w:p>
    <w:p>
      <w:pPr>
        <w:pStyle w:val="Heading5"/>
      </w:pPr>
      <w:bookmarkStart w:id="277" w:name="_Toc390078495"/>
      <w:r>
        <w:rPr>
          <w:rStyle w:val="CharSectno"/>
        </w:rPr>
        <w:t>158H</w:t>
      </w:r>
      <w:r>
        <w:t>.</w:t>
      </w:r>
      <w:r>
        <w:tab/>
        <w:t>3 monthly reviews of performance, payments under specialised retraining programs</w:t>
      </w:r>
      <w:bookmarkEnd w:id="277"/>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by No. 42 of 2004 s. 119.]</w:t>
      </w:r>
    </w:p>
    <w:p>
      <w:pPr>
        <w:pStyle w:val="Heading5"/>
      </w:pPr>
      <w:bookmarkStart w:id="278" w:name="_Toc390078496"/>
      <w:r>
        <w:rPr>
          <w:rStyle w:val="CharSectno"/>
        </w:rPr>
        <w:t>158I</w:t>
      </w:r>
      <w:r>
        <w:t>.</w:t>
      </w:r>
      <w:r>
        <w:tab/>
        <w:t>WorkCover WA may direct modification, suspension, cessation of payments under specialised retraining programs</w:t>
      </w:r>
      <w:bookmarkEnd w:id="278"/>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r>
        <w:tab/>
        <w:t>[Section 158I inserted by No. 42 of 2004 s. 119.]</w:t>
      </w:r>
    </w:p>
    <w:p>
      <w:pPr>
        <w:pStyle w:val="Heading5"/>
      </w:pPr>
      <w:bookmarkStart w:id="279" w:name="_Toc390078497"/>
      <w:r>
        <w:rPr>
          <w:rStyle w:val="CharSectno"/>
        </w:rPr>
        <w:t>158J</w:t>
      </w:r>
      <w:r>
        <w:t>.</w:t>
      </w:r>
      <w:r>
        <w:tab/>
        <w:t>Cessation of payments</w:t>
      </w:r>
      <w:bookmarkEnd w:id="279"/>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r>
        <w:tab/>
        <w:t>[Section 158J inserted by No. 42 of 2004 s. 119.]</w:t>
      </w:r>
    </w:p>
    <w:p>
      <w:pPr>
        <w:pStyle w:val="Heading5"/>
      </w:pPr>
      <w:bookmarkStart w:id="280" w:name="_Toc390078498"/>
      <w:r>
        <w:rPr>
          <w:rStyle w:val="CharSectno"/>
        </w:rPr>
        <w:t>158K</w:t>
      </w:r>
      <w:r>
        <w:t>.</w:t>
      </w:r>
      <w:r>
        <w:tab/>
        <w:t>Directions not open to challenge etc.</w:t>
      </w:r>
      <w:bookmarkEnd w:id="280"/>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r>
        <w:tab/>
        <w:t>[Section 158K inserted by No. 42 of 2004 s. 119.]</w:t>
      </w:r>
    </w:p>
    <w:p>
      <w:pPr>
        <w:pStyle w:val="Heading5"/>
      </w:pPr>
      <w:bookmarkStart w:id="281" w:name="_Toc390078499"/>
      <w:r>
        <w:rPr>
          <w:rStyle w:val="CharSectno"/>
        </w:rPr>
        <w:t>158L</w:t>
      </w:r>
      <w:r>
        <w:t>.</w:t>
      </w:r>
      <w:r>
        <w:tab/>
        <w:t>Other effects of participation in specialised retraining program</w:t>
      </w:r>
      <w:bookmarkEnd w:id="281"/>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outlineLvl w:val="9"/>
      </w:pPr>
      <w:r>
        <w:t>[</w:t>
      </w:r>
      <w:r>
        <w:rPr>
          <w:b/>
        </w:rPr>
        <w:t>159.</w:t>
      </w:r>
      <w:r>
        <w:tab/>
        <w:t>Repealed by No. 42 of 2004 s. 118.]</w:t>
      </w:r>
    </w:p>
    <w:p>
      <w:pPr>
        <w:pStyle w:val="Heading2"/>
      </w:pPr>
      <w:bookmarkStart w:id="282" w:name="_Toc390078500"/>
      <w:r>
        <w:rPr>
          <w:rStyle w:val="CharPartNo"/>
        </w:rPr>
        <w:t>Part X</w:t>
      </w:r>
      <w:r>
        <w:t> — </w:t>
      </w:r>
      <w:r>
        <w:rPr>
          <w:rStyle w:val="CharPartText"/>
        </w:rPr>
        <w:t>Insurance</w:t>
      </w:r>
      <w:bookmarkEnd w:id="282"/>
      <w:r>
        <w:rPr>
          <w:rStyle w:val="CharPartText"/>
        </w:rPr>
        <w:t xml:space="preserve"> </w:t>
      </w:r>
    </w:p>
    <w:p>
      <w:pPr>
        <w:pStyle w:val="Heading3"/>
        <w:rPr>
          <w:snapToGrid w:val="0"/>
        </w:rPr>
      </w:pPr>
      <w:bookmarkStart w:id="283" w:name="_Toc390078501"/>
      <w:r>
        <w:rPr>
          <w:rStyle w:val="CharDivNo"/>
        </w:rPr>
        <w:t>Division 1</w:t>
      </w:r>
      <w:r>
        <w:rPr>
          <w:snapToGrid w:val="0"/>
        </w:rPr>
        <w:t> — </w:t>
      </w:r>
      <w:r>
        <w:rPr>
          <w:rStyle w:val="CharDivText"/>
        </w:rPr>
        <w:t>Liability of employers and insurers</w:t>
      </w:r>
      <w:bookmarkEnd w:id="283"/>
      <w:r>
        <w:rPr>
          <w:rStyle w:val="CharDivText"/>
        </w:rPr>
        <w:t xml:space="preserve"> </w:t>
      </w:r>
    </w:p>
    <w:p>
      <w:pPr>
        <w:pStyle w:val="Heading5"/>
        <w:rPr>
          <w:snapToGrid w:val="0"/>
        </w:rPr>
      </w:pPr>
      <w:bookmarkStart w:id="284" w:name="_Toc390078502"/>
      <w:r>
        <w:rPr>
          <w:rStyle w:val="CharSectno"/>
        </w:rPr>
        <w:t>160</w:t>
      </w:r>
      <w:r>
        <w:rPr>
          <w:snapToGrid w:val="0"/>
        </w:rPr>
        <w:t>.</w:t>
      </w:r>
      <w:r>
        <w:rPr>
          <w:snapToGrid w:val="0"/>
        </w:rPr>
        <w:tab/>
        <w:t>Employer to obtain insurance</w:t>
      </w:r>
      <w:bookmarkEnd w:id="284"/>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285" w:name="_Toc390078503"/>
      <w:r>
        <w:rPr>
          <w:rStyle w:val="CharSectno"/>
        </w:rPr>
        <w:t>160A</w:t>
      </w:r>
      <w:r>
        <w:t>.</w:t>
      </w:r>
      <w:r>
        <w:tab/>
        <w:t>Insurance in respect of working directors</w:t>
      </w:r>
      <w:bookmarkEnd w:id="285"/>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286" w:name="_Toc390078504"/>
      <w:r>
        <w:rPr>
          <w:rStyle w:val="CharSectno"/>
        </w:rPr>
        <w:t>161A</w:t>
      </w:r>
      <w:r>
        <w:rPr>
          <w:snapToGrid w:val="0"/>
        </w:rPr>
        <w:t>.</w:t>
      </w:r>
      <w:r>
        <w:rPr>
          <w:snapToGrid w:val="0"/>
        </w:rPr>
        <w:tab/>
        <w:t>Penalty — issue or renewal of policy without approval</w:t>
      </w:r>
      <w:bookmarkEnd w:id="286"/>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287" w:name="_Toc390078505"/>
      <w:r>
        <w:rPr>
          <w:rStyle w:val="CharSectno"/>
        </w:rPr>
        <w:t>161</w:t>
      </w:r>
      <w:r>
        <w:rPr>
          <w:snapToGrid w:val="0"/>
        </w:rPr>
        <w:t>.</w:t>
      </w:r>
      <w:r>
        <w:rPr>
          <w:snapToGrid w:val="0"/>
        </w:rPr>
        <w:tab/>
        <w:t>Approvals</w:t>
      </w:r>
      <w:bookmarkEnd w:id="287"/>
      <w:r>
        <w:rPr>
          <w:snapToGrid w:val="0"/>
        </w:rPr>
        <w:t xml:space="preserve"> </w:t>
      </w:r>
    </w:p>
    <w:p>
      <w:pPr>
        <w:pStyle w:val="Subsection"/>
        <w:spacing w:before="120"/>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spacing w:before="120"/>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spacing w:before="120"/>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spacing w:before="120"/>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2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2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20"/>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288" w:name="_Toc390078506"/>
      <w:r>
        <w:rPr>
          <w:rStyle w:val="CharSectno"/>
        </w:rPr>
        <w:t>162</w:t>
      </w:r>
      <w:r>
        <w:rPr>
          <w:snapToGrid w:val="0"/>
        </w:rPr>
        <w:t>.</w:t>
      </w:r>
      <w:r>
        <w:rPr>
          <w:snapToGrid w:val="0"/>
        </w:rPr>
        <w:tab/>
        <w:t>The State Government Insurance Commission sole insurer against certain industrial diseases</w:t>
      </w:r>
      <w:bookmarkEnd w:id="288"/>
      <w:r>
        <w:rPr>
          <w:snapToGrid w:val="0"/>
        </w:rPr>
        <w:t xml:space="preserve"> </w:t>
      </w:r>
    </w:p>
    <w:p>
      <w:pPr>
        <w:pStyle w:val="Subsection"/>
        <w:spacing w:before="120"/>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spacing w:before="120"/>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289" w:name="_Toc390078507"/>
      <w:r>
        <w:rPr>
          <w:rStyle w:val="CharSectno"/>
        </w:rPr>
        <w:t>163</w:t>
      </w:r>
      <w:r>
        <w:rPr>
          <w:snapToGrid w:val="0"/>
        </w:rPr>
        <w:t>.</w:t>
      </w:r>
      <w:r>
        <w:rPr>
          <w:snapToGrid w:val="0"/>
        </w:rPr>
        <w:tab/>
        <w:t>Payment of industrial disease premium and issue of policy</w:t>
      </w:r>
      <w:bookmarkEnd w:id="289"/>
      <w:r>
        <w:rPr>
          <w:snapToGrid w:val="0"/>
        </w:rPr>
        <w:t xml:space="preserve"> </w:t>
      </w:r>
    </w:p>
    <w:p>
      <w:pPr>
        <w:pStyle w:val="Subsection"/>
        <w:spacing w:before="120"/>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290" w:name="_Toc390078508"/>
      <w:r>
        <w:rPr>
          <w:rStyle w:val="CharSectno"/>
        </w:rPr>
        <w:t>164</w:t>
      </w:r>
      <w:r>
        <w:rPr>
          <w:snapToGrid w:val="0"/>
        </w:rPr>
        <w:t>.</w:t>
      </w:r>
      <w:r>
        <w:rPr>
          <w:snapToGrid w:val="0"/>
        </w:rPr>
        <w:tab/>
        <w:t>Exempt employer</w:t>
      </w:r>
      <w:bookmarkEnd w:id="290"/>
      <w:r>
        <w:rPr>
          <w:snapToGrid w:val="0"/>
        </w:rPr>
        <w:t xml:space="preserve"> </w:t>
      </w:r>
    </w:p>
    <w:p>
      <w:pPr>
        <w:pStyle w:val="Subsection"/>
        <w:spacing w:before="120"/>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spacing w:before="120"/>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spacing w:before="160"/>
        <w:rPr>
          <w:snapToGrid w:val="0"/>
        </w:rPr>
      </w:pPr>
      <w:bookmarkStart w:id="291" w:name="_Toc390078509"/>
      <w:r>
        <w:rPr>
          <w:rStyle w:val="CharSectno"/>
        </w:rPr>
        <w:t>165</w:t>
      </w:r>
      <w:r>
        <w:rPr>
          <w:snapToGrid w:val="0"/>
        </w:rPr>
        <w:t>.</w:t>
      </w:r>
      <w:r>
        <w:rPr>
          <w:snapToGrid w:val="0"/>
        </w:rPr>
        <w:tab/>
        <w:t>Review of exemptions</w:t>
      </w:r>
      <w:bookmarkEnd w:id="291"/>
      <w:r>
        <w:rPr>
          <w:snapToGrid w:val="0"/>
        </w:rPr>
        <w:t xml:space="preserve"> </w:t>
      </w:r>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spacing w:before="120"/>
        <w:rPr>
          <w:snapToGrid w:val="0"/>
        </w:rPr>
      </w:pPr>
      <w:r>
        <w:rPr>
          <w:snapToGrid w:val="0"/>
        </w:rPr>
        <w:tab/>
        <w:t>(3)</w:t>
      </w:r>
      <w:r>
        <w:rPr>
          <w:snapToGrid w:val="0"/>
        </w:rPr>
        <w:tab/>
        <w:t>The Minister may after a review recommend to the Governor that an exemption be cancelled — </w:t>
      </w:r>
    </w:p>
    <w:p>
      <w:pPr>
        <w:pStyle w:val="Indenta"/>
        <w:spacing w:before="60"/>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spacing w:before="60"/>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spacing w:before="60"/>
        <w:rPr>
          <w:snapToGrid w:val="0"/>
        </w:rPr>
      </w:pPr>
      <w:r>
        <w:rPr>
          <w:snapToGrid w:val="0"/>
        </w:rPr>
        <w:tab/>
      </w:r>
      <w:r>
        <w:rPr>
          <w:snapToGrid w:val="0"/>
        </w:rPr>
        <w:tab/>
        <w:t>and the Governor may then cancel the exemption.</w:t>
      </w:r>
    </w:p>
    <w:p>
      <w:pPr>
        <w:pStyle w:val="Subsection"/>
        <w:spacing w:before="120"/>
        <w:rPr>
          <w:snapToGrid w:val="0"/>
        </w:rPr>
      </w:pPr>
      <w:r>
        <w:rPr>
          <w:snapToGrid w:val="0"/>
        </w:rPr>
        <w:tab/>
        <w:t>(4)</w:t>
      </w:r>
      <w:r>
        <w:rPr>
          <w:snapToGrid w:val="0"/>
        </w:rPr>
        <w:tab/>
        <w:t>Where — </w:t>
      </w:r>
    </w:p>
    <w:p>
      <w:pPr>
        <w:pStyle w:val="Indenta"/>
        <w:spacing w:before="60"/>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spacing w:before="60"/>
        <w:rPr>
          <w:snapToGrid w:val="0"/>
        </w:rPr>
      </w:pPr>
      <w:r>
        <w:rPr>
          <w:snapToGrid w:val="0"/>
        </w:rPr>
        <w:tab/>
        <w:t>(b)</w:t>
      </w:r>
      <w:r>
        <w:rPr>
          <w:snapToGrid w:val="0"/>
        </w:rPr>
        <w:tab/>
        <w:t>the Minister requires an increase in the value of securities deposited by an employer or group of employers — </w:t>
      </w:r>
    </w:p>
    <w:p>
      <w:pPr>
        <w:pStyle w:val="Indenti"/>
        <w:spacing w:before="60"/>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292" w:name="_Toc390078510"/>
      <w:r>
        <w:rPr>
          <w:rStyle w:val="CharSectno"/>
        </w:rPr>
        <w:t>166</w:t>
      </w:r>
      <w:r>
        <w:rPr>
          <w:snapToGrid w:val="0"/>
        </w:rPr>
        <w:t>.</w:t>
      </w:r>
      <w:r>
        <w:rPr>
          <w:snapToGrid w:val="0"/>
        </w:rPr>
        <w:tab/>
        <w:t>Other cancellations</w:t>
      </w:r>
      <w:bookmarkEnd w:id="292"/>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spacing w:before="120"/>
        <w:rPr>
          <w:snapToGrid w:val="0"/>
        </w:rPr>
      </w:pPr>
      <w:bookmarkStart w:id="293" w:name="_Toc390078511"/>
      <w:r>
        <w:rPr>
          <w:rStyle w:val="CharSectno"/>
        </w:rPr>
        <w:t>167</w:t>
      </w:r>
      <w:r>
        <w:rPr>
          <w:snapToGrid w:val="0"/>
        </w:rPr>
        <w:t>.</w:t>
      </w:r>
      <w:r>
        <w:rPr>
          <w:snapToGrid w:val="0"/>
        </w:rPr>
        <w:tab/>
        <w:t>Effect of cessation of exemption</w:t>
      </w:r>
      <w:bookmarkEnd w:id="293"/>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spacing w:before="120"/>
        <w:rPr>
          <w:snapToGrid w:val="0"/>
        </w:rPr>
      </w:pPr>
      <w:bookmarkStart w:id="294" w:name="_Toc390078512"/>
      <w:r>
        <w:rPr>
          <w:rStyle w:val="CharSectno"/>
        </w:rPr>
        <w:t>168</w:t>
      </w:r>
      <w:r>
        <w:rPr>
          <w:snapToGrid w:val="0"/>
        </w:rPr>
        <w:t>.</w:t>
      </w:r>
      <w:r>
        <w:rPr>
          <w:snapToGrid w:val="0"/>
        </w:rPr>
        <w:tab/>
        <w:t>Cessation of exemption</w:t>
      </w:r>
      <w:bookmarkEnd w:id="294"/>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295" w:name="_Toc390078513"/>
      <w:r>
        <w:rPr>
          <w:rStyle w:val="CharSectno"/>
        </w:rPr>
        <w:t>169</w:t>
      </w:r>
      <w:r>
        <w:rPr>
          <w:snapToGrid w:val="0"/>
        </w:rPr>
        <w:t>.</w:t>
      </w:r>
      <w:r>
        <w:rPr>
          <w:snapToGrid w:val="0"/>
        </w:rPr>
        <w:tab/>
        <w:t>Forms of policy</w:t>
      </w:r>
      <w:bookmarkEnd w:id="295"/>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296" w:name="_Toc390078514"/>
      <w:r>
        <w:rPr>
          <w:rStyle w:val="CharSectno"/>
        </w:rPr>
        <w:t>170</w:t>
      </w:r>
      <w:r>
        <w:rPr>
          <w:snapToGrid w:val="0"/>
        </w:rPr>
        <w:t>.</w:t>
      </w:r>
      <w:r>
        <w:rPr>
          <w:snapToGrid w:val="0"/>
        </w:rPr>
        <w:tab/>
        <w:t>Penalty — uninsured worker</w:t>
      </w:r>
      <w:bookmarkEnd w:id="296"/>
      <w:r>
        <w:rPr>
          <w:snapToGrid w:val="0"/>
        </w:rPr>
        <w:t xml:space="preserve"> </w:t>
      </w:r>
    </w:p>
    <w:p>
      <w:pPr>
        <w:pStyle w:val="Subsection"/>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 xml:space="preserve">[Section 170 amended by No. 44 of 1985 s. 37; No. 33 of 1986 s. 7; No. 86 of 1986 s. 5; No. 96 of 1990 s. 43; No. 34 of 1999 s. 43 and 57; No. 36 of 2004 s. 11; No. 42 of 2004 s. 150; No. 84 of 2004 s. 80; No. 77 of 2006 s. 17.] </w:t>
      </w:r>
    </w:p>
    <w:p>
      <w:pPr>
        <w:pStyle w:val="Heading5"/>
        <w:keepLines w:val="0"/>
        <w:spacing w:before="160"/>
        <w:rPr>
          <w:snapToGrid w:val="0"/>
        </w:rPr>
      </w:pPr>
      <w:bookmarkStart w:id="297" w:name="_Toc390078515"/>
      <w:r>
        <w:rPr>
          <w:rStyle w:val="CharSectno"/>
        </w:rPr>
        <w:t>171</w:t>
      </w:r>
      <w:r>
        <w:rPr>
          <w:snapToGrid w:val="0"/>
        </w:rPr>
        <w:t>.</w:t>
      </w:r>
      <w:r>
        <w:rPr>
          <w:snapToGrid w:val="0"/>
        </w:rPr>
        <w:tab/>
        <w:t>Insurance offices to furnish certain statements</w:t>
      </w:r>
      <w:bookmarkEnd w:id="297"/>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298" w:name="_Toc390078516"/>
      <w:r>
        <w:rPr>
          <w:rStyle w:val="CharSectno"/>
        </w:rPr>
        <w:t>172</w:t>
      </w:r>
      <w:r>
        <w:t>.</w:t>
      </w:r>
      <w:r>
        <w:tab/>
        <w:t>WorkCover WA may pass on certain information to insurer</w:t>
      </w:r>
      <w:bookmarkEnd w:id="298"/>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Repealed by No. 34 of 1999 s. 44.]</w:t>
      </w:r>
    </w:p>
    <w:p>
      <w:pPr>
        <w:pStyle w:val="Heading5"/>
        <w:spacing w:before="260"/>
        <w:rPr>
          <w:snapToGrid w:val="0"/>
        </w:rPr>
      </w:pPr>
      <w:bookmarkStart w:id="299" w:name="_Toc390078517"/>
      <w:r>
        <w:rPr>
          <w:rStyle w:val="CharSectno"/>
        </w:rPr>
        <w:t>173</w:t>
      </w:r>
      <w:r>
        <w:rPr>
          <w:snapToGrid w:val="0"/>
        </w:rPr>
        <w:t>.</w:t>
      </w:r>
      <w:r>
        <w:rPr>
          <w:snapToGrid w:val="0"/>
        </w:rPr>
        <w:tab/>
        <w:t>Worker’s rights against insurer</w:t>
      </w:r>
      <w:bookmarkEnd w:id="299"/>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300" w:name="_Toc390078518"/>
      <w:r>
        <w:rPr>
          <w:rStyle w:val="CharSectno"/>
        </w:rPr>
        <w:t>174</w:t>
      </w:r>
      <w:r>
        <w:rPr>
          <w:snapToGrid w:val="0"/>
        </w:rPr>
        <w:t>.</w:t>
      </w:r>
      <w:r>
        <w:rPr>
          <w:snapToGrid w:val="0"/>
        </w:rPr>
        <w:tab/>
        <w:t xml:space="preserve">Payment to worker from General </w:t>
      </w:r>
      <w:r>
        <w:t>Account</w:t>
      </w:r>
      <w:bookmarkEnd w:id="30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repealed]</w:t>
      </w:r>
    </w:p>
    <w:p>
      <w:pPr>
        <w:pStyle w:val="Subsection"/>
        <w:spacing w:before="100"/>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spacing w:before="100"/>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spacing w:before="120"/>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No. 77 of 2006 s. 17.] </w:t>
      </w:r>
    </w:p>
    <w:p>
      <w:pPr>
        <w:pStyle w:val="Heading5"/>
        <w:spacing w:before="120"/>
      </w:pPr>
      <w:bookmarkStart w:id="301" w:name="_Toc390078519"/>
      <w:r>
        <w:rPr>
          <w:rStyle w:val="CharSectno"/>
        </w:rPr>
        <w:t>174AA</w:t>
      </w:r>
      <w:r>
        <w:t>.</w:t>
      </w:r>
      <w:r>
        <w:tab/>
        <w:t>Recovery from responsible officers of body corporate</w:t>
      </w:r>
      <w:bookmarkEnd w:id="301"/>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spacing w:before="120"/>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 17.]</w:t>
      </w:r>
    </w:p>
    <w:p>
      <w:pPr>
        <w:pStyle w:val="Heading5"/>
      </w:pPr>
      <w:bookmarkStart w:id="302" w:name="_Toc390078520"/>
      <w:r>
        <w:rPr>
          <w:rStyle w:val="CharSectno"/>
        </w:rPr>
        <w:t>174AB</w:t>
      </w:r>
      <w:r>
        <w:t>.</w:t>
      </w:r>
      <w:r>
        <w:tab/>
        <w:t>WorkCover WA may exercise rights of employer</w:t>
      </w:r>
      <w:bookmarkEnd w:id="302"/>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r>
        <w:tab/>
        <w:t>[Section 174AB inserted by No. 42 of 2004 s. 128.]</w:t>
      </w:r>
    </w:p>
    <w:p>
      <w:pPr>
        <w:pStyle w:val="Heading5"/>
      </w:pPr>
      <w:bookmarkStart w:id="303" w:name="_Toc390078521"/>
      <w:r>
        <w:rPr>
          <w:rStyle w:val="CharSectno"/>
        </w:rPr>
        <w:t>174AC</w:t>
      </w:r>
      <w:r>
        <w:t>.</w:t>
      </w:r>
      <w:r>
        <w:tab/>
        <w:t>WorkCover WA’s right of subrogation</w:t>
      </w:r>
      <w:bookmarkEnd w:id="303"/>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 17.]</w:t>
      </w:r>
    </w:p>
    <w:p>
      <w:pPr>
        <w:pStyle w:val="Heading5"/>
        <w:rPr>
          <w:snapToGrid w:val="0"/>
        </w:rPr>
      </w:pPr>
      <w:bookmarkStart w:id="304" w:name="_Toc390078522"/>
      <w:r>
        <w:rPr>
          <w:rStyle w:val="CharSectno"/>
        </w:rPr>
        <w:t>174A</w:t>
      </w:r>
      <w:r>
        <w:rPr>
          <w:snapToGrid w:val="0"/>
        </w:rPr>
        <w:t>.</w:t>
      </w:r>
      <w:r>
        <w:rPr>
          <w:snapToGrid w:val="0"/>
        </w:rPr>
        <w:tab/>
        <w:t>Insurer may not refuse to indemnify in certain circumstances</w:t>
      </w:r>
      <w:bookmarkEnd w:id="304"/>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305" w:name="_Toc390078523"/>
      <w:r>
        <w:rPr>
          <w:rStyle w:val="CharDivNo"/>
        </w:rPr>
        <w:t>Division 2</w:t>
      </w:r>
      <w:r>
        <w:rPr>
          <w:snapToGrid w:val="0"/>
        </w:rPr>
        <w:t> — </w:t>
      </w:r>
      <w:r>
        <w:rPr>
          <w:rStyle w:val="CharDivText"/>
        </w:rPr>
        <w:t>Insurance by principals, contractors, and sub</w:t>
      </w:r>
      <w:r>
        <w:rPr>
          <w:rStyle w:val="CharDivText"/>
        </w:rPr>
        <w:noBreakHyphen/>
        <w:t>contractors</w:t>
      </w:r>
      <w:bookmarkEnd w:id="305"/>
      <w:r>
        <w:rPr>
          <w:rStyle w:val="CharDivText"/>
        </w:rPr>
        <w:t xml:space="preserve"> </w:t>
      </w:r>
    </w:p>
    <w:p>
      <w:pPr>
        <w:pStyle w:val="Heading5"/>
        <w:rPr>
          <w:snapToGrid w:val="0"/>
        </w:rPr>
      </w:pPr>
      <w:bookmarkStart w:id="306" w:name="_Toc390078524"/>
      <w:r>
        <w:rPr>
          <w:rStyle w:val="CharSectno"/>
        </w:rPr>
        <w:t>175</w:t>
      </w:r>
      <w:r>
        <w:rPr>
          <w:snapToGrid w:val="0"/>
        </w:rPr>
        <w:t>.</w:t>
      </w:r>
      <w:r>
        <w:rPr>
          <w:snapToGrid w:val="0"/>
        </w:rPr>
        <w:tab/>
        <w:t>Principal contractor and sub</w:t>
      </w:r>
      <w:r>
        <w:rPr>
          <w:snapToGrid w:val="0"/>
        </w:rPr>
        <w:noBreakHyphen/>
        <w:t>contractor deemed employers</w:t>
      </w:r>
      <w:bookmarkEnd w:id="306"/>
      <w:r>
        <w:rPr>
          <w:snapToGrid w:val="0"/>
        </w:rPr>
        <w:t xml:space="preserve"> </w:t>
      </w:r>
    </w:p>
    <w:p>
      <w:pPr>
        <w:pStyle w:val="Subsection"/>
        <w:rPr>
          <w:snapToGrid w:val="0"/>
        </w:rPr>
      </w:pPr>
      <w:r>
        <w:rPr>
          <w:snapToGrid w:val="0"/>
        </w:rPr>
        <w:tab/>
        <w:t>(1)</w:t>
      </w:r>
      <w:r>
        <w:rPr>
          <w:snapToGrid w:val="0"/>
        </w:rPr>
        <w:tab/>
        <w:t>Where a person (in this section referred to as the principal) contracts with another person (in this section referred to as the contractor)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pPr>
      <w:bookmarkStart w:id="307" w:name="_Toc390078525"/>
      <w:r>
        <w:rPr>
          <w:rStyle w:val="CharSectno"/>
        </w:rPr>
        <w:t>175AA</w:t>
      </w:r>
      <w:r>
        <w:t>.</w:t>
      </w:r>
      <w:r>
        <w:tab/>
        <w:t>Certain persons deemed workers</w:t>
      </w:r>
      <w:bookmarkEnd w:id="307"/>
    </w:p>
    <w:p>
      <w:pPr>
        <w:pStyle w:val="Subsection"/>
      </w:pPr>
      <w:r>
        <w:tab/>
        <w:t>(1)</w:t>
      </w:r>
      <w:r>
        <w:tab/>
        <w:t>For the purposes of this section, a person (</w:t>
      </w:r>
      <w:r>
        <w:rPr>
          <w:b/>
        </w:rPr>
        <w:t>“W”</w:t>
      </w:r>
      <w:r>
        <w:t>) executes work for another person (</w:t>
      </w:r>
      <w:r>
        <w:rPr>
          <w:b/>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308" w:name="_Toc390078526"/>
      <w:r>
        <w:rPr>
          <w:rStyle w:val="CharDivNo"/>
        </w:rPr>
        <w:t>Division 3</w:t>
      </w:r>
      <w:r>
        <w:rPr>
          <w:snapToGrid w:val="0"/>
        </w:rPr>
        <w:t> — </w:t>
      </w:r>
      <w:r>
        <w:rPr>
          <w:rStyle w:val="CharDivText"/>
        </w:rPr>
        <w:t>Inspectors</w:t>
      </w:r>
      <w:bookmarkEnd w:id="308"/>
    </w:p>
    <w:p>
      <w:pPr>
        <w:pStyle w:val="Footnoteheading"/>
      </w:pPr>
      <w:r>
        <w:tab/>
        <w:t>[Heading inserted by No. 34 of 1999 s. 46(1).]</w:t>
      </w:r>
    </w:p>
    <w:p>
      <w:pPr>
        <w:pStyle w:val="Heading5"/>
        <w:rPr>
          <w:snapToGrid w:val="0"/>
        </w:rPr>
      </w:pPr>
      <w:bookmarkStart w:id="309" w:name="_Toc390078527"/>
      <w:r>
        <w:rPr>
          <w:rStyle w:val="CharSectno"/>
        </w:rPr>
        <w:t>175A</w:t>
      </w:r>
      <w:r>
        <w:rPr>
          <w:snapToGrid w:val="0"/>
        </w:rPr>
        <w:t>.</w:t>
      </w:r>
      <w:r>
        <w:rPr>
          <w:snapToGrid w:val="0"/>
        </w:rPr>
        <w:tab/>
        <w:t>Authorisation</w:t>
      </w:r>
      <w:bookmarkEnd w:id="309"/>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310" w:name="_Toc390078528"/>
      <w:r>
        <w:rPr>
          <w:rStyle w:val="CharSectno"/>
        </w:rPr>
        <w:t>175B</w:t>
      </w:r>
      <w:r>
        <w:rPr>
          <w:snapToGrid w:val="0"/>
        </w:rPr>
        <w:t>.</w:t>
      </w:r>
      <w:r>
        <w:rPr>
          <w:snapToGrid w:val="0"/>
        </w:rPr>
        <w:tab/>
        <w:t>Powers</w:t>
      </w:r>
      <w:bookmarkEnd w:id="310"/>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311" w:name="_Toc390078529"/>
      <w:r>
        <w:rPr>
          <w:rStyle w:val="CharSectno"/>
        </w:rPr>
        <w:t>175C</w:t>
      </w:r>
      <w:r>
        <w:rPr>
          <w:snapToGrid w:val="0"/>
        </w:rPr>
        <w:t>.</w:t>
      </w:r>
      <w:r>
        <w:rPr>
          <w:snapToGrid w:val="0"/>
        </w:rPr>
        <w:tab/>
        <w:t>Interpreters</w:t>
      </w:r>
      <w:bookmarkEnd w:id="311"/>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312" w:name="_Toc390078530"/>
      <w:r>
        <w:rPr>
          <w:rStyle w:val="CharSectno"/>
        </w:rPr>
        <w:t>175D</w:t>
      </w:r>
      <w:r>
        <w:rPr>
          <w:snapToGrid w:val="0"/>
        </w:rPr>
        <w:t>.</w:t>
      </w:r>
      <w:r>
        <w:rPr>
          <w:snapToGrid w:val="0"/>
        </w:rPr>
        <w:tab/>
        <w:t>Offences</w:t>
      </w:r>
      <w:bookmarkEnd w:id="31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313" w:name="_Toc390078531"/>
      <w:r>
        <w:rPr>
          <w:rStyle w:val="CharPartNo"/>
        </w:rPr>
        <w:t>Part XA</w:t>
      </w:r>
      <w:r>
        <w:rPr>
          <w:rStyle w:val="CharDivNo"/>
        </w:rPr>
        <w:t> </w:t>
      </w:r>
      <w:r>
        <w:t>—</w:t>
      </w:r>
      <w:r>
        <w:rPr>
          <w:rStyle w:val="CharDivText"/>
        </w:rPr>
        <w:t> </w:t>
      </w:r>
      <w:r>
        <w:rPr>
          <w:rStyle w:val="CharPartText"/>
        </w:rPr>
        <w:t>Infringement notices and modified penalties</w:t>
      </w:r>
      <w:bookmarkEnd w:id="313"/>
    </w:p>
    <w:p>
      <w:pPr>
        <w:pStyle w:val="Footnoteheading"/>
      </w:pPr>
      <w:r>
        <w:tab/>
        <w:t>[Heading inserted by No. 42 of 2004 s. 129.]</w:t>
      </w:r>
    </w:p>
    <w:p>
      <w:pPr>
        <w:pStyle w:val="Heading5"/>
      </w:pPr>
      <w:bookmarkStart w:id="314" w:name="_Toc390078532"/>
      <w:r>
        <w:rPr>
          <w:rStyle w:val="CharSectno"/>
        </w:rPr>
        <w:t>175E</w:t>
      </w:r>
      <w:r>
        <w:t>.</w:t>
      </w:r>
      <w:r>
        <w:tab/>
        <w:t>Definitions</w:t>
      </w:r>
      <w:bookmarkEnd w:id="314"/>
    </w:p>
    <w:p>
      <w:pPr>
        <w:pStyle w:val="Subsection"/>
      </w:pPr>
      <w:r>
        <w:tab/>
      </w:r>
      <w:r>
        <w:tab/>
        <w:t xml:space="preserve">In sections 175G, 175H, 175I and 175J — </w:t>
      </w:r>
    </w:p>
    <w:p>
      <w:pPr>
        <w:pStyle w:val="Defstart"/>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pPr>
      <w:r>
        <w:rPr>
          <w:b/>
        </w:rPr>
        <w:tab/>
      </w:r>
      <w:r>
        <w:rPr>
          <w:rStyle w:val="CharDefText"/>
        </w:rPr>
        <w:t>prescribed</w:t>
      </w:r>
      <w:r>
        <w:t xml:space="preserve"> means prescribed by the regulations.</w:t>
      </w:r>
    </w:p>
    <w:p>
      <w:pPr>
        <w:pStyle w:val="Footnotesection"/>
      </w:pPr>
      <w:r>
        <w:tab/>
        <w:t>[Section 175E inserted by No. 42 of 2004 s. 129.]</w:t>
      </w:r>
    </w:p>
    <w:p>
      <w:pPr>
        <w:pStyle w:val="Heading5"/>
      </w:pPr>
      <w:bookmarkStart w:id="315" w:name="_Toc390078533"/>
      <w:r>
        <w:rPr>
          <w:rStyle w:val="CharSectno"/>
        </w:rPr>
        <w:t>175F</w:t>
      </w:r>
      <w:r>
        <w:t>.</w:t>
      </w:r>
      <w:r>
        <w:tab/>
        <w:t>Authorised officers</w:t>
      </w:r>
      <w:bookmarkEnd w:id="315"/>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r>
        <w:tab/>
        <w:t>[Section 175F inserted by No. 42 of 2004 s. 129.]</w:t>
      </w:r>
    </w:p>
    <w:p>
      <w:pPr>
        <w:pStyle w:val="Heading5"/>
      </w:pPr>
      <w:bookmarkStart w:id="316" w:name="_Toc390078534"/>
      <w:r>
        <w:rPr>
          <w:rStyle w:val="CharSectno"/>
        </w:rPr>
        <w:t>175G</w:t>
      </w:r>
      <w:r>
        <w:t>.</w:t>
      </w:r>
      <w:r>
        <w:tab/>
        <w:t>Giving of notice</w:t>
      </w:r>
      <w:bookmarkEnd w:id="316"/>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by No. 42 of 2004 s. 129.]</w:t>
      </w:r>
    </w:p>
    <w:p>
      <w:pPr>
        <w:pStyle w:val="Heading5"/>
      </w:pPr>
      <w:bookmarkStart w:id="317" w:name="_Toc390078535"/>
      <w:r>
        <w:rPr>
          <w:rStyle w:val="CharSectno"/>
        </w:rPr>
        <w:t>175H</w:t>
      </w:r>
      <w:r>
        <w:t>.</w:t>
      </w:r>
      <w:r>
        <w:tab/>
        <w:t>Content of notice</w:t>
      </w:r>
      <w:bookmarkEnd w:id="317"/>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by No. 42 of 2004 s. 129; amended by No. 84 of 2004 s. 80; No. 2 of 2008 s. 73.]</w:t>
      </w:r>
    </w:p>
    <w:p>
      <w:pPr>
        <w:pStyle w:val="Heading5"/>
      </w:pPr>
      <w:bookmarkStart w:id="318" w:name="_Toc390078536"/>
      <w:r>
        <w:rPr>
          <w:rStyle w:val="CharSectno"/>
        </w:rPr>
        <w:t>175I</w:t>
      </w:r>
      <w:r>
        <w:t>.</w:t>
      </w:r>
      <w:r>
        <w:tab/>
        <w:t>Extension of time</w:t>
      </w:r>
      <w:bookmarkEnd w:id="318"/>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by No. 42 of 2004 s. 129.]</w:t>
      </w:r>
    </w:p>
    <w:p>
      <w:pPr>
        <w:pStyle w:val="Heading5"/>
      </w:pPr>
      <w:bookmarkStart w:id="319" w:name="_Toc390078537"/>
      <w:r>
        <w:rPr>
          <w:rStyle w:val="CharSectno"/>
        </w:rPr>
        <w:t>175J</w:t>
      </w:r>
      <w:r>
        <w:t>.</w:t>
      </w:r>
      <w:r>
        <w:tab/>
        <w:t>Withdrawal of notice</w:t>
      </w:r>
      <w:bookmarkEnd w:id="319"/>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by No. 42 of 2004 s. 129.]</w:t>
      </w:r>
    </w:p>
    <w:p>
      <w:pPr>
        <w:pStyle w:val="Heading5"/>
      </w:pPr>
      <w:bookmarkStart w:id="320" w:name="_Toc390078538"/>
      <w:r>
        <w:rPr>
          <w:rStyle w:val="CharSectno"/>
        </w:rPr>
        <w:t>175K</w:t>
      </w:r>
      <w:r>
        <w:t>.</w:t>
      </w:r>
      <w:r>
        <w:tab/>
        <w:t>Benefit of paying modified penalty</w:t>
      </w:r>
      <w:bookmarkEnd w:id="32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by No. 42 of 2004 s. 129.]</w:t>
      </w:r>
    </w:p>
    <w:p>
      <w:pPr>
        <w:pStyle w:val="Heading5"/>
      </w:pPr>
      <w:bookmarkStart w:id="321" w:name="_Toc390078539"/>
      <w:r>
        <w:rPr>
          <w:rStyle w:val="CharSectno"/>
        </w:rPr>
        <w:t>175L</w:t>
      </w:r>
      <w:r>
        <w:t>.</w:t>
      </w:r>
      <w:r>
        <w:tab/>
        <w:t>No admission implied by payment</w:t>
      </w:r>
      <w:bookmarkEnd w:id="321"/>
    </w:p>
    <w:p>
      <w:pPr>
        <w:pStyle w:val="Subsection"/>
      </w:pPr>
      <w:r>
        <w:tab/>
      </w:r>
      <w:r>
        <w:tab/>
        <w:t>Payment of a modified penalty is not to be regarded as an admission for the purposes of any proceedings, whether civil or criminal.</w:t>
      </w:r>
    </w:p>
    <w:p>
      <w:pPr>
        <w:pStyle w:val="Footnotesection"/>
      </w:pPr>
      <w:r>
        <w:tab/>
        <w:t>[Section 175L inserted by No. 42 of 2004 s. 129.]</w:t>
      </w:r>
    </w:p>
    <w:p>
      <w:pPr>
        <w:pStyle w:val="Heading5"/>
      </w:pPr>
      <w:bookmarkStart w:id="322" w:name="_Toc390078540"/>
      <w:r>
        <w:rPr>
          <w:rStyle w:val="CharSectno"/>
        </w:rPr>
        <w:t>175M</w:t>
      </w:r>
      <w:r>
        <w:t>.</w:t>
      </w:r>
      <w:r>
        <w:tab/>
        <w:t>Application of penalties collected</w:t>
      </w:r>
      <w:bookmarkEnd w:id="322"/>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323" w:name="_Toc390078541"/>
      <w:r>
        <w:rPr>
          <w:rStyle w:val="CharPartNo"/>
        </w:rPr>
        <w:t>Part XI</w:t>
      </w:r>
      <w:r>
        <w:rPr>
          <w:b w:val="0"/>
        </w:rPr>
        <w:t> </w:t>
      </w:r>
      <w:r>
        <w:t>—</w:t>
      </w:r>
      <w:r>
        <w:rPr>
          <w:b w:val="0"/>
        </w:rPr>
        <w:t> </w:t>
      </w:r>
      <w:r>
        <w:rPr>
          <w:rStyle w:val="CharPartText"/>
        </w:rPr>
        <w:t>Dispute resolution</w:t>
      </w:r>
      <w:bookmarkEnd w:id="323"/>
    </w:p>
    <w:p>
      <w:pPr>
        <w:pStyle w:val="Footnoteheading"/>
      </w:pPr>
      <w:r>
        <w:tab/>
        <w:t>[Heading inserted by No. 42 of 2004 s. 130.]</w:t>
      </w:r>
    </w:p>
    <w:p>
      <w:pPr>
        <w:pStyle w:val="Heading3"/>
      </w:pPr>
      <w:bookmarkStart w:id="324" w:name="_Toc390078542"/>
      <w:r>
        <w:rPr>
          <w:rStyle w:val="CharDivNo"/>
        </w:rPr>
        <w:t>Division 1</w:t>
      </w:r>
      <w:r>
        <w:t> — </w:t>
      </w:r>
      <w:r>
        <w:rPr>
          <w:rStyle w:val="CharDivText"/>
        </w:rPr>
        <w:t>General</w:t>
      </w:r>
      <w:bookmarkEnd w:id="324"/>
    </w:p>
    <w:p>
      <w:pPr>
        <w:pStyle w:val="Footnoteheading"/>
      </w:pPr>
      <w:r>
        <w:tab/>
        <w:t>[Heading inserted by No. 42 of 2004 s. 130.]</w:t>
      </w:r>
    </w:p>
    <w:p>
      <w:pPr>
        <w:pStyle w:val="Heading5"/>
        <w:spacing w:before="180"/>
      </w:pPr>
      <w:bookmarkStart w:id="325" w:name="_Toc390078543"/>
      <w:r>
        <w:rPr>
          <w:rStyle w:val="CharSectno"/>
        </w:rPr>
        <w:t>176</w:t>
      </w:r>
      <w:r>
        <w:t>.</w:t>
      </w:r>
      <w:r>
        <w:tab/>
        <w:t>Exclusive jurisdiction</w:t>
      </w:r>
      <w:bookmarkEnd w:id="325"/>
    </w:p>
    <w:p>
      <w:pPr>
        <w:pStyle w:val="Subsection"/>
        <w:spacing w:before="120"/>
      </w:pPr>
      <w:r>
        <w:tab/>
        <w:t>(1)</w:t>
      </w:r>
      <w:r>
        <w:tab/>
        <w:t xml:space="preserve">In this Part — </w:t>
      </w:r>
    </w:p>
    <w:p>
      <w:pPr>
        <w:pStyle w:val="Defstart"/>
      </w:pPr>
      <w:r>
        <w:rPr>
          <w:b/>
        </w:rPr>
        <w:tab/>
      </w:r>
      <w:r>
        <w:rPr>
          <w:rStyle w:val="CharDefText"/>
        </w:rPr>
        <w:t>dispute</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spacing w:before="120"/>
      </w:pPr>
      <w:r>
        <w:tab/>
        <w:t>(2)</w:t>
      </w:r>
      <w:r>
        <w:tab/>
        <w:t>A proceeding for the determination of a dispute is not capable of being brought other than under this Part or Part XII.</w:t>
      </w:r>
    </w:p>
    <w:p>
      <w:pPr>
        <w:pStyle w:val="Subsection"/>
        <w:spacing w:before="120"/>
      </w:pPr>
      <w:r>
        <w:tab/>
        <w:t>(3)</w:t>
      </w:r>
      <w:r>
        <w:tab/>
        <w:t>Subject to this Act, arbitrators have exclusive jurisdiction to examine, hear and determine all disputes.</w:t>
      </w:r>
    </w:p>
    <w:p>
      <w:pPr>
        <w:pStyle w:val="Footnotesection"/>
      </w:pPr>
      <w:r>
        <w:tab/>
        <w:t>[Section 176 inserted by No. 42 of 2004 s. 130.]</w:t>
      </w:r>
    </w:p>
    <w:p>
      <w:pPr>
        <w:pStyle w:val="Heading5"/>
        <w:spacing w:before="180"/>
      </w:pPr>
      <w:bookmarkStart w:id="326" w:name="_Toc390078544"/>
      <w:r>
        <w:rPr>
          <w:rStyle w:val="CharSectno"/>
        </w:rPr>
        <w:t>177</w:t>
      </w:r>
      <w:r>
        <w:t>.</w:t>
      </w:r>
      <w:r>
        <w:tab/>
        <w:t>Evidence of communication between worker and injury management officer</w:t>
      </w:r>
      <w:bookmarkEnd w:id="326"/>
    </w:p>
    <w:p>
      <w:pPr>
        <w:pStyle w:val="Subsection"/>
        <w:spacing w:before="120"/>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r>
        <w:tab/>
        <w:t>[Section 177 inserted by No. 42 of 2004 s. 130.]</w:t>
      </w:r>
    </w:p>
    <w:p>
      <w:pPr>
        <w:pStyle w:val="Heading3"/>
      </w:pPr>
      <w:bookmarkStart w:id="327" w:name="_Toc390078545"/>
      <w:r>
        <w:rPr>
          <w:rStyle w:val="CharDivNo"/>
        </w:rPr>
        <w:t>Division 2</w:t>
      </w:r>
      <w:r>
        <w:t> — </w:t>
      </w:r>
      <w:r>
        <w:rPr>
          <w:rStyle w:val="CharDivText"/>
        </w:rPr>
        <w:t>Requirements before commencing proceeding</w:t>
      </w:r>
      <w:bookmarkEnd w:id="327"/>
    </w:p>
    <w:p>
      <w:pPr>
        <w:pStyle w:val="Footnoteheading"/>
      </w:pPr>
      <w:r>
        <w:tab/>
        <w:t>[Heading inserted by No. 42 of 2004 s. 130.]</w:t>
      </w:r>
    </w:p>
    <w:p>
      <w:pPr>
        <w:pStyle w:val="Heading5"/>
      </w:pPr>
      <w:bookmarkStart w:id="328" w:name="_Toc390078546"/>
      <w:r>
        <w:rPr>
          <w:rStyle w:val="CharSectno"/>
        </w:rPr>
        <w:t>178</w:t>
      </w:r>
      <w:r>
        <w:t>.</w:t>
      </w:r>
      <w:r>
        <w:tab/>
        <w:t>Notice of injury and claim</w:t>
      </w:r>
      <w:bookmarkEnd w:id="328"/>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by No. 42 of 2004 s. 130.]</w:t>
      </w:r>
    </w:p>
    <w:p>
      <w:pPr>
        <w:pStyle w:val="Heading5"/>
      </w:pPr>
      <w:bookmarkStart w:id="329" w:name="_Toc390078547"/>
      <w:r>
        <w:rPr>
          <w:rStyle w:val="CharSectno"/>
        </w:rPr>
        <w:t>179</w:t>
      </w:r>
      <w:r>
        <w:t>.</w:t>
      </w:r>
      <w:r>
        <w:tab/>
        <w:t>Service of notice of injury</w:t>
      </w:r>
      <w:bookmarkEnd w:id="329"/>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by No. 42 of 2004 s. 130.]</w:t>
      </w:r>
    </w:p>
    <w:p>
      <w:pPr>
        <w:pStyle w:val="Heading5"/>
      </w:pPr>
      <w:bookmarkStart w:id="330" w:name="_Toc390078548"/>
      <w:r>
        <w:rPr>
          <w:rStyle w:val="CharSectno"/>
        </w:rPr>
        <w:t>180</w:t>
      </w:r>
      <w:r>
        <w:t>.</w:t>
      </w:r>
      <w:r>
        <w:tab/>
        <w:t>Provision of certain documents before commencement of proceeding</w:t>
      </w:r>
      <w:bookmarkEnd w:id="330"/>
    </w:p>
    <w:p>
      <w:pPr>
        <w:pStyle w:val="Subsection"/>
      </w:pPr>
      <w:r>
        <w:tab/>
        <w:t>(1)</w:t>
      </w:r>
      <w:r>
        <w:tab/>
        <w:t xml:space="preserve">In this section —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are of a kind described in paragraph (d), (e) or (f) of the definition of “relevant document”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by No. 42 of 2004 s. 130; amended by No. 16 of 2005 s. 22.]</w:t>
      </w:r>
    </w:p>
    <w:p>
      <w:pPr>
        <w:pStyle w:val="Heading3"/>
      </w:pPr>
      <w:bookmarkStart w:id="331" w:name="_Toc390078549"/>
      <w:r>
        <w:rPr>
          <w:rStyle w:val="CharDivNo"/>
        </w:rPr>
        <w:t>Division 3</w:t>
      </w:r>
      <w:r>
        <w:t> — </w:t>
      </w:r>
      <w:r>
        <w:rPr>
          <w:rStyle w:val="CharDivText"/>
        </w:rPr>
        <w:t>Proceedings before an arbitrator</w:t>
      </w:r>
      <w:bookmarkEnd w:id="331"/>
    </w:p>
    <w:p>
      <w:pPr>
        <w:pStyle w:val="Footnoteheading"/>
      </w:pPr>
      <w:r>
        <w:tab/>
        <w:t>[Heading inserted by No. 42 of 2004 s. 130.]</w:t>
      </w:r>
    </w:p>
    <w:p>
      <w:pPr>
        <w:pStyle w:val="Heading5"/>
      </w:pPr>
      <w:bookmarkStart w:id="332" w:name="_Toc390078550"/>
      <w:r>
        <w:rPr>
          <w:rStyle w:val="CharSectno"/>
        </w:rPr>
        <w:t>181</w:t>
      </w:r>
      <w:r>
        <w:t>.</w:t>
      </w:r>
      <w:r>
        <w:tab/>
        <w:t>Arbitrators to determine disputes</w:t>
      </w:r>
      <w:bookmarkEnd w:id="332"/>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r>
        <w:tab/>
        <w:t>[Section 181 inserted by No. 42 of 2004 s. 130.]</w:t>
      </w:r>
    </w:p>
    <w:p>
      <w:pPr>
        <w:pStyle w:val="Heading5"/>
      </w:pPr>
      <w:bookmarkStart w:id="333" w:name="_Toc390078551"/>
      <w:r>
        <w:rPr>
          <w:rStyle w:val="CharSectno"/>
        </w:rPr>
        <w:t>182</w:t>
      </w:r>
      <w:r>
        <w:t>.</w:t>
      </w:r>
      <w:r>
        <w:tab/>
        <w:t>Who is to be given a copy of an application</w:t>
      </w:r>
      <w:bookmarkEnd w:id="333"/>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 xml:space="preserve">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r>
        <w:tab/>
        <w:t>[Section 182 inserted by No. 42 of 2004 s. 130.]</w:t>
      </w:r>
    </w:p>
    <w:p>
      <w:pPr>
        <w:pStyle w:val="Heading5"/>
      </w:pPr>
      <w:bookmarkStart w:id="334" w:name="_Toc390078552"/>
      <w:r>
        <w:rPr>
          <w:rStyle w:val="CharSectno"/>
        </w:rPr>
        <w:t>183</w:t>
      </w:r>
      <w:r>
        <w:t>.</w:t>
      </w:r>
      <w:r>
        <w:tab/>
        <w:t>Information exchange between parties</w:t>
      </w:r>
      <w:bookmarkEnd w:id="334"/>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by No. 42 of 2004 s. 130.]</w:t>
      </w:r>
    </w:p>
    <w:p>
      <w:pPr>
        <w:pStyle w:val="Heading5"/>
      </w:pPr>
      <w:bookmarkStart w:id="335" w:name="_Toc390078553"/>
      <w:r>
        <w:rPr>
          <w:rStyle w:val="CharSectno"/>
        </w:rPr>
        <w:t>184</w:t>
      </w:r>
      <w:r>
        <w:t>.</w:t>
      </w:r>
      <w:r>
        <w:tab/>
        <w:t>Interim assessment and minor claims</w:t>
      </w:r>
      <w:bookmarkEnd w:id="335"/>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r>
        <w:tab/>
        <w:t>[Section 184 inserted by No. 42 of 2004 s. 130.]</w:t>
      </w:r>
    </w:p>
    <w:p>
      <w:pPr>
        <w:pStyle w:val="Heading5"/>
      </w:pPr>
      <w:bookmarkStart w:id="336" w:name="_Toc390078554"/>
      <w:r>
        <w:rPr>
          <w:rStyle w:val="CharSectno"/>
        </w:rPr>
        <w:t>185</w:t>
      </w:r>
      <w:r>
        <w:t>.</w:t>
      </w:r>
      <w:r>
        <w:tab/>
        <w:t>Arbitrator to attempt conciliation</w:t>
      </w:r>
      <w:bookmarkEnd w:id="336"/>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r>
        <w:tab/>
        <w:t>[Section 185 inserted by No. 42 of 2004 s. 130.]</w:t>
      </w:r>
    </w:p>
    <w:p>
      <w:pPr>
        <w:pStyle w:val="Heading5"/>
      </w:pPr>
      <w:bookmarkStart w:id="337" w:name="_Toc390078555"/>
      <w:r>
        <w:rPr>
          <w:rStyle w:val="CharSectno"/>
        </w:rPr>
        <w:t>186</w:t>
      </w:r>
      <w:r>
        <w:t>.</w:t>
      </w:r>
      <w:r>
        <w:tab/>
        <w:t>Arbitrator may review decision</w:t>
      </w:r>
      <w:bookmarkEnd w:id="337"/>
    </w:p>
    <w:p>
      <w:pPr>
        <w:pStyle w:val="Subsection"/>
        <w:spacing w:before="120"/>
      </w:pPr>
      <w:r>
        <w:tab/>
        <w:t>(1)</w:t>
      </w:r>
      <w:r>
        <w:tab/>
        <w:t xml:space="preserve">In this section — </w:t>
      </w:r>
    </w:p>
    <w:p>
      <w:pPr>
        <w:pStyle w:val="Defstart"/>
      </w:pPr>
      <w:r>
        <w:rPr>
          <w:b/>
        </w:rPr>
        <w:tab/>
      </w:r>
      <w:r>
        <w:rPr>
          <w:rStyle w:val="CharDefText"/>
        </w:rPr>
        <w:t>new information</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186 inserted by No. 42 of 2004 s. 130.]</w:t>
      </w:r>
    </w:p>
    <w:p>
      <w:pPr>
        <w:pStyle w:val="Heading5"/>
      </w:pPr>
      <w:bookmarkStart w:id="338" w:name="_Toc390078556"/>
      <w:r>
        <w:rPr>
          <w:rStyle w:val="CharSectno"/>
        </w:rPr>
        <w:t>187</w:t>
      </w:r>
      <w:r>
        <w:t>.</w:t>
      </w:r>
      <w:r>
        <w:tab/>
        <w:t>Decisions of arbitrator</w:t>
      </w:r>
      <w:bookmarkEnd w:id="338"/>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r>
        <w:tab/>
        <w:t>[Section 187 inserted by No. 42 of 2004 s. 130.]</w:t>
      </w:r>
    </w:p>
    <w:p>
      <w:pPr>
        <w:pStyle w:val="Heading3"/>
      </w:pPr>
      <w:bookmarkStart w:id="339" w:name="_Toc390078557"/>
      <w:r>
        <w:rPr>
          <w:rStyle w:val="CharDivNo"/>
        </w:rPr>
        <w:t>Division 4</w:t>
      </w:r>
      <w:r>
        <w:t> — </w:t>
      </w:r>
      <w:r>
        <w:rPr>
          <w:rStyle w:val="CharDivText"/>
        </w:rPr>
        <w:t>Practice and procedure</w:t>
      </w:r>
      <w:bookmarkEnd w:id="339"/>
    </w:p>
    <w:p>
      <w:pPr>
        <w:pStyle w:val="Footnoteheading"/>
      </w:pPr>
      <w:r>
        <w:tab/>
        <w:t>[Heading inserted by No. 42 of 2004 s. 130.]</w:t>
      </w:r>
    </w:p>
    <w:p>
      <w:pPr>
        <w:pStyle w:val="Heading5"/>
      </w:pPr>
      <w:bookmarkStart w:id="340" w:name="_Toc390078558"/>
      <w:r>
        <w:rPr>
          <w:rStyle w:val="CharSectno"/>
        </w:rPr>
        <w:t>188</w:t>
      </w:r>
      <w:r>
        <w:t>.</w:t>
      </w:r>
      <w:r>
        <w:tab/>
        <w:t>Practice and procedure, generally</w:t>
      </w:r>
      <w:bookmarkEnd w:id="340"/>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by No. 42 of 2004 s. 130.]</w:t>
      </w:r>
    </w:p>
    <w:p>
      <w:pPr>
        <w:pStyle w:val="Ednotesection"/>
        <w:outlineLvl w:val="9"/>
      </w:pPr>
      <w:r>
        <w:t>[</w:t>
      </w:r>
      <w:r>
        <w:rPr>
          <w:b/>
        </w:rPr>
        <w:t>188A.</w:t>
      </w:r>
      <w:r>
        <w:tab/>
        <w:t>Repealed by No. 42 of 2004 s. 136.]</w:t>
      </w:r>
    </w:p>
    <w:p>
      <w:pPr>
        <w:pStyle w:val="Heading5"/>
      </w:pPr>
      <w:bookmarkStart w:id="341" w:name="_Toc390078559"/>
      <w:r>
        <w:rPr>
          <w:rStyle w:val="CharSectno"/>
        </w:rPr>
        <w:t>189</w:t>
      </w:r>
      <w:r>
        <w:t>.</w:t>
      </w:r>
      <w:r>
        <w:tab/>
        <w:t>Relief or redress not restricted to claim</w:t>
      </w:r>
      <w:bookmarkEnd w:id="341"/>
    </w:p>
    <w:p>
      <w:pPr>
        <w:pStyle w:val="Subsection"/>
      </w:pPr>
      <w:r>
        <w:tab/>
      </w:r>
      <w:r>
        <w:tab/>
        <w:t>The granting of relief or redress under this Act is not necessarily to be restricted to the specific claim made nor to the subject matter of the claim.</w:t>
      </w:r>
    </w:p>
    <w:p>
      <w:pPr>
        <w:pStyle w:val="Footnotesection"/>
      </w:pPr>
      <w:r>
        <w:tab/>
        <w:t>[Section 189 inserted by No. 42 of 2004 s. 130.]</w:t>
      </w:r>
    </w:p>
    <w:p>
      <w:pPr>
        <w:pStyle w:val="Heading5"/>
      </w:pPr>
      <w:bookmarkStart w:id="342" w:name="_Toc390078560"/>
      <w:r>
        <w:rPr>
          <w:rStyle w:val="CharSectno"/>
        </w:rPr>
        <w:t>190</w:t>
      </w:r>
      <w:r>
        <w:t>.</w:t>
      </w:r>
      <w:r>
        <w:tab/>
        <w:t>Directions</w:t>
      </w:r>
      <w:bookmarkEnd w:id="342"/>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by No. 42 of 2004 s. 130.]</w:t>
      </w:r>
    </w:p>
    <w:p>
      <w:pPr>
        <w:pStyle w:val="Heading5"/>
      </w:pPr>
      <w:bookmarkStart w:id="343" w:name="_Toc390078561"/>
      <w:r>
        <w:rPr>
          <w:rStyle w:val="CharSectno"/>
        </w:rPr>
        <w:t>191</w:t>
      </w:r>
      <w:r>
        <w:t>.</w:t>
      </w:r>
      <w:r>
        <w:tab/>
        <w:t>Dependants</w:t>
      </w:r>
      <w:bookmarkEnd w:id="343"/>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by No. 42 of 2004 s. 130.]</w:t>
      </w:r>
    </w:p>
    <w:p>
      <w:pPr>
        <w:pStyle w:val="Heading5"/>
      </w:pPr>
      <w:bookmarkStart w:id="344" w:name="_Toc390078562"/>
      <w:r>
        <w:rPr>
          <w:rStyle w:val="CharSectno"/>
        </w:rPr>
        <w:t>192</w:t>
      </w:r>
      <w:r>
        <w:t>.</w:t>
      </w:r>
      <w:r>
        <w:tab/>
        <w:t>Arbitrator may regard illegal contracts of employment as valid</w:t>
      </w:r>
      <w:bookmarkEnd w:id="344"/>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by No. 42 of 2004 s. 130.]</w:t>
      </w:r>
    </w:p>
    <w:p>
      <w:pPr>
        <w:pStyle w:val="Heading5"/>
      </w:pPr>
      <w:bookmarkStart w:id="345" w:name="_Toc390078563"/>
      <w:r>
        <w:rPr>
          <w:rStyle w:val="CharSectno"/>
        </w:rPr>
        <w:t>193</w:t>
      </w:r>
      <w:r>
        <w:t>.</w:t>
      </w:r>
      <w:r>
        <w:tab/>
        <w:t>Power of arbitrator to require information</w:t>
      </w:r>
      <w:bookmarkEnd w:id="345"/>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by No. 42 of 2004 s. 130.]</w:t>
      </w:r>
    </w:p>
    <w:p>
      <w:pPr>
        <w:pStyle w:val="Heading5"/>
      </w:pPr>
      <w:bookmarkStart w:id="346" w:name="_Toc390078564"/>
      <w:r>
        <w:rPr>
          <w:rStyle w:val="CharSectno"/>
        </w:rPr>
        <w:t>194</w:t>
      </w:r>
      <w:r>
        <w:t>.</w:t>
      </w:r>
      <w:r>
        <w:tab/>
        <w:t>Arbitrator may provide documents, material and information to party</w:t>
      </w:r>
      <w:bookmarkEnd w:id="346"/>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by No. 42 of 2004 s. 130.]</w:t>
      </w:r>
    </w:p>
    <w:p>
      <w:pPr>
        <w:pStyle w:val="Heading5"/>
      </w:pPr>
      <w:bookmarkStart w:id="347" w:name="_Toc390078565"/>
      <w:r>
        <w:rPr>
          <w:rStyle w:val="CharSectno"/>
        </w:rPr>
        <w:t>195</w:t>
      </w:r>
      <w:r>
        <w:t>.</w:t>
      </w:r>
      <w:r>
        <w:tab/>
        <w:t>Representation</w:t>
      </w:r>
      <w:bookmarkEnd w:id="347"/>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r>
        <w:tab/>
        <w:t>[Section 195 inserted by No. 42 of 2004 s. 130.]</w:t>
      </w:r>
    </w:p>
    <w:p>
      <w:pPr>
        <w:pStyle w:val="Heading5"/>
      </w:pPr>
      <w:bookmarkStart w:id="348" w:name="_Toc390078566"/>
      <w:r>
        <w:rPr>
          <w:rStyle w:val="CharSectno"/>
        </w:rPr>
        <w:t>196</w:t>
      </w:r>
      <w:r>
        <w:t>.</w:t>
      </w:r>
      <w:r>
        <w:tab/>
        <w:t>Arbitrator may appoint guardian</w:t>
      </w:r>
      <w:bookmarkEnd w:id="348"/>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r>
        <w:tab/>
        <w:t>[Section 196 inserted by No. 42 of 2004 s. 130.]</w:t>
      </w:r>
    </w:p>
    <w:p>
      <w:pPr>
        <w:pStyle w:val="Heading5"/>
      </w:pPr>
      <w:bookmarkStart w:id="349" w:name="_Toc390078567"/>
      <w:r>
        <w:rPr>
          <w:rStyle w:val="CharSectno"/>
        </w:rPr>
        <w:t>197</w:t>
      </w:r>
      <w:r>
        <w:t>.</w:t>
      </w:r>
      <w:r>
        <w:tab/>
        <w:t>Interpreters and assistants</w:t>
      </w:r>
      <w:bookmarkEnd w:id="349"/>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r>
        <w:tab/>
        <w:t>[Section 197 inserted by No. 42 of 2004 s. 130.]</w:t>
      </w:r>
    </w:p>
    <w:p>
      <w:pPr>
        <w:pStyle w:val="Heading5"/>
      </w:pPr>
      <w:bookmarkStart w:id="350" w:name="_Toc390078568"/>
      <w:r>
        <w:rPr>
          <w:rStyle w:val="CharSectno"/>
        </w:rPr>
        <w:t>198</w:t>
      </w:r>
      <w:r>
        <w:t>.</w:t>
      </w:r>
      <w:r>
        <w:tab/>
        <w:t>Electronic hearings and proceedings without hearings</w:t>
      </w:r>
      <w:bookmarkEnd w:id="350"/>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r>
        <w:tab/>
        <w:t>[Section 198 inserted by No. 42 of 2004 s. 130; amended by No. 16 of 2005 s. 23.]</w:t>
      </w:r>
    </w:p>
    <w:p>
      <w:pPr>
        <w:pStyle w:val="Heading5"/>
      </w:pPr>
      <w:bookmarkStart w:id="351" w:name="_Toc390078569"/>
      <w:r>
        <w:rPr>
          <w:rStyle w:val="CharSectno"/>
        </w:rPr>
        <w:t>199</w:t>
      </w:r>
      <w:r>
        <w:t>.</w:t>
      </w:r>
      <w:r>
        <w:tab/>
        <w:t>Hearings to be held in private</w:t>
      </w:r>
      <w:bookmarkEnd w:id="351"/>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r>
        <w:tab/>
        <w:t>[Section 199 inserted by No. 42 of 2004 s. 130.]</w:t>
      </w:r>
    </w:p>
    <w:p>
      <w:pPr>
        <w:pStyle w:val="Heading5"/>
      </w:pPr>
      <w:bookmarkStart w:id="352" w:name="_Toc390078570"/>
      <w:r>
        <w:rPr>
          <w:rStyle w:val="CharSectno"/>
        </w:rPr>
        <w:t>200</w:t>
      </w:r>
      <w:r>
        <w:t>.</w:t>
      </w:r>
      <w:r>
        <w:tab/>
        <w:t>Notice of hearings</w:t>
      </w:r>
      <w:bookmarkEnd w:id="352"/>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r>
        <w:tab/>
        <w:t>[Section 200 inserted by No. 42 of 2004 s. 130.]</w:t>
      </w:r>
    </w:p>
    <w:p>
      <w:pPr>
        <w:pStyle w:val="Heading5"/>
      </w:pPr>
      <w:bookmarkStart w:id="353" w:name="_Toc390078571"/>
      <w:r>
        <w:rPr>
          <w:rStyle w:val="CharSectno"/>
        </w:rPr>
        <w:t>201</w:t>
      </w:r>
      <w:r>
        <w:t>.</w:t>
      </w:r>
      <w:r>
        <w:tab/>
        <w:t>Expert or professional assistance</w:t>
      </w:r>
      <w:bookmarkEnd w:id="353"/>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by No. 42 of 2004 s. 130.]</w:t>
      </w:r>
    </w:p>
    <w:p>
      <w:pPr>
        <w:pStyle w:val="Heading5"/>
      </w:pPr>
      <w:bookmarkStart w:id="354" w:name="_Toc390078572"/>
      <w:r>
        <w:rPr>
          <w:rStyle w:val="CharSectno"/>
        </w:rPr>
        <w:t>202</w:t>
      </w:r>
      <w:r>
        <w:t>.</w:t>
      </w:r>
      <w:r>
        <w:tab/>
        <w:t>Summoning witnesses</w:t>
      </w:r>
      <w:bookmarkEnd w:id="354"/>
    </w:p>
    <w:p>
      <w:pPr>
        <w:pStyle w:val="Subsection"/>
      </w:pPr>
      <w:r>
        <w:tab/>
      </w:r>
      <w:r>
        <w:tab/>
        <w:t>The Director or an arbitrator may issue a summons requiring the attendance of a person before an arbitrator.</w:t>
      </w:r>
    </w:p>
    <w:p>
      <w:pPr>
        <w:pStyle w:val="Footnotesection"/>
      </w:pPr>
      <w:r>
        <w:tab/>
        <w:t>[Section 202 inserted by No. 42 of 2004 s. 130.]</w:t>
      </w:r>
    </w:p>
    <w:p>
      <w:pPr>
        <w:pStyle w:val="Heading5"/>
      </w:pPr>
      <w:bookmarkStart w:id="355" w:name="_Toc390078573"/>
      <w:r>
        <w:rPr>
          <w:rStyle w:val="CharSectno"/>
        </w:rPr>
        <w:t>203</w:t>
      </w:r>
      <w:r>
        <w:t>.</w:t>
      </w:r>
      <w:r>
        <w:tab/>
        <w:t>Powers relating to witnesses</w:t>
      </w:r>
      <w:bookmarkEnd w:id="355"/>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by No. 42 of 2004 s. 130.]</w:t>
      </w:r>
    </w:p>
    <w:p>
      <w:pPr>
        <w:pStyle w:val="Heading5"/>
      </w:pPr>
      <w:bookmarkStart w:id="356" w:name="_Toc390078574"/>
      <w:r>
        <w:rPr>
          <w:rStyle w:val="CharSectno"/>
        </w:rPr>
        <w:t>204</w:t>
      </w:r>
      <w:r>
        <w:t>.</w:t>
      </w:r>
      <w:r>
        <w:tab/>
        <w:t>Privilege against self</w:t>
      </w:r>
      <w:r>
        <w:noBreakHyphen/>
        <w:t>incrimination</w:t>
      </w:r>
      <w:bookmarkEnd w:id="356"/>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by No. 42 of 2004 s. 130.]</w:t>
      </w:r>
    </w:p>
    <w:p>
      <w:pPr>
        <w:pStyle w:val="Heading5"/>
      </w:pPr>
      <w:bookmarkStart w:id="357" w:name="_Toc390078575"/>
      <w:r>
        <w:rPr>
          <w:rStyle w:val="CharSectno"/>
        </w:rPr>
        <w:t>205</w:t>
      </w:r>
      <w:r>
        <w:t>.</w:t>
      </w:r>
      <w:r>
        <w:tab/>
        <w:t>Legal professional privilege in relation to medical reports</w:t>
      </w:r>
      <w:bookmarkEnd w:id="357"/>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r>
        <w:tab/>
        <w:t>[Section 205 inserted by No. 42 of 2004 s. 130.]</w:t>
      </w:r>
    </w:p>
    <w:p>
      <w:pPr>
        <w:pStyle w:val="Heading5"/>
      </w:pPr>
      <w:bookmarkStart w:id="358" w:name="_Toc390078576"/>
      <w:r>
        <w:rPr>
          <w:rStyle w:val="CharSectno"/>
        </w:rPr>
        <w:t>206</w:t>
      </w:r>
      <w:r>
        <w:t>.</w:t>
      </w:r>
      <w:r>
        <w:tab/>
        <w:t>Other claims of privilege</w:t>
      </w:r>
      <w:bookmarkEnd w:id="358"/>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r>
        <w:tab/>
        <w:t>[Section 206 inserted by No. 42 of 2004 s. 130.]</w:t>
      </w:r>
    </w:p>
    <w:p>
      <w:pPr>
        <w:pStyle w:val="Heading5"/>
      </w:pPr>
      <w:bookmarkStart w:id="359" w:name="_Toc390078577"/>
      <w:r>
        <w:rPr>
          <w:rStyle w:val="CharSectno"/>
        </w:rPr>
        <w:t>207</w:t>
      </w:r>
      <w:r>
        <w:t>.</w:t>
      </w:r>
      <w:r>
        <w:tab/>
        <w:t>Oaths and affirmations</w:t>
      </w:r>
      <w:bookmarkEnd w:id="359"/>
    </w:p>
    <w:p>
      <w:pPr>
        <w:pStyle w:val="Subsection"/>
      </w:pPr>
      <w:r>
        <w:tab/>
      </w:r>
      <w:r>
        <w:tab/>
        <w:t>An arbitrator may administer an oath or take an affirmation for the purposes of this Act.</w:t>
      </w:r>
    </w:p>
    <w:p>
      <w:pPr>
        <w:pStyle w:val="Footnotesection"/>
      </w:pPr>
      <w:r>
        <w:tab/>
        <w:t>[Section 207 inserted by No. 42 of 2004 s. 130.]</w:t>
      </w:r>
    </w:p>
    <w:p>
      <w:pPr>
        <w:pStyle w:val="Heading5"/>
      </w:pPr>
      <w:bookmarkStart w:id="360" w:name="_Toc390078578"/>
      <w:r>
        <w:rPr>
          <w:rStyle w:val="CharSectno"/>
        </w:rPr>
        <w:t>208</w:t>
      </w:r>
      <w:r>
        <w:t>.</w:t>
      </w:r>
      <w:r>
        <w:tab/>
        <w:t>Authorising person to take evidence</w:t>
      </w:r>
      <w:bookmarkEnd w:id="360"/>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by No. 42 of 2004 s. 130.]</w:t>
      </w:r>
    </w:p>
    <w:p>
      <w:pPr>
        <w:pStyle w:val="Heading5"/>
      </w:pPr>
      <w:bookmarkStart w:id="361" w:name="_Toc390078579"/>
      <w:r>
        <w:rPr>
          <w:rStyle w:val="CharSectno"/>
        </w:rPr>
        <w:t>209</w:t>
      </w:r>
      <w:r>
        <w:t>.</w:t>
      </w:r>
      <w:r>
        <w:tab/>
        <w:t>Dealing with things produced</w:t>
      </w:r>
      <w:bookmarkEnd w:id="361"/>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by No. 42 of 2004 s. 130.]</w:t>
      </w:r>
    </w:p>
    <w:p>
      <w:pPr>
        <w:pStyle w:val="Heading5"/>
      </w:pPr>
      <w:bookmarkStart w:id="362" w:name="_Toc390078580"/>
      <w:r>
        <w:rPr>
          <w:rStyle w:val="CharSectno"/>
        </w:rPr>
        <w:t>210</w:t>
      </w:r>
      <w:r>
        <w:t>.</w:t>
      </w:r>
      <w:r>
        <w:tab/>
        <w:t>Referral of medical dispute for assessment</w:t>
      </w:r>
      <w:bookmarkEnd w:id="362"/>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by No. 42 of 2004 s. 130.]</w:t>
      </w:r>
    </w:p>
    <w:p>
      <w:pPr>
        <w:pStyle w:val="Heading3"/>
      </w:pPr>
      <w:bookmarkStart w:id="363" w:name="_Toc390078581"/>
      <w:r>
        <w:rPr>
          <w:rStyle w:val="CharDivNo"/>
        </w:rPr>
        <w:t>Division 5</w:t>
      </w:r>
      <w:r>
        <w:t> — </w:t>
      </w:r>
      <w:r>
        <w:rPr>
          <w:rStyle w:val="CharDivText"/>
        </w:rPr>
        <w:t>Decisions</w:t>
      </w:r>
      <w:bookmarkEnd w:id="363"/>
    </w:p>
    <w:p>
      <w:pPr>
        <w:pStyle w:val="Footnoteheading"/>
      </w:pPr>
      <w:r>
        <w:tab/>
        <w:t>[Heading inserted by No. 42 of 2004 s. 130.]</w:t>
      </w:r>
    </w:p>
    <w:p>
      <w:pPr>
        <w:pStyle w:val="Heading4"/>
      </w:pPr>
      <w:bookmarkStart w:id="364" w:name="_Toc390078582"/>
      <w:r>
        <w:t>Subdivision 1 — General provisions</w:t>
      </w:r>
      <w:bookmarkEnd w:id="364"/>
    </w:p>
    <w:p>
      <w:pPr>
        <w:pStyle w:val="Footnoteheading"/>
      </w:pPr>
      <w:r>
        <w:tab/>
        <w:t>[Heading inserted by No. 42 of 2004 s. 130.]</w:t>
      </w:r>
    </w:p>
    <w:p>
      <w:pPr>
        <w:pStyle w:val="Heading5"/>
      </w:pPr>
      <w:bookmarkStart w:id="365" w:name="_Toc390078583"/>
      <w:r>
        <w:rPr>
          <w:rStyle w:val="CharSectno"/>
        </w:rPr>
        <w:t>211</w:t>
      </w:r>
      <w:r>
        <w:t>.</w:t>
      </w:r>
      <w:r>
        <w:tab/>
        <w:t>Decisions generally</w:t>
      </w:r>
      <w:bookmarkEnd w:id="365"/>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r>
        <w:tab/>
        <w:t>[Section 211 inserted by No. 42 of 2004 s. 130.]</w:t>
      </w:r>
    </w:p>
    <w:p>
      <w:pPr>
        <w:pStyle w:val="Heading5"/>
      </w:pPr>
      <w:bookmarkStart w:id="366" w:name="_Toc390078584"/>
      <w:r>
        <w:rPr>
          <w:rStyle w:val="CharSectno"/>
        </w:rPr>
        <w:t>212</w:t>
      </w:r>
      <w:r>
        <w:t>.</w:t>
      </w:r>
      <w:r>
        <w:tab/>
        <w:t>Conditional and ancillary orders and directions</w:t>
      </w:r>
      <w:bookmarkEnd w:id="366"/>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by No. 42 of 2004 s. 130.]</w:t>
      </w:r>
    </w:p>
    <w:p>
      <w:pPr>
        <w:pStyle w:val="Heading5"/>
      </w:pPr>
      <w:bookmarkStart w:id="367" w:name="_Toc390078585"/>
      <w:r>
        <w:rPr>
          <w:rStyle w:val="CharSectno"/>
        </w:rPr>
        <w:t>213</w:t>
      </w:r>
      <w:r>
        <w:t>.</w:t>
      </w:r>
      <w:r>
        <w:tab/>
        <w:t>Form and content of decision and reasons</w:t>
      </w:r>
      <w:bookmarkEnd w:id="367"/>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r>
        <w:tab/>
        <w:t>[Section 213 inserted by No. 42 of 2004 s. 130.]</w:t>
      </w:r>
    </w:p>
    <w:p>
      <w:pPr>
        <w:pStyle w:val="Heading5"/>
      </w:pPr>
      <w:bookmarkStart w:id="368" w:name="_Toc390078586"/>
      <w:r>
        <w:rPr>
          <w:rStyle w:val="CharSectno"/>
        </w:rPr>
        <w:t>214</w:t>
      </w:r>
      <w:r>
        <w:t>.</w:t>
      </w:r>
      <w:r>
        <w:tab/>
        <w:t>Validity of decision</w:t>
      </w:r>
      <w:bookmarkEnd w:id="368"/>
    </w:p>
    <w:p>
      <w:pPr>
        <w:pStyle w:val="Subsection"/>
      </w:pPr>
      <w:r>
        <w:tab/>
      </w:r>
      <w:r>
        <w:tab/>
        <w:t>A failure of an arbitrator to comply with a requirement of this Subdivision does not affect the validity of a decision.</w:t>
      </w:r>
    </w:p>
    <w:p>
      <w:pPr>
        <w:pStyle w:val="Footnotesection"/>
      </w:pPr>
      <w:r>
        <w:tab/>
        <w:t>[Section 214 inserted by No. 42 of 2004 s. 130.]</w:t>
      </w:r>
    </w:p>
    <w:p>
      <w:pPr>
        <w:pStyle w:val="Heading5"/>
      </w:pPr>
      <w:bookmarkStart w:id="369" w:name="_Toc390078587"/>
      <w:r>
        <w:rPr>
          <w:rStyle w:val="CharSectno"/>
        </w:rPr>
        <w:t>215</w:t>
      </w:r>
      <w:r>
        <w:t>.</w:t>
      </w:r>
      <w:r>
        <w:tab/>
        <w:t>When decision has effect</w:t>
      </w:r>
      <w:bookmarkEnd w:id="369"/>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r>
        <w:tab/>
        <w:t>[Section 215 inserted by No. 42 of 2004 s. 130.]</w:t>
      </w:r>
    </w:p>
    <w:p>
      <w:pPr>
        <w:pStyle w:val="Heading5"/>
      </w:pPr>
      <w:bookmarkStart w:id="370" w:name="_Toc390078588"/>
      <w:r>
        <w:rPr>
          <w:rStyle w:val="CharSectno"/>
        </w:rPr>
        <w:t>216</w:t>
      </w:r>
      <w:r>
        <w:t>.</w:t>
      </w:r>
      <w:r>
        <w:tab/>
        <w:t>Correcting mistakes</w:t>
      </w:r>
      <w:bookmarkEnd w:id="370"/>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r>
        <w:tab/>
        <w:t>[Section 216 inserted by No. 42 of 2004 s. 130.]</w:t>
      </w:r>
    </w:p>
    <w:p>
      <w:pPr>
        <w:pStyle w:val="Heading4"/>
      </w:pPr>
      <w:bookmarkStart w:id="371" w:name="_Toc390078589"/>
      <w:r>
        <w:t>Subdivision 2 — Particular orders</w:t>
      </w:r>
      <w:bookmarkEnd w:id="371"/>
    </w:p>
    <w:p>
      <w:pPr>
        <w:pStyle w:val="Footnoteheading"/>
      </w:pPr>
      <w:r>
        <w:tab/>
        <w:t>[Heading inserted by No. 42 of 2004 s. 130.]</w:t>
      </w:r>
    </w:p>
    <w:p>
      <w:pPr>
        <w:pStyle w:val="Heading5"/>
      </w:pPr>
      <w:bookmarkStart w:id="372" w:name="_Toc390078590"/>
      <w:r>
        <w:rPr>
          <w:rStyle w:val="CharSectno"/>
        </w:rPr>
        <w:t>217</w:t>
      </w:r>
      <w:r>
        <w:t>.</w:t>
      </w:r>
      <w:r>
        <w:tab/>
        <w:t>Order as to total liability</w:t>
      </w:r>
      <w:bookmarkEnd w:id="372"/>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spacing w:before="120"/>
      </w:pPr>
      <w:r>
        <w:tab/>
        <w:t>(2)</w:t>
      </w:r>
      <w:r>
        <w:tab/>
        <w:t>If this section applies, the arbitrator may, subject to this section, make any order as to the total liability of the employer for the incapacity that the arbitrator thinks proper in the circumstances.</w:t>
      </w:r>
    </w:p>
    <w:p>
      <w:pPr>
        <w:pStyle w:val="Subsection"/>
        <w:spacing w:before="120"/>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spacing w:before="120"/>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by No. 42 of 2004 s. 130.]</w:t>
      </w:r>
    </w:p>
    <w:p>
      <w:pPr>
        <w:pStyle w:val="Heading5"/>
      </w:pPr>
      <w:bookmarkStart w:id="373" w:name="_Toc390078591"/>
      <w:r>
        <w:rPr>
          <w:rStyle w:val="CharSectno"/>
        </w:rPr>
        <w:t>218</w:t>
      </w:r>
      <w:r>
        <w:t>.</w:t>
      </w:r>
      <w:r>
        <w:tab/>
        <w:t>Order relating to payment of compensation in respect of persons under legal disability or who are dependants</w:t>
      </w:r>
      <w:bookmarkEnd w:id="373"/>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r>
        <w:tab/>
        <w:t>[Section 218 inserted by No. 42 of 2004 s. 130.]</w:t>
      </w:r>
    </w:p>
    <w:p>
      <w:pPr>
        <w:pStyle w:val="Heading4"/>
      </w:pPr>
      <w:bookmarkStart w:id="374" w:name="_Toc390078592"/>
      <w:r>
        <w:t>Subdivision 3 — Enforcement of decisions</w:t>
      </w:r>
      <w:bookmarkEnd w:id="374"/>
    </w:p>
    <w:p>
      <w:pPr>
        <w:pStyle w:val="Footnoteheading"/>
      </w:pPr>
      <w:r>
        <w:tab/>
        <w:t>[Heading inserted by No. 42 of 2004 s. 130.]</w:t>
      </w:r>
    </w:p>
    <w:p>
      <w:pPr>
        <w:pStyle w:val="Heading5"/>
        <w:keepLines w:val="0"/>
      </w:pPr>
      <w:bookmarkStart w:id="375" w:name="_Toc390078593"/>
      <w:r>
        <w:rPr>
          <w:rStyle w:val="CharSectno"/>
        </w:rPr>
        <w:t>219</w:t>
      </w:r>
      <w:r>
        <w:t>.</w:t>
      </w:r>
      <w:r>
        <w:tab/>
        <w:t>Enforcement of decisions</w:t>
      </w:r>
      <w:bookmarkEnd w:id="375"/>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by No. 42 of 2004 s. 130; amended by No. 16 of 2005 s. 24.]</w:t>
      </w:r>
    </w:p>
    <w:p>
      <w:pPr>
        <w:pStyle w:val="Heading3"/>
      </w:pPr>
      <w:bookmarkStart w:id="376" w:name="_Toc390078594"/>
      <w:r>
        <w:rPr>
          <w:rStyle w:val="CharDivNo"/>
        </w:rPr>
        <w:t>Division 6</w:t>
      </w:r>
      <w:r>
        <w:t> — </w:t>
      </w:r>
      <w:r>
        <w:rPr>
          <w:rStyle w:val="CharDivText"/>
        </w:rPr>
        <w:t>Miscellaneous</w:t>
      </w:r>
      <w:bookmarkEnd w:id="376"/>
    </w:p>
    <w:p>
      <w:pPr>
        <w:pStyle w:val="Footnoteheading"/>
      </w:pPr>
      <w:r>
        <w:tab/>
        <w:t>[Heading inserted by No. 42 of 2004 s. 130.]</w:t>
      </w:r>
    </w:p>
    <w:p>
      <w:pPr>
        <w:pStyle w:val="Heading5"/>
      </w:pPr>
      <w:bookmarkStart w:id="377" w:name="_Toc390078595"/>
      <w:r>
        <w:rPr>
          <w:rStyle w:val="CharSectno"/>
        </w:rPr>
        <w:t>220</w:t>
      </w:r>
      <w:r>
        <w:t>.</w:t>
      </w:r>
      <w:r>
        <w:tab/>
        <w:t>Evidence not admissible in common law proceedings</w:t>
      </w:r>
      <w:bookmarkEnd w:id="377"/>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by No. 42 of 2004 s. 130.]</w:t>
      </w:r>
    </w:p>
    <w:p>
      <w:pPr>
        <w:pStyle w:val="Heading5"/>
        <w:rPr>
          <w:snapToGrid w:val="0"/>
        </w:rPr>
      </w:pPr>
      <w:bookmarkStart w:id="378" w:name="_Toc390078596"/>
      <w:r>
        <w:rPr>
          <w:rStyle w:val="CharSectno"/>
        </w:rPr>
        <w:t>221</w:t>
      </w:r>
      <w:r>
        <w:rPr>
          <w:snapToGrid w:val="0"/>
        </w:rPr>
        <w:t>.</w:t>
      </w:r>
      <w:r>
        <w:rPr>
          <w:snapToGrid w:val="0"/>
        </w:rPr>
        <w:tab/>
        <w:t>Payment of compensation awarded</w:t>
      </w:r>
      <w:bookmarkEnd w:id="378"/>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pPr>
      <w:r>
        <w:tab/>
        <w:t>[Section 221 inserted by No. 42 of 2004 s. 130.]</w:t>
      </w:r>
    </w:p>
    <w:p>
      <w:pPr>
        <w:pStyle w:val="Heading5"/>
      </w:pPr>
      <w:bookmarkStart w:id="379" w:name="_Toc390078597"/>
      <w:r>
        <w:rPr>
          <w:rStyle w:val="CharSectno"/>
        </w:rPr>
        <w:t>222</w:t>
      </w:r>
      <w:r>
        <w:t>.</w:t>
      </w:r>
      <w:r>
        <w:tab/>
        <w:t>Interest before order for payment</w:t>
      </w:r>
      <w:bookmarkEnd w:id="379"/>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by No. 42 of 2004 s. 130.]</w:t>
      </w:r>
    </w:p>
    <w:p>
      <w:pPr>
        <w:pStyle w:val="Heading5"/>
      </w:pPr>
      <w:bookmarkStart w:id="380" w:name="_Toc390078598"/>
      <w:r>
        <w:rPr>
          <w:rStyle w:val="CharSectno"/>
        </w:rPr>
        <w:t>223</w:t>
      </w:r>
      <w:r>
        <w:t>.</w:t>
      </w:r>
      <w:r>
        <w:tab/>
        <w:t>Interest after order for payment</w:t>
      </w:r>
      <w:bookmarkEnd w:id="380"/>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by No. 42 of 2004 s. 130.]</w:t>
      </w:r>
    </w:p>
    <w:p>
      <w:pPr>
        <w:pStyle w:val="Heading5"/>
      </w:pPr>
      <w:bookmarkStart w:id="381" w:name="_Toc390078599"/>
      <w:r>
        <w:rPr>
          <w:rStyle w:val="CharSectno"/>
        </w:rPr>
        <w:t>224</w:t>
      </w:r>
      <w:r>
        <w:t>.</w:t>
      </w:r>
      <w:r>
        <w:tab/>
        <w:t>Interest on agreed payment of lump sum compensation</w:t>
      </w:r>
      <w:bookmarkEnd w:id="381"/>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by No. 42 of 2004 s. 130.]</w:t>
      </w:r>
    </w:p>
    <w:p>
      <w:pPr>
        <w:pStyle w:val="Heading5"/>
      </w:pPr>
      <w:bookmarkStart w:id="382" w:name="_Toc390078600"/>
      <w:r>
        <w:rPr>
          <w:rStyle w:val="CharSectno"/>
        </w:rPr>
        <w:t>225</w:t>
      </w:r>
      <w:r>
        <w:t>.</w:t>
      </w:r>
      <w:r>
        <w:tab/>
        <w:t>Regulations may exclude interest</w:t>
      </w:r>
      <w:bookmarkEnd w:id="382"/>
    </w:p>
    <w:p>
      <w:pPr>
        <w:pStyle w:val="Subsection"/>
      </w:pPr>
      <w:r>
        <w:tab/>
      </w:r>
      <w:r>
        <w:tab/>
        <w:t>Interest is not payable under section 222, 223 or 224 in the circumstances prescribed in the regulations.</w:t>
      </w:r>
    </w:p>
    <w:p>
      <w:pPr>
        <w:pStyle w:val="Footnotesection"/>
      </w:pPr>
      <w:r>
        <w:tab/>
        <w:t>[Section 225 inserted by No. 42 of 2004 s. 130.]</w:t>
      </w:r>
    </w:p>
    <w:p>
      <w:pPr>
        <w:pStyle w:val="Heading2"/>
      </w:pPr>
      <w:bookmarkStart w:id="383" w:name="_Toc390078601"/>
      <w:r>
        <w:rPr>
          <w:rStyle w:val="CharPartNo"/>
        </w:rPr>
        <w:t>Part XII</w:t>
      </w:r>
      <w:r>
        <w:rPr>
          <w:b w:val="0"/>
        </w:rPr>
        <w:t> </w:t>
      </w:r>
      <w:r>
        <w:t>—</w:t>
      </w:r>
      <w:r>
        <w:rPr>
          <w:b w:val="0"/>
        </w:rPr>
        <w:t> </w:t>
      </w:r>
      <w:r>
        <w:rPr>
          <w:rStyle w:val="CharPartText"/>
        </w:rPr>
        <w:t>Interim orders and minor claims</w:t>
      </w:r>
      <w:bookmarkEnd w:id="383"/>
    </w:p>
    <w:p>
      <w:pPr>
        <w:pStyle w:val="Footnoteheading"/>
      </w:pPr>
      <w:r>
        <w:tab/>
        <w:t>[Heading inserted by No. 42 of 2004 s. 130.]</w:t>
      </w:r>
    </w:p>
    <w:p>
      <w:pPr>
        <w:pStyle w:val="Heading3"/>
      </w:pPr>
      <w:bookmarkStart w:id="384" w:name="_Toc390078602"/>
      <w:r>
        <w:rPr>
          <w:rStyle w:val="CharDivNo"/>
        </w:rPr>
        <w:t>Division 1</w:t>
      </w:r>
      <w:r>
        <w:t> — </w:t>
      </w:r>
      <w:r>
        <w:rPr>
          <w:rStyle w:val="CharDivText"/>
        </w:rPr>
        <w:t>Preliminary</w:t>
      </w:r>
      <w:bookmarkEnd w:id="384"/>
    </w:p>
    <w:p>
      <w:pPr>
        <w:pStyle w:val="Footnoteheading"/>
      </w:pPr>
      <w:r>
        <w:tab/>
        <w:t>[Heading inserted by No. 42 of 2004 s. 130.]</w:t>
      </w:r>
    </w:p>
    <w:p>
      <w:pPr>
        <w:pStyle w:val="Heading5"/>
      </w:pPr>
      <w:bookmarkStart w:id="385" w:name="_Toc390078603"/>
      <w:r>
        <w:rPr>
          <w:rStyle w:val="CharSectno"/>
        </w:rPr>
        <w:t>226</w:t>
      </w:r>
      <w:r>
        <w:t>.</w:t>
      </w:r>
      <w:r>
        <w:tab/>
        <w:t>Interpretation</w:t>
      </w:r>
      <w:bookmarkEnd w:id="385"/>
    </w:p>
    <w:p>
      <w:pPr>
        <w:pStyle w:val="Subsection"/>
      </w:pPr>
      <w:r>
        <w:tab/>
      </w:r>
      <w:r>
        <w:tab/>
        <w:t xml:space="preserve">In this Part — </w:t>
      </w:r>
    </w:p>
    <w:p>
      <w:pPr>
        <w:pStyle w:val="Defstart"/>
      </w:pPr>
      <w:r>
        <w:rPr>
          <w:b/>
        </w:rPr>
        <w:tab/>
      </w:r>
      <w:r>
        <w:rPr>
          <w:rStyle w:val="CharDefText"/>
        </w:rPr>
        <w:t>statutory expenses</w:t>
      </w:r>
      <w:r>
        <w:t xml:space="preserve"> means a compensation entitlement under clause 17.</w:t>
      </w:r>
    </w:p>
    <w:p>
      <w:pPr>
        <w:pStyle w:val="Footnotesection"/>
      </w:pPr>
      <w:r>
        <w:tab/>
        <w:t>[Section 226 inserted by No. 42 of 2004 s. 130.]</w:t>
      </w:r>
    </w:p>
    <w:p>
      <w:pPr>
        <w:pStyle w:val="Heading5"/>
      </w:pPr>
      <w:bookmarkStart w:id="386" w:name="_Toc390078604"/>
      <w:r>
        <w:rPr>
          <w:rStyle w:val="CharSectno"/>
        </w:rPr>
        <w:t>227</w:t>
      </w:r>
      <w:r>
        <w:t>.</w:t>
      </w:r>
      <w:r>
        <w:tab/>
        <w:t>Exercise of functions under this Part</w:t>
      </w:r>
      <w:bookmarkEnd w:id="386"/>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r>
        <w:tab/>
        <w:t>[Section 227 inserted by No. 42 of 2004 s. 130.]</w:t>
      </w:r>
    </w:p>
    <w:p>
      <w:pPr>
        <w:pStyle w:val="Heading5"/>
      </w:pPr>
      <w:bookmarkStart w:id="387" w:name="_Toc390078605"/>
      <w:r>
        <w:rPr>
          <w:rStyle w:val="CharSectno"/>
        </w:rPr>
        <w:t>228</w:t>
      </w:r>
      <w:r>
        <w:t>.</w:t>
      </w:r>
      <w:r>
        <w:tab/>
        <w:t>Provisions of Part XI apply</w:t>
      </w:r>
      <w:bookmarkEnd w:id="387"/>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r>
        <w:tab/>
        <w:t>[Section 228 inserted by No. 42 of 2004 s. 130.]</w:t>
      </w:r>
    </w:p>
    <w:p>
      <w:pPr>
        <w:pStyle w:val="Heading5"/>
      </w:pPr>
      <w:bookmarkStart w:id="388" w:name="_Toc390078606"/>
      <w:r>
        <w:rPr>
          <w:rStyle w:val="CharSectno"/>
        </w:rPr>
        <w:t>229</w:t>
      </w:r>
      <w:r>
        <w:t>.</w:t>
      </w:r>
      <w:r>
        <w:tab/>
        <w:t>Arbitrator may direct that matter be dealt with under Part XI</w:t>
      </w:r>
      <w:bookmarkEnd w:id="388"/>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r>
        <w:tab/>
        <w:t>[Section 229 inserted by No. 42 of 2004 s. 130.]</w:t>
      </w:r>
    </w:p>
    <w:p>
      <w:pPr>
        <w:pStyle w:val="Heading5"/>
      </w:pPr>
      <w:bookmarkStart w:id="389" w:name="_Toc390078607"/>
      <w:r>
        <w:rPr>
          <w:rStyle w:val="CharSectno"/>
        </w:rPr>
        <w:t>230</w:t>
      </w:r>
      <w:r>
        <w:t>.</w:t>
      </w:r>
      <w:r>
        <w:tab/>
        <w:t>DRD Rules apply</w:t>
      </w:r>
      <w:bookmarkEnd w:id="389"/>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r>
        <w:tab/>
        <w:t>[Section 230 inserted by No. 42 of 2004 s. 130.]</w:t>
      </w:r>
    </w:p>
    <w:p>
      <w:pPr>
        <w:pStyle w:val="Heading3"/>
      </w:pPr>
      <w:bookmarkStart w:id="390" w:name="_Toc390078608"/>
      <w:r>
        <w:rPr>
          <w:rStyle w:val="CharDivNo"/>
        </w:rPr>
        <w:t>Division 2</w:t>
      </w:r>
      <w:r>
        <w:t> — </w:t>
      </w:r>
      <w:r>
        <w:rPr>
          <w:rStyle w:val="CharDivText"/>
        </w:rPr>
        <w:t>Interim payment orders</w:t>
      </w:r>
      <w:bookmarkEnd w:id="390"/>
    </w:p>
    <w:p>
      <w:pPr>
        <w:pStyle w:val="Footnoteheading"/>
      </w:pPr>
      <w:r>
        <w:tab/>
        <w:t>[Heading inserted by No. 42 of 2004 s. 130.]</w:t>
      </w:r>
    </w:p>
    <w:p>
      <w:pPr>
        <w:pStyle w:val="Heading5"/>
        <w:rPr>
          <w:rStyle w:val="CharSectno"/>
        </w:rPr>
      </w:pPr>
      <w:bookmarkStart w:id="391" w:name="_Toc390078609"/>
      <w:r>
        <w:rPr>
          <w:rStyle w:val="CharSectno"/>
        </w:rPr>
        <w:t>231.</w:t>
      </w:r>
      <w:r>
        <w:rPr>
          <w:rStyle w:val="CharSectno"/>
        </w:rPr>
        <w:tab/>
        <w:t>Application for interim payment order</w:t>
      </w:r>
      <w:bookmarkEnd w:id="391"/>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r>
        <w:tab/>
        <w:t>[Section 231 inserted by No. 42 of 2004 s. 130; amended by No. 16 of 2005 s. 25.]</w:t>
      </w:r>
    </w:p>
    <w:p>
      <w:pPr>
        <w:pStyle w:val="Heading5"/>
      </w:pPr>
      <w:bookmarkStart w:id="392" w:name="_Toc390078610"/>
      <w:r>
        <w:rPr>
          <w:rStyle w:val="CharSectno"/>
        </w:rPr>
        <w:t>232</w:t>
      </w:r>
      <w:r>
        <w:t>.</w:t>
      </w:r>
      <w:r>
        <w:tab/>
        <w:t>Orders for interim weekly payments</w:t>
      </w:r>
      <w:bookmarkEnd w:id="392"/>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r>
        <w:tab/>
        <w:t>[Section 232 inserted by No. 42 of 2004 s. 130.]</w:t>
      </w:r>
    </w:p>
    <w:p>
      <w:pPr>
        <w:pStyle w:val="Heading5"/>
      </w:pPr>
      <w:bookmarkStart w:id="393" w:name="_Toc390078611"/>
      <w:r>
        <w:rPr>
          <w:rStyle w:val="CharSectno"/>
        </w:rPr>
        <w:t>233</w:t>
      </w:r>
      <w:r>
        <w:t>.</w:t>
      </w:r>
      <w:r>
        <w:tab/>
        <w:t>Orders for interim payment of statutory expenses</w:t>
      </w:r>
      <w:bookmarkEnd w:id="393"/>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r>
        <w:tab/>
        <w:t>[Section 233 inserted by No. 42 of 2004 s. 130.]</w:t>
      </w:r>
    </w:p>
    <w:p>
      <w:pPr>
        <w:pStyle w:val="Heading5"/>
      </w:pPr>
      <w:bookmarkStart w:id="394" w:name="_Toc390078612"/>
      <w:r>
        <w:rPr>
          <w:rStyle w:val="CharSectno"/>
        </w:rPr>
        <w:t>234</w:t>
      </w:r>
      <w:r>
        <w:t>.</w:t>
      </w:r>
      <w:r>
        <w:tab/>
        <w:t>Limits on interim payment orders</w:t>
      </w:r>
      <w:bookmarkEnd w:id="394"/>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r>
        <w:tab/>
        <w:t>[Section 234 inserted by No. 42 of 2004 s. 130.]</w:t>
      </w:r>
    </w:p>
    <w:p>
      <w:pPr>
        <w:pStyle w:val="Heading5"/>
      </w:pPr>
      <w:bookmarkStart w:id="395" w:name="_Toc390078613"/>
      <w:r>
        <w:rPr>
          <w:rStyle w:val="CharSectno"/>
        </w:rPr>
        <w:t>235</w:t>
      </w:r>
      <w:r>
        <w:t>.</w:t>
      </w:r>
      <w:r>
        <w:tab/>
        <w:t>Effect of interim payment order</w:t>
      </w:r>
      <w:bookmarkEnd w:id="395"/>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r>
        <w:tab/>
        <w:t>[Section 235 inserted by No. 42 of 2004 s. 130.]</w:t>
      </w:r>
    </w:p>
    <w:p>
      <w:pPr>
        <w:pStyle w:val="Heading5"/>
      </w:pPr>
      <w:bookmarkStart w:id="396" w:name="_Toc390078614"/>
      <w:r>
        <w:rPr>
          <w:rStyle w:val="CharSectno"/>
        </w:rPr>
        <w:t>236</w:t>
      </w:r>
      <w:r>
        <w:t>.</w:t>
      </w:r>
      <w:r>
        <w:tab/>
        <w:t>Recovery of payments</w:t>
      </w:r>
      <w:bookmarkEnd w:id="396"/>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236 inserted by No. 42 of 2004 s. 130.]</w:t>
      </w:r>
    </w:p>
    <w:p>
      <w:pPr>
        <w:pStyle w:val="Heading5"/>
      </w:pPr>
      <w:bookmarkStart w:id="397" w:name="_Toc390078615"/>
      <w:r>
        <w:rPr>
          <w:rStyle w:val="CharSectno"/>
        </w:rPr>
        <w:t>237</w:t>
      </w:r>
      <w:r>
        <w:t>.</w:t>
      </w:r>
      <w:r>
        <w:tab/>
        <w:t>Revocation of interim payment order</w:t>
      </w:r>
      <w:bookmarkEnd w:id="397"/>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r>
        <w:tab/>
        <w:t>[Section 237 inserted by No. 42 of 2004 s. 130.]</w:t>
      </w:r>
    </w:p>
    <w:p>
      <w:pPr>
        <w:pStyle w:val="Heading3"/>
      </w:pPr>
      <w:bookmarkStart w:id="398" w:name="_Toc390078616"/>
      <w:r>
        <w:rPr>
          <w:rStyle w:val="CharDivNo"/>
        </w:rPr>
        <w:t>Division 3</w:t>
      </w:r>
      <w:r>
        <w:t> — </w:t>
      </w:r>
      <w:r>
        <w:rPr>
          <w:rStyle w:val="CharDivText"/>
        </w:rPr>
        <w:t>Interim suspension or reduction orders</w:t>
      </w:r>
      <w:bookmarkEnd w:id="398"/>
    </w:p>
    <w:p>
      <w:pPr>
        <w:pStyle w:val="Footnoteheading"/>
      </w:pPr>
      <w:r>
        <w:tab/>
        <w:t>[Heading inserted by No. 42 of 2004 s. 130.]</w:t>
      </w:r>
    </w:p>
    <w:p>
      <w:pPr>
        <w:pStyle w:val="Heading5"/>
      </w:pPr>
      <w:bookmarkStart w:id="399" w:name="_Toc390078617"/>
      <w:r>
        <w:rPr>
          <w:rStyle w:val="CharSectno"/>
        </w:rPr>
        <w:t>238</w:t>
      </w:r>
      <w:r>
        <w:t>.</w:t>
      </w:r>
      <w:r>
        <w:tab/>
        <w:t>Interim suspension or reduction order</w:t>
      </w:r>
      <w:bookmarkEnd w:id="399"/>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rStyle w:val="CharDefText"/>
        </w:rPr>
        <w:t>Part XI application</w:t>
      </w:r>
      <w:r>
        <w:t>); or</w:t>
      </w:r>
    </w:p>
    <w:p>
      <w:pPr>
        <w:pStyle w:val="Indenta"/>
      </w:pPr>
      <w:r>
        <w:tab/>
        <w:t>(b)</w:t>
      </w:r>
      <w:r>
        <w:tab/>
        <w:t xml:space="preserve">after lodging an application under Part XI in respect of the same matter (the </w:t>
      </w:r>
      <w:r>
        <w:rPr>
          <w:rStyle w:val="CharDefText"/>
        </w:rPr>
        <w:t>Part XI application</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rStyle w:val="CharDefText"/>
        </w:rPr>
        <w:t>interim suspension order</w:t>
      </w:r>
      <w:r>
        <w:rPr>
          <w:b/>
        </w:rPr>
        <w:t xml:space="preserve"> </w:t>
      </w:r>
      <w:r>
        <w:t xml:space="preserve">or an </w:t>
      </w:r>
      <w:r>
        <w:rPr>
          <w:rStyle w:val="CharDefText"/>
        </w:rPr>
        <w:t>interim reduction order</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r>
        <w:tab/>
        <w:t>[Section 238 inserted by No. 42 of 2004 s. 130.]</w:t>
      </w:r>
    </w:p>
    <w:p>
      <w:pPr>
        <w:pStyle w:val="Heading5"/>
      </w:pPr>
      <w:bookmarkStart w:id="400" w:name="_Toc390078618"/>
      <w:r>
        <w:rPr>
          <w:rStyle w:val="CharSectno"/>
        </w:rPr>
        <w:t>239</w:t>
      </w:r>
      <w:r>
        <w:t>.</w:t>
      </w:r>
      <w:r>
        <w:tab/>
        <w:t>Effect of Part XI determination on the same matter as a matter determined under this Division</w:t>
      </w:r>
      <w:bookmarkEnd w:id="400"/>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r>
        <w:tab/>
        <w:t>[Section 239 inserted by No. 42 of 2004 s. 130.]</w:t>
      </w:r>
    </w:p>
    <w:p>
      <w:pPr>
        <w:pStyle w:val="Heading5"/>
        <w:spacing w:before="260"/>
      </w:pPr>
      <w:bookmarkStart w:id="401" w:name="_Toc390078619"/>
      <w:r>
        <w:rPr>
          <w:rStyle w:val="CharSectno"/>
        </w:rPr>
        <w:t>240</w:t>
      </w:r>
      <w:r>
        <w:t>.</w:t>
      </w:r>
      <w:r>
        <w:tab/>
        <w:t>Revocation of interim suspension or reduction order</w:t>
      </w:r>
      <w:bookmarkEnd w:id="401"/>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r>
        <w:tab/>
        <w:t>[Section 240 inserted by No. 42 of 2004 s. 130.]</w:t>
      </w:r>
    </w:p>
    <w:p>
      <w:pPr>
        <w:pStyle w:val="Heading3"/>
        <w:keepLines/>
      </w:pPr>
      <w:bookmarkStart w:id="402" w:name="_Toc390078620"/>
      <w:r>
        <w:rPr>
          <w:rStyle w:val="CharDivNo"/>
        </w:rPr>
        <w:t>Division 4</w:t>
      </w:r>
      <w:r>
        <w:t> — </w:t>
      </w:r>
      <w:r>
        <w:rPr>
          <w:rStyle w:val="CharDivText"/>
        </w:rPr>
        <w:t>Expedited determination of minor claims</w:t>
      </w:r>
      <w:bookmarkEnd w:id="402"/>
    </w:p>
    <w:p>
      <w:pPr>
        <w:pStyle w:val="Footnoteheading"/>
        <w:keepNext/>
        <w:keepLines/>
      </w:pPr>
      <w:r>
        <w:tab/>
        <w:t>[Heading inserted by No. 42 of 2004 s. 130.]</w:t>
      </w:r>
    </w:p>
    <w:p>
      <w:pPr>
        <w:pStyle w:val="Heading5"/>
      </w:pPr>
      <w:bookmarkStart w:id="403" w:name="_Toc390078621"/>
      <w:r>
        <w:rPr>
          <w:rStyle w:val="CharSectno"/>
        </w:rPr>
        <w:t>241</w:t>
      </w:r>
      <w:r>
        <w:t>.</w:t>
      </w:r>
      <w:r>
        <w:tab/>
        <w:t>Application for determination of minor claim</w:t>
      </w:r>
      <w:bookmarkEnd w:id="403"/>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r>
        <w:tab/>
        <w:t>[Section 241 inserted by No. 42 of 2004 s. 130; amended by No. 16 of 2005 s. 26.]</w:t>
      </w:r>
    </w:p>
    <w:p>
      <w:pPr>
        <w:pStyle w:val="Heading5"/>
      </w:pPr>
      <w:bookmarkStart w:id="404" w:name="_Toc390078622"/>
      <w:r>
        <w:rPr>
          <w:rStyle w:val="CharSectno"/>
        </w:rPr>
        <w:t>242</w:t>
      </w:r>
      <w:r>
        <w:t>.</w:t>
      </w:r>
      <w:r>
        <w:tab/>
        <w:t>Limits on minor claims orders</w:t>
      </w:r>
      <w:bookmarkEnd w:id="404"/>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r>
        <w:tab/>
        <w:t>[Section 242 inserted by No. 42 of 2004 s. 130.]</w:t>
      </w:r>
    </w:p>
    <w:p>
      <w:pPr>
        <w:pStyle w:val="Heading5"/>
      </w:pPr>
      <w:bookmarkStart w:id="405" w:name="_Toc390078623"/>
      <w:r>
        <w:rPr>
          <w:rStyle w:val="CharSectno"/>
        </w:rPr>
        <w:t>243</w:t>
      </w:r>
      <w:r>
        <w:t>.</w:t>
      </w:r>
      <w:r>
        <w:tab/>
        <w:t>No recovery of compensation</w:t>
      </w:r>
      <w:bookmarkEnd w:id="405"/>
    </w:p>
    <w:p>
      <w:pPr>
        <w:pStyle w:val="Subsection"/>
      </w:pPr>
      <w:r>
        <w:tab/>
      </w:r>
      <w:r>
        <w:tab/>
        <w:t>A worker cannot be required to refund compensation paid to the worker under this Division.</w:t>
      </w:r>
    </w:p>
    <w:p>
      <w:pPr>
        <w:pStyle w:val="Footnotesection"/>
      </w:pPr>
      <w:r>
        <w:tab/>
        <w:t>[Section 243 inserted by No. 42 of 2004 s. 130.]</w:t>
      </w:r>
    </w:p>
    <w:p>
      <w:pPr>
        <w:pStyle w:val="Heading5"/>
      </w:pPr>
      <w:bookmarkStart w:id="406" w:name="_Toc390078624"/>
      <w:r>
        <w:rPr>
          <w:rStyle w:val="CharSectno"/>
        </w:rPr>
        <w:t>244</w:t>
      </w:r>
      <w:r>
        <w:t>.</w:t>
      </w:r>
      <w:r>
        <w:tab/>
        <w:t>Production of documents</w:t>
      </w:r>
      <w:bookmarkEnd w:id="406"/>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r>
        <w:tab/>
        <w:t>[Section 244 inserted by No. 42 of 2004 s. 130.]</w:t>
      </w:r>
    </w:p>
    <w:p>
      <w:pPr>
        <w:pStyle w:val="Heading2"/>
      </w:pPr>
      <w:bookmarkStart w:id="407" w:name="_Toc390078625"/>
      <w:r>
        <w:rPr>
          <w:rStyle w:val="CharPartNo"/>
        </w:rPr>
        <w:t>Part XIII</w:t>
      </w:r>
      <w:r>
        <w:rPr>
          <w:rStyle w:val="CharDivNo"/>
        </w:rPr>
        <w:t> </w:t>
      </w:r>
      <w:r>
        <w:t>—</w:t>
      </w:r>
      <w:r>
        <w:rPr>
          <w:rStyle w:val="CharDivText"/>
        </w:rPr>
        <w:t> </w:t>
      </w:r>
      <w:r>
        <w:rPr>
          <w:rStyle w:val="CharPartText"/>
        </w:rPr>
        <w:t>Questions of law and appeals</w:t>
      </w:r>
      <w:bookmarkEnd w:id="407"/>
    </w:p>
    <w:p>
      <w:pPr>
        <w:pStyle w:val="Footnoteheading"/>
      </w:pPr>
      <w:r>
        <w:tab/>
        <w:t>[Heading inserted by No. 42 of 2004 s. 130.]</w:t>
      </w:r>
    </w:p>
    <w:p>
      <w:pPr>
        <w:pStyle w:val="Heading5"/>
      </w:pPr>
      <w:bookmarkStart w:id="408" w:name="_Toc390078626"/>
      <w:r>
        <w:rPr>
          <w:rStyle w:val="CharSectno"/>
        </w:rPr>
        <w:t>245</w:t>
      </w:r>
      <w:r>
        <w:t>.</w:t>
      </w:r>
      <w:r>
        <w:tab/>
        <w:t>Application of Part XI</w:t>
      </w:r>
      <w:bookmarkEnd w:id="408"/>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r>
        <w:tab/>
        <w:t>[Section 245 inserted by No. 42 of 2004 s. 130.]</w:t>
      </w:r>
    </w:p>
    <w:p>
      <w:pPr>
        <w:pStyle w:val="Heading5"/>
      </w:pPr>
      <w:bookmarkStart w:id="409" w:name="_Toc390078627"/>
      <w:r>
        <w:rPr>
          <w:rStyle w:val="CharSectno"/>
        </w:rPr>
        <w:t>246</w:t>
      </w:r>
      <w:r>
        <w:t>.</w:t>
      </w:r>
      <w:r>
        <w:tab/>
        <w:t>Reference of question of law to Commissioner</w:t>
      </w:r>
      <w:bookmarkEnd w:id="409"/>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r>
        <w:tab/>
        <w:t>[Section 246 inserted by No. 42 of 2004 s. 130.]</w:t>
      </w:r>
    </w:p>
    <w:p>
      <w:pPr>
        <w:pStyle w:val="Heading5"/>
      </w:pPr>
      <w:bookmarkStart w:id="410" w:name="_Toc390078628"/>
      <w:r>
        <w:rPr>
          <w:rStyle w:val="CharSectno"/>
        </w:rPr>
        <w:t>247</w:t>
      </w:r>
      <w:r>
        <w:t>.</w:t>
      </w:r>
      <w:r>
        <w:tab/>
        <w:t>Appeal against decision of arbitrator</w:t>
      </w:r>
      <w:bookmarkEnd w:id="410"/>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r>
        <w:tab/>
        <w:t>[Section 247 inserted by No. 42 of 2004 s. 130; amended by No. 16 of 2005 s. 27.]</w:t>
      </w:r>
    </w:p>
    <w:p>
      <w:pPr>
        <w:pStyle w:val="Heading5"/>
      </w:pPr>
      <w:bookmarkStart w:id="411" w:name="_Toc390078629"/>
      <w:r>
        <w:rPr>
          <w:rStyle w:val="CharSectno"/>
        </w:rPr>
        <w:t>248</w:t>
      </w:r>
      <w:r>
        <w:t>.</w:t>
      </w:r>
      <w:r>
        <w:tab/>
        <w:t>Commencing appeal</w:t>
      </w:r>
      <w:bookmarkEnd w:id="411"/>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r>
        <w:tab/>
        <w:t>[Section 248 inserted by No. 42 of 2004 s. 130.]</w:t>
      </w:r>
    </w:p>
    <w:p>
      <w:pPr>
        <w:pStyle w:val="Heading5"/>
      </w:pPr>
      <w:bookmarkStart w:id="412" w:name="_Toc390078630"/>
      <w:r>
        <w:rPr>
          <w:rStyle w:val="CharSectno"/>
        </w:rPr>
        <w:t>249</w:t>
      </w:r>
      <w:r>
        <w:t>.</w:t>
      </w:r>
      <w:r>
        <w:tab/>
        <w:t>Commissioner hearing to be held in public</w:t>
      </w:r>
      <w:bookmarkEnd w:id="412"/>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r>
        <w:tab/>
        <w:t>[Section 249 inserted by No. 42 of 2004 s. 130.]</w:t>
      </w:r>
    </w:p>
    <w:p>
      <w:pPr>
        <w:pStyle w:val="Heading5"/>
      </w:pPr>
      <w:bookmarkStart w:id="413" w:name="_Toc390078631"/>
      <w:r>
        <w:rPr>
          <w:rStyle w:val="CharSectno"/>
        </w:rPr>
        <w:t>250</w:t>
      </w:r>
      <w:r>
        <w:t>.</w:t>
      </w:r>
      <w:r>
        <w:tab/>
        <w:t>Effect of decision against which appeal made</w:t>
      </w:r>
      <w:bookmarkEnd w:id="413"/>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414" w:name="_Toc390078632"/>
      <w:r>
        <w:rPr>
          <w:rStyle w:val="CharSectno"/>
        </w:rPr>
        <w:t>251</w:t>
      </w:r>
      <w:r>
        <w:t>.</w:t>
      </w:r>
      <w:r>
        <w:tab/>
        <w:t>Commissioner may state case</w:t>
      </w:r>
      <w:bookmarkEnd w:id="414"/>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r>
        <w:tab/>
        <w:t>[Section 251 inserted by No. 42 of 2004 s. 130; amended by No. 16 of 2005 s. 32(3).]</w:t>
      </w:r>
    </w:p>
    <w:p>
      <w:pPr>
        <w:pStyle w:val="Heading5"/>
      </w:pPr>
      <w:bookmarkStart w:id="415" w:name="_Toc390078633"/>
      <w:r>
        <w:rPr>
          <w:rStyle w:val="CharSectno"/>
        </w:rPr>
        <w:t>252</w:t>
      </w:r>
      <w:r>
        <w:t>.</w:t>
      </w:r>
      <w:r>
        <w:tab/>
        <w:t>Indemnity as to costs</w:t>
      </w:r>
      <w:bookmarkEnd w:id="415"/>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 17.]</w:t>
      </w:r>
    </w:p>
    <w:p>
      <w:pPr>
        <w:pStyle w:val="Heading5"/>
      </w:pPr>
      <w:bookmarkStart w:id="416" w:name="_Toc390078634"/>
      <w:r>
        <w:rPr>
          <w:rStyle w:val="CharSectno"/>
        </w:rPr>
        <w:t>253</w:t>
      </w:r>
      <w:r>
        <w:t>.</w:t>
      </w:r>
      <w:r>
        <w:tab/>
        <w:t>Decisions of Commissioner</w:t>
      </w:r>
      <w:bookmarkEnd w:id="416"/>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417" w:name="_Toc390078635"/>
      <w:r>
        <w:rPr>
          <w:rStyle w:val="CharSectno"/>
        </w:rPr>
        <w:t>254</w:t>
      </w:r>
      <w:r>
        <w:t>.</w:t>
      </w:r>
      <w:r>
        <w:tab/>
        <w:t>Appeal against decision of Commissioner</w:t>
      </w:r>
      <w:bookmarkEnd w:id="417"/>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repealed]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r>
        <w:tab/>
        <w:t>[Section 254 inserted by No. 42 of 2004 s. 130; amended by No. 16 of 2005 s. 32(4)</w:t>
      </w:r>
      <w:r>
        <w:noBreakHyphen/>
        <w:t>(6).]</w:t>
      </w:r>
    </w:p>
    <w:p>
      <w:pPr>
        <w:pStyle w:val="Heading2"/>
      </w:pPr>
      <w:bookmarkStart w:id="418" w:name="_Toc390078636"/>
      <w:r>
        <w:rPr>
          <w:rStyle w:val="CharPartNo"/>
        </w:rPr>
        <w:t>Part XIV</w:t>
      </w:r>
      <w:r>
        <w:rPr>
          <w:b w:val="0"/>
        </w:rPr>
        <w:t> </w:t>
      </w:r>
      <w:r>
        <w:t>—</w:t>
      </w:r>
      <w:r>
        <w:rPr>
          <w:b w:val="0"/>
        </w:rPr>
        <w:t> </w:t>
      </w:r>
      <w:r>
        <w:rPr>
          <w:rStyle w:val="CharPartText"/>
        </w:rPr>
        <w:t>Offences</w:t>
      </w:r>
      <w:bookmarkEnd w:id="418"/>
    </w:p>
    <w:p>
      <w:pPr>
        <w:pStyle w:val="Footnoteheading"/>
      </w:pPr>
      <w:r>
        <w:tab/>
        <w:t>[Heading inserted by No. 42 of 2004 s. 130.]</w:t>
      </w:r>
    </w:p>
    <w:p>
      <w:pPr>
        <w:pStyle w:val="Heading5"/>
      </w:pPr>
      <w:bookmarkStart w:id="419" w:name="_Toc390078637"/>
      <w:r>
        <w:rPr>
          <w:rStyle w:val="CharSectno"/>
        </w:rPr>
        <w:t>255</w:t>
      </w:r>
      <w:r>
        <w:t>.</w:t>
      </w:r>
      <w:r>
        <w:tab/>
        <w:t>Failing to comply with decision</w:t>
      </w:r>
      <w:bookmarkEnd w:id="419"/>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r>
        <w:tab/>
        <w:t>[Section 255 inserted by No. 42 of 2004 s. 130.]</w:t>
      </w:r>
    </w:p>
    <w:p>
      <w:pPr>
        <w:pStyle w:val="Heading5"/>
      </w:pPr>
      <w:bookmarkStart w:id="420" w:name="_Toc390078638"/>
      <w:r>
        <w:rPr>
          <w:rStyle w:val="CharSectno"/>
        </w:rPr>
        <w:t>256</w:t>
      </w:r>
      <w:r>
        <w:t>.</w:t>
      </w:r>
      <w:r>
        <w:tab/>
        <w:t>Failing to comply with summons</w:t>
      </w:r>
      <w:bookmarkEnd w:id="420"/>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r>
        <w:tab/>
        <w:t>[Section 256 inserted by No. 42 of 2004 s. 130.]</w:t>
      </w:r>
    </w:p>
    <w:p>
      <w:pPr>
        <w:pStyle w:val="Heading5"/>
      </w:pPr>
      <w:bookmarkStart w:id="421" w:name="_Toc390078639"/>
      <w:r>
        <w:rPr>
          <w:rStyle w:val="CharSectno"/>
        </w:rPr>
        <w:t>257</w:t>
      </w:r>
      <w:r>
        <w:t>.</w:t>
      </w:r>
      <w:r>
        <w:tab/>
        <w:t>Failing to give evidence as required</w:t>
      </w:r>
      <w:bookmarkEnd w:id="421"/>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r>
        <w:tab/>
        <w:t>[Section 257 inserted by No. 42 of 2004 s. 130.]</w:t>
      </w:r>
    </w:p>
    <w:p>
      <w:pPr>
        <w:pStyle w:val="Heading5"/>
      </w:pPr>
      <w:bookmarkStart w:id="422" w:name="_Toc390078640"/>
      <w:r>
        <w:rPr>
          <w:rStyle w:val="CharSectno"/>
        </w:rPr>
        <w:t>258</w:t>
      </w:r>
      <w:r>
        <w:t>.</w:t>
      </w:r>
      <w:r>
        <w:tab/>
        <w:t>Giving false or misleading information</w:t>
      </w:r>
      <w:bookmarkEnd w:id="422"/>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by No. 42 of 2004 s. 130.]</w:t>
      </w:r>
    </w:p>
    <w:p>
      <w:pPr>
        <w:pStyle w:val="Heading5"/>
      </w:pPr>
      <w:bookmarkStart w:id="423" w:name="_Toc390078641"/>
      <w:r>
        <w:rPr>
          <w:rStyle w:val="CharSectno"/>
        </w:rPr>
        <w:t>259</w:t>
      </w:r>
      <w:r>
        <w:t>.</w:t>
      </w:r>
      <w:r>
        <w:tab/>
        <w:t>Misbehaviour and other conduct</w:t>
      </w:r>
      <w:bookmarkEnd w:id="423"/>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by No. 42 of 2004 s. 130.]</w:t>
      </w:r>
    </w:p>
    <w:p>
      <w:pPr>
        <w:pStyle w:val="Heading5"/>
      </w:pPr>
      <w:bookmarkStart w:id="424" w:name="_Toc390078642"/>
      <w:r>
        <w:rPr>
          <w:rStyle w:val="CharSectno"/>
        </w:rPr>
        <w:t>260</w:t>
      </w:r>
      <w:r>
        <w:t>.</w:t>
      </w:r>
      <w:r>
        <w:tab/>
        <w:t>Contempt of Commissioner</w:t>
      </w:r>
      <w:bookmarkEnd w:id="424"/>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r>
        <w:tab/>
        <w:t>[Section 260 inserted by No. 42 of 2004 s. 130.]</w:t>
      </w:r>
    </w:p>
    <w:p>
      <w:pPr>
        <w:pStyle w:val="Heading2"/>
      </w:pPr>
      <w:bookmarkStart w:id="425" w:name="_Toc390078643"/>
      <w:r>
        <w:rPr>
          <w:rStyle w:val="CharPartNo"/>
        </w:rPr>
        <w:t>Part XV</w:t>
      </w:r>
      <w:r>
        <w:rPr>
          <w:b w:val="0"/>
        </w:rPr>
        <w:t> </w:t>
      </w:r>
      <w:r>
        <w:t>—</w:t>
      </w:r>
      <w:r>
        <w:rPr>
          <w:b w:val="0"/>
        </w:rPr>
        <w:t> </w:t>
      </w:r>
      <w:r>
        <w:rPr>
          <w:rStyle w:val="CharPartText"/>
        </w:rPr>
        <w:t>Costs</w:t>
      </w:r>
      <w:bookmarkEnd w:id="425"/>
    </w:p>
    <w:p>
      <w:pPr>
        <w:pStyle w:val="Footnoteheading"/>
      </w:pPr>
      <w:r>
        <w:tab/>
        <w:t>[Heading inserted by No. 42 of 2004 s. 130.]</w:t>
      </w:r>
    </w:p>
    <w:p>
      <w:pPr>
        <w:pStyle w:val="Heading3"/>
      </w:pPr>
      <w:bookmarkStart w:id="426" w:name="_Toc390078644"/>
      <w:r>
        <w:rPr>
          <w:rStyle w:val="CharDivNo"/>
        </w:rPr>
        <w:t>Division 1</w:t>
      </w:r>
      <w:r>
        <w:t> — </w:t>
      </w:r>
      <w:r>
        <w:rPr>
          <w:rStyle w:val="CharDivText"/>
        </w:rPr>
        <w:t>General</w:t>
      </w:r>
      <w:bookmarkEnd w:id="426"/>
    </w:p>
    <w:p>
      <w:pPr>
        <w:pStyle w:val="Footnoteheading"/>
      </w:pPr>
      <w:r>
        <w:tab/>
        <w:t>[Heading inserted by No. 42 of 2004 s. 130.]</w:t>
      </w:r>
    </w:p>
    <w:p>
      <w:pPr>
        <w:pStyle w:val="Heading5"/>
      </w:pPr>
      <w:bookmarkStart w:id="427" w:name="_Toc390078645"/>
      <w:r>
        <w:rPr>
          <w:rStyle w:val="CharSectno"/>
        </w:rPr>
        <w:t>261</w:t>
      </w:r>
      <w:r>
        <w:t>.</w:t>
      </w:r>
      <w:r>
        <w:tab/>
        <w:t>Terms used in this Part</w:t>
      </w:r>
      <w:bookmarkEnd w:id="427"/>
    </w:p>
    <w:p>
      <w:pPr>
        <w:pStyle w:val="Subsection"/>
      </w:pPr>
      <w:r>
        <w:tab/>
      </w:r>
      <w:r>
        <w:tab/>
        <w:t xml:space="preserve">In this Part —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by No. 42 of 2004 s. 130.]</w:t>
      </w:r>
    </w:p>
    <w:p>
      <w:pPr>
        <w:pStyle w:val="Heading5"/>
      </w:pPr>
      <w:bookmarkStart w:id="428" w:name="_Toc390078646"/>
      <w:r>
        <w:rPr>
          <w:rStyle w:val="CharSectno"/>
        </w:rPr>
        <w:t>262</w:t>
      </w:r>
      <w:r>
        <w:t>.</w:t>
      </w:r>
      <w:r>
        <w:tab/>
        <w:t>Costs to which this Part applies</w:t>
      </w:r>
      <w:bookmarkEnd w:id="428"/>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by No. 42 of 2004 s. 130.]</w:t>
      </w:r>
    </w:p>
    <w:p>
      <w:pPr>
        <w:pStyle w:val="Heading5"/>
      </w:pPr>
      <w:bookmarkStart w:id="429" w:name="_Toc390078647"/>
      <w:r>
        <w:rPr>
          <w:rStyle w:val="CharSectno"/>
        </w:rPr>
        <w:t>263</w:t>
      </w:r>
      <w:r>
        <w:t>.</w:t>
      </w:r>
      <w:r>
        <w:tab/>
        <w:t xml:space="preserve">This Part prevails over </w:t>
      </w:r>
      <w:r>
        <w:rPr>
          <w:i/>
        </w:rPr>
        <w:t>Legal Practice Act 2003</w:t>
      </w:r>
      <w:bookmarkEnd w:id="429"/>
    </w:p>
    <w:p>
      <w:pPr>
        <w:pStyle w:val="Subsection"/>
      </w:pPr>
      <w:r>
        <w:tab/>
      </w:r>
      <w:r>
        <w:tab/>
        <w:t xml:space="preserve">This Part and any regulations under this Part prevail to the extent of any inconsistency with the </w:t>
      </w:r>
      <w:r>
        <w:rPr>
          <w:i/>
        </w:rPr>
        <w:t>Legal Practice Act 2003</w:t>
      </w:r>
      <w:r>
        <w:t>, and in particular Part 13 of that Act.</w:t>
      </w:r>
    </w:p>
    <w:p>
      <w:pPr>
        <w:pStyle w:val="Footnotesection"/>
      </w:pPr>
      <w:r>
        <w:tab/>
        <w:t>[Section 263 inserted by No. 42 of 2004 s. 130.]</w:t>
      </w:r>
    </w:p>
    <w:p>
      <w:pPr>
        <w:pStyle w:val="Heading3"/>
      </w:pPr>
      <w:bookmarkStart w:id="430" w:name="_Toc390078648"/>
      <w:r>
        <w:rPr>
          <w:rStyle w:val="CharDivNo"/>
        </w:rPr>
        <w:t>Division 2</w:t>
      </w:r>
      <w:r>
        <w:t> — </w:t>
      </w:r>
      <w:r>
        <w:rPr>
          <w:rStyle w:val="CharDivText"/>
        </w:rPr>
        <w:t>Costs of parties in proceedings and costs of proceedings</w:t>
      </w:r>
      <w:bookmarkEnd w:id="430"/>
    </w:p>
    <w:p>
      <w:pPr>
        <w:pStyle w:val="Footnoteheading"/>
      </w:pPr>
      <w:r>
        <w:tab/>
        <w:t>[Heading inserted by No. 42 of 2004 s. 130.]</w:t>
      </w:r>
    </w:p>
    <w:p>
      <w:pPr>
        <w:pStyle w:val="Heading5"/>
      </w:pPr>
      <w:bookmarkStart w:id="431" w:name="_Toc390078649"/>
      <w:r>
        <w:rPr>
          <w:rStyle w:val="CharSectno"/>
        </w:rPr>
        <w:t>264</w:t>
      </w:r>
      <w:r>
        <w:t>.</w:t>
      </w:r>
      <w:r>
        <w:tab/>
        <w:t>Costs to be determined by dispute resolution authority</w:t>
      </w:r>
      <w:bookmarkEnd w:id="431"/>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Part 13 Division 3 of the </w:t>
      </w:r>
      <w:r>
        <w:rPr>
          <w:i/>
        </w:rPr>
        <w:t>Legal Practice Act 2003</w:t>
      </w:r>
      <w:r>
        <w:t xml:space="preserve">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by No. 42 of 2004 s. 130.]</w:t>
      </w:r>
    </w:p>
    <w:p>
      <w:pPr>
        <w:pStyle w:val="Heading5"/>
      </w:pPr>
      <w:bookmarkStart w:id="432" w:name="_Toc390078650"/>
      <w:r>
        <w:rPr>
          <w:rStyle w:val="CharSectno"/>
        </w:rPr>
        <w:t>265</w:t>
      </w:r>
      <w:r>
        <w:t>.</w:t>
      </w:r>
      <w:r>
        <w:tab/>
        <w:t>Costs unreasonably incurred by representative</w:t>
      </w:r>
      <w:bookmarkEnd w:id="432"/>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by No. 42 of 2004 s. 130.]</w:t>
      </w:r>
    </w:p>
    <w:p>
      <w:pPr>
        <w:pStyle w:val="Heading5"/>
      </w:pPr>
      <w:bookmarkStart w:id="433" w:name="_Toc390078651"/>
      <w:r>
        <w:rPr>
          <w:rStyle w:val="CharSectno"/>
        </w:rPr>
        <w:t>266</w:t>
      </w:r>
      <w:r>
        <w:t>.</w:t>
      </w:r>
      <w:r>
        <w:tab/>
        <w:t>Agent’s costs</w:t>
      </w:r>
      <w:bookmarkEnd w:id="433"/>
    </w:p>
    <w:p>
      <w:pPr>
        <w:pStyle w:val="Subsection"/>
      </w:pPr>
      <w:r>
        <w:tab/>
      </w:r>
      <w:r>
        <w:tab/>
        <w:t>An agent is not entitled to be paid or recover any amount for an agent service unless the agent is a registered agent.</w:t>
      </w:r>
    </w:p>
    <w:p>
      <w:pPr>
        <w:pStyle w:val="Footnotesection"/>
      </w:pPr>
      <w:r>
        <w:tab/>
        <w:t>[Section 266 inserted by No. 42 of 2004 s. 130.]</w:t>
      </w:r>
    </w:p>
    <w:p>
      <w:pPr>
        <w:pStyle w:val="Heading5"/>
      </w:pPr>
      <w:bookmarkStart w:id="434" w:name="_Toc390078652"/>
      <w:r>
        <w:rPr>
          <w:rStyle w:val="CharSectno"/>
        </w:rPr>
        <w:t>267</w:t>
      </w:r>
      <w:r>
        <w:t>.</w:t>
      </w:r>
      <w:r>
        <w:tab/>
        <w:t>Appeal costs</w:t>
      </w:r>
      <w:bookmarkEnd w:id="434"/>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r>
        <w:tab/>
        <w:t>[Section 267 inserted by No. 42 of 2004 s. 130.]</w:t>
      </w:r>
    </w:p>
    <w:p>
      <w:pPr>
        <w:pStyle w:val="Heading5"/>
      </w:pPr>
      <w:bookmarkStart w:id="435" w:name="_Toc390078653"/>
      <w:r>
        <w:rPr>
          <w:rStyle w:val="CharSectno"/>
        </w:rPr>
        <w:t>268</w:t>
      </w:r>
      <w:r>
        <w:t>.</w:t>
      </w:r>
      <w:r>
        <w:tab/>
        <w:t>Regulations for assessment of costs</w:t>
      </w:r>
      <w:bookmarkEnd w:id="435"/>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Part 13 Division 3 of the </w:t>
      </w:r>
      <w:r>
        <w:rPr>
          <w:i/>
        </w:rPr>
        <w:t>Legal Practice Act 2003</w:t>
      </w:r>
      <w:r>
        <w:t>;</w:t>
      </w:r>
    </w:p>
    <w:p>
      <w:pPr>
        <w:pStyle w:val="Indenta"/>
        <w:spacing w:before="60"/>
      </w:pPr>
      <w:r>
        <w:tab/>
        <w:t>(b)</w:t>
      </w:r>
      <w:r>
        <w:tab/>
        <w:t xml:space="preserve">adopt, with or without modification, any of the provisions of Part 13 Division 3 of the </w:t>
      </w:r>
      <w:r>
        <w:rPr>
          <w:i/>
        </w:rPr>
        <w:t>Legal Practice Act 2003</w:t>
      </w:r>
      <w:r>
        <w:t>;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Practice Act 2003</w:t>
      </w:r>
      <w:r>
        <w:t>.</w:t>
      </w:r>
    </w:p>
    <w:p>
      <w:pPr>
        <w:pStyle w:val="Footnotesection"/>
        <w:spacing w:before="100"/>
        <w:ind w:left="890" w:hanging="890"/>
      </w:pPr>
      <w:r>
        <w:tab/>
        <w:t>[Section 268 inserted by No. 42 of 2004 s. 130.]</w:t>
      </w:r>
    </w:p>
    <w:p>
      <w:pPr>
        <w:pStyle w:val="Heading3"/>
        <w:spacing w:before="200"/>
      </w:pPr>
      <w:bookmarkStart w:id="436" w:name="_Toc390078654"/>
      <w:r>
        <w:rPr>
          <w:rStyle w:val="CharDivNo"/>
        </w:rPr>
        <w:t>Division 3</w:t>
      </w:r>
      <w:r>
        <w:t> — </w:t>
      </w:r>
      <w:r>
        <w:rPr>
          <w:rStyle w:val="CharDivText"/>
        </w:rPr>
        <w:t>Maximum costs</w:t>
      </w:r>
      <w:bookmarkEnd w:id="436"/>
    </w:p>
    <w:p>
      <w:pPr>
        <w:pStyle w:val="Footnoteheading"/>
        <w:spacing w:before="100"/>
      </w:pPr>
      <w:r>
        <w:tab/>
        <w:t>[Heading inserted by No. 42 of 2004 s. 130.]</w:t>
      </w:r>
    </w:p>
    <w:p>
      <w:pPr>
        <w:pStyle w:val="Heading5"/>
        <w:spacing w:before="180"/>
      </w:pPr>
      <w:bookmarkStart w:id="437" w:name="_Toc390078655"/>
      <w:r>
        <w:rPr>
          <w:rStyle w:val="CharSectno"/>
        </w:rPr>
        <w:t>269</w:t>
      </w:r>
      <w:r>
        <w:t>.</w:t>
      </w:r>
      <w:r>
        <w:tab/>
        <w:t>Costs Committee</w:t>
      </w:r>
      <w:bookmarkEnd w:id="437"/>
    </w:p>
    <w:p>
      <w:pPr>
        <w:pStyle w:val="Subsection"/>
        <w:spacing w:before="120"/>
      </w:pPr>
      <w:r>
        <w:tab/>
        <w:t>(1)</w:t>
      </w:r>
      <w:r>
        <w:tab/>
        <w:t xml:space="preserve">In this section — </w:t>
      </w:r>
    </w:p>
    <w:p>
      <w:pPr>
        <w:pStyle w:val="Defstart"/>
        <w:spacing w:before="120"/>
      </w:pPr>
      <w:r>
        <w:rPr>
          <w:b/>
        </w:rPr>
        <w:tab/>
      </w:r>
      <w:r>
        <w:rPr>
          <w:rStyle w:val="CharDefText"/>
        </w:rPr>
        <w:t>Legal Costs Committee</w:t>
      </w:r>
      <w:r>
        <w:t xml:space="preserve"> means the Legal Costs Committee established under the </w:t>
      </w:r>
      <w:r>
        <w:rPr>
          <w:i/>
        </w:rPr>
        <w:t>Legal Practice Act 2003</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spacing w:before="100"/>
        <w:ind w:left="890" w:hanging="890"/>
      </w:pPr>
      <w:r>
        <w:tab/>
        <w:t>[Section 269 inserted by No. 42 of 2004 s. 130.]</w:t>
      </w:r>
    </w:p>
    <w:p>
      <w:pPr>
        <w:pStyle w:val="Heading5"/>
      </w:pPr>
      <w:bookmarkStart w:id="438" w:name="_Toc390078656"/>
      <w:r>
        <w:rPr>
          <w:rStyle w:val="CharSectno"/>
        </w:rPr>
        <w:t>270</w:t>
      </w:r>
      <w:r>
        <w:t>.</w:t>
      </w:r>
      <w:r>
        <w:tab/>
        <w:t>Constitution and procedure of Costs Committee</w:t>
      </w:r>
      <w:bookmarkEnd w:id="438"/>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r>
        <w:tab/>
        <w:t>[Section 270 inserted by No. 42 of 2004 s. 130.]</w:t>
      </w:r>
    </w:p>
    <w:p>
      <w:pPr>
        <w:pStyle w:val="Heading5"/>
      </w:pPr>
      <w:bookmarkStart w:id="439" w:name="_Toc390078657"/>
      <w:r>
        <w:rPr>
          <w:rStyle w:val="CharSectno"/>
        </w:rPr>
        <w:t>271</w:t>
      </w:r>
      <w:r>
        <w:t>.</w:t>
      </w:r>
      <w:r>
        <w:tab/>
        <w:t>Costs determination</w:t>
      </w:r>
      <w:bookmarkEnd w:id="439"/>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legal costs determination under the </w:t>
      </w:r>
      <w:r>
        <w:rPr>
          <w:i/>
        </w:rPr>
        <w:t>Legal Practice Act 2003</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by No. 42 of 2004 s. 130.]</w:t>
      </w:r>
    </w:p>
    <w:p>
      <w:pPr>
        <w:pStyle w:val="Heading5"/>
      </w:pPr>
      <w:bookmarkStart w:id="440" w:name="_Toc390078658"/>
      <w:r>
        <w:rPr>
          <w:rStyle w:val="CharSectno"/>
        </w:rPr>
        <w:t>272</w:t>
      </w:r>
      <w:r>
        <w:t>.</w:t>
      </w:r>
      <w:r>
        <w:tab/>
        <w:t>Consultation</w:t>
      </w:r>
      <w:bookmarkEnd w:id="440"/>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r>
        <w:tab/>
        <w:t>[Section 272 inserted by No. 42 of 2004 s. 130.]</w:t>
      </w:r>
    </w:p>
    <w:p>
      <w:pPr>
        <w:pStyle w:val="Heading5"/>
      </w:pPr>
      <w:bookmarkStart w:id="441" w:name="_Toc390078659"/>
      <w:r>
        <w:rPr>
          <w:rStyle w:val="CharSectno"/>
        </w:rPr>
        <w:t>273</w:t>
      </w:r>
      <w:r>
        <w:t>.</w:t>
      </w:r>
      <w:r>
        <w:tab/>
        <w:t>Approval and publication of determination</w:t>
      </w:r>
      <w:bookmarkEnd w:id="441"/>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r>
        <w:tab/>
        <w:t>[Section 273 inserted by No. 42 of 2004 s. 130.]</w:t>
      </w:r>
    </w:p>
    <w:p>
      <w:pPr>
        <w:pStyle w:val="Heading5"/>
      </w:pPr>
      <w:bookmarkStart w:id="442" w:name="_Toc390078660"/>
      <w:r>
        <w:rPr>
          <w:rStyle w:val="CharSectno"/>
        </w:rPr>
        <w:t>274</w:t>
      </w:r>
      <w:r>
        <w:t>.</w:t>
      </w:r>
      <w:r>
        <w:tab/>
        <w:t>Effect of costs determination</w:t>
      </w:r>
      <w:bookmarkEnd w:id="442"/>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r>
        <w:tab/>
        <w:t>[Section 274 inserted by No. 42 of 2004 s. 130.]</w:t>
      </w:r>
    </w:p>
    <w:p>
      <w:pPr>
        <w:pStyle w:val="Heading5"/>
      </w:pPr>
      <w:bookmarkStart w:id="443" w:name="_Toc390078661"/>
      <w:r>
        <w:rPr>
          <w:rStyle w:val="CharSectno"/>
        </w:rPr>
        <w:t>275</w:t>
      </w:r>
      <w:r>
        <w:t>.</w:t>
      </w:r>
      <w:r>
        <w:tab/>
        <w:t>Agreement as to costs</w:t>
      </w:r>
      <w:bookmarkEnd w:id="443"/>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pPr>
      <w:r>
        <w:tab/>
        <w:t>(2)</w:t>
      </w:r>
      <w:r>
        <w:tab/>
        <w:t>An agreement made contrary to this section is void.</w:t>
      </w:r>
    </w:p>
    <w:p>
      <w:pPr>
        <w:pStyle w:val="Footnotesection"/>
      </w:pPr>
      <w:r>
        <w:tab/>
        <w:t>[Section 275 inserted by No. 42 of 2004 s. 130.]</w:t>
      </w:r>
    </w:p>
    <w:p>
      <w:pPr>
        <w:pStyle w:val="Heading5"/>
      </w:pPr>
      <w:bookmarkStart w:id="444" w:name="_Toc390078662"/>
      <w:r>
        <w:rPr>
          <w:rStyle w:val="CharSectno"/>
        </w:rPr>
        <w:t>276</w:t>
      </w:r>
      <w:r>
        <w:t>.</w:t>
      </w:r>
      <w:r>
        <w:tab/>
        <w:t>Division does not apply to Part IV proceedings</w:t>
      </w:r>
      <w:bookmarkEnd w:id="444"/>
    </w:p>
    <w:p>
      <w:pPr>
        <w:pStyle w:val="Subsection"/>
      </w:pPr>
      <w:r>
        <w:tab/>
      </w:r>
      <w:r>
        <w:tab/>
        <w:t>Nothing in this Division affects the operation of section 87 in relation to an action for damages independently of this Act.</w:t>
      </w:r>
    </w:p>
    <w:p>
      <w:pPr>
        <w:pStyle w:val="Footnotesection"/>
      </w:pPr>
      <w:r>
        <w:tab/>
        <w:t>[Section 276 inserted by No. 42 of 2004 s. 130.]</w:t>
      </w:r>
    </w:p>
    <w:p>
      <w:pPr>
        <w:pStyle w:val="Heading2"/>
      </w:pPr>
      <w:bookmarkStart w:id="445" w:name="_Toc390078663"/>
      <w:r>
        <w:rPr>
          <w:rStyle w:val="CharPartNo"/>
        </w:rPr>
        <w:t>Part XVI</w:t>
      </w:r>
      <w:r>
        <w:rPr>
          <w:rStyle w:val="CharDivNo"/>
        </w:rPr>
        <w:t> </w:t>
      </w:r>
      <w:r>
        <w:t>—</w:t>
      </w:r>
      <w:r>
        <w:rPr>
          <w:rStyle w:val="CharDivText"/>
        </w:rPr>
        <w:t> </w:t>
      </w:r>
      <w:r>
        <w:rPr>
          <w:rStyle w:val="CharPartText"/>
        </w:rPr>
        <w:t>Registered agents</w:t>
      </w:r>
      <w:bookmarkEnd w:id="445"/>
    </w:p>
    <w:p>
      <w:pPr>
        <w:pStyle w:val="Footnoteheading"/>
      </w:pPr>
      <w:r>
        <w:tab/>
        <w:t>[Heading inserted by No. 42 of 2004 s. 130.]</w:t>
      </w:r>
    </w:p>
    <w:p>
      <w:pPr>
        <w:pStyle w:val="Heading5"/>
      </w:pPr>
      <w:bookmarkStart w:id="446" w:name="_Toc390078664"/>
      <w:r>
        <w:rPr>
          <w:rStyle w:val="CharSectno"/>
        </w:rPr>
        <w:t>277</w:t>
      </w:r>
      <w:r>
        <w:t>.</w:t>
      </w:r>
      <w:r>
        <w:tab/>
        <w:t>Who may register as an agent</w:t>
      </w:r>
      <w:bookmarkEnd w:id="446"/>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by No. 42 of 2004 s. 130; amended by No. 16 of 2005 s. 28.]</w:t>
      </w:r>
    </w:p>
    <w:p>
      <w:pPr>
        <w:pStyle w:val="Heading2"/>
      </w:pPr>
      <w:bookmarkStart w:id="447" w:name="_Toc390078665"/>
      <w:r>
        <w:rPr>
          <w:rStyle w:val="CharPartNo"/>
        </w:rPr>
        <w:t>Part XVII</w:t>
      </w:r>
      <w:r>
        <w:rPr>
          <w:b w:val="0"/>
        </w:rPr>
        <w:t> </w:t>
      </w:r>
      <w:r>
        <w:t>—</w:t>
      </w:r>
      <w:r>
        <w:rPr>
          <w:b w:val="0"/>
        </w:rPr>
        <w:t> </w:t>
      </w:r>
      <w:r>
        <w:rPr>
          <w:rStyle w:val="CharPartText"/>
        </w:rPr>
        <w:t>The Dispute Resolution Directorate</w:t>
      </w:r>
      <w:bookmarkEnd w:id="447"/>
    </w:p>
    <w:p>
      <w:pPr>
        <w:pStyle w:val="Footnoteheading"/>
      </w:pPr>
      <w:r>
        <w:tab/>
        <w:t>[Heading inserted by No. 42 of 2004 s. 130.]</w:t>
      </w:r>
    </w:p>
    <w:p>
      <w:pPr>
        <w:pStyle w:val="Heading3"/>
      </w:pPr>
      <w:bookmarkStart w:id="448" w:name="_Toc390078666"/>
      <w:r>
        <w:rPr>
          <w:rStyle w:val="CharDivNo"/>
        </w:rPr>
        <w:t>Division 1</w:t>
      </w:r>
      <w:r>
        <w:t> — </w:t>
      </w:r>
      <w:r>
        <w:rPr>
          <w:rStyle w:val="CharDivText"/>
        </w:rPr>
        <w:t>Establishment and objectives</w:t>
      </w:r>
      <w:bookmarkEnd w:id="448"/>
    </w:p>
    <w:p>
      <w:pPr>
        <w:pStyle w:val="Footnoteheading"/>
      </w:pPr>
      <w:r>
        <w:tab/>
        <w:t>[Heading inserted by No. 42 of 2004 s. 130.]</w:t>
      </w:r>
    </w:p>
    <w:p>
      <w:pPr>
        <w:pStyle w:val="Heading5"/>
        <w:spacing w:before="180"/>
      </w:pPr>
      <w:bookmarkStart w:id="449" w:name="_Toc390078667"/>
      <w:r>
        <w:rPr>
          <w:rStyle w:val="CharSectno"/>
        </w:rPr>
        <w:t>278</w:t>
      </w:r>
      <w:r>
        <w:t>.</w:t>
      </w:r>
      <w:r>
        <w:tab/>
        <w:t>DRD established</w:t>
      </w:r>
      <w:bookmarkEnd w:id="449"/>
    </w:p>
    <w:p>
      <w:pPr>
        <w:pStyle w:val="Subsection"/>
        <w:spacing w:before="120"/>
      </w:pPr>
      <w:r>
        <w:tab/>
      </w:r>
      <w:r>
        <w:tab/>
        <w:t>A directorate called the Dispute Resolution Directorate is established.</w:t>
      </w:r>
    </w:p>
    <w:p>
      <w:pPr>
        <w:pStyle w:val="Footnotesection"/>
      </w:pPr>
      <w:r>
        <w:tab/>
        <w:t>[Section 278 inserted by No. 42 of 2004 s. 130.]</w:t>
      </w:r>
    </w:p>
    <w:p>
      <w:pPr>
        <w:pStyle w:val="Heading5"/>
        <w:spacing w:before="180"/>
      </w:pPr>
      <w:bookmarkStart w:id="450" w:name="_Toc390078668"/>
      <w:r>
        <w:rPr>
          <w:rStyle w:val="CharSectno"/>
        </w:rPr>
        <w:t>279</w:t>
      </w:r>
      <w:r>
        <w:t>.</w:t>
      </w:r>
      <w:r>
        <w:tab/>
        <w:t>Main objectives of the DRD</w:t>
      </w:r>
      <w:bookmarkEnd w:id="450"/>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r>
        <w:tab/>
        <w:t>[Section 279 inserted by No. 42 of 2004 s. 130.]</w:t>
      </w:r>
    </w:p>
    <w:p>
      <w:pPr>
        <w:pStyle w:val="Heading5"/>
      </w:pPr>
      <w:bookmarkStart w:id="451" w:name="_Toc390078669"/>
      <w:r>
        <w:rPr>
          <w:rStyle w:val="CharSectno"/>
        </w:rPr>
        <w:t>280</w:t>
      </w:r>
      <w:r>
        <w:t>.</w:t>
      </w:r>
      <w:r>
        <w:tab/>
        <w:t>DRD’s constitution</w:t>
      </w:r>
      <w:bookmarkEnd w:id="451"/>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r>
        <w:tab/>
        <w:t>[Section 280 inserted by No. 42 of 2004 s. 130.]</w:t>
      </w:r>
    </w:p>
    <w:p>
      <w:pPr>
        <w:pStyle w:val="Heading3"/>
      </w:pPr>
      <w:bookmarkStart w:id="452" w:name="_Toc390078670"/>
      <w:r>
        <w:rPr>
          <w:rStyle w:val="CharDivNo"/>
        </w:rPr>
        <w:t>Division 2</w:t>
      </w:r>
      <w:r>
        <w:t> — </w:t>
      </w:r>
      <w:r>
        <w:rPr>
          <w:rStyle w:val="CharDivText"/>
        </w:rPr>
        <w:t>Commissioner</w:t>
      </w:r>
      <w:bookmarkEnd w:id="452"/>
    </w:p>
    <w:p>
      <w:pPr>
        <w:pStyle w:val="Footnoteheading"/>
      </w:pPr>
      <w:r>
        <w:tab/>
        <w:t>[Heading inserted by No. 42 of 2004 s. 130.]</w:t>
      </w:r>
    </w:p>
    <w:p>
      <w:pPr>
        <w:pStyle w:val="Heading5"/>
      </w:pPr>
      <w:bookmarkStart w:id="453" w:name="_Toc390078671"/>
      <w:r>
        <w:rPr>
          <w:rStyle w:val="CharSectno"/>
        </w:rPr>
        <w:t>281</w:t>
      </w:r>
      <w:r>
        <w:t>.</w:t>
      </w:r>
      <w:r>
        <w:tab/>
        <w:t>Appointment of Commissioner</w:t>
      </w:r>
      <w:bookmarkEnd w:id="453"/>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r>
        <w:tab/>
        <w:t>[Section 281 inserted by No. 42 of 2004 s. 130.]</w:t>
      </w:r>
    </w:p>
    <w:p>
      <w:pPr>
        <w:pStyle w:val="Heading5"/>
      </w:pPr>
      <w:bookmarkStart w:id="454" w:name="_Toc390078672"/>
      <w:r>
        <w:rPr>
          <w:rStyle w:val="CharSectno"/>
        </w:rPr>
        <w:t>282</w:t>
      </w:r>
      <w:r>
        <w:t>.</w:t>
      </w:r>
      <w:r>
        <w:tab/>
        <w:t>Terms and conditions of service</w:t>
      </w:r>
      <w:bookmarkEnd w:id="454"/>
    </w:p>
    <w:p>
      <w:pPr>
        <w:pStyle w:val="Subsection"/>
      </w:pPr>
      <w:r>
        <w:tab/>
      </w:r>
      <w:r>
        <w:tab/>
        <w:t>Schedule 8 has effect with respect to the tenure, remuneration and conditions of service of the Commissioner and other matters provided for in that Schedule.</w:t>
      </w:r>
    </w:p>
    <w:p>
      <w:pPr>
        <w:pStyle w:val="Footnotesection"/>
      </w:pPr>
      <w:r>
        <w:tab/>
        <w:t>[Section 282 inserted by No. 42 of 2004 s. 130.]</w:t>
      </w:r>
    </w:p>
    <w:p>
      <w:pPr>
        <w:pStyle w:val="Heading5"/>
      </w:pPr>
      <w:bookmarkStart w:id="455" w:name="_Toc390078673"/>
      <w:r>
        <w:rPr>
          <w:rStyle w:val="CharSectno"/>
        </w:rPr>
        <w:t>283</w:t>
      </w:r>
      <w:r>
        <w:t>.</w:t>
      </w:r>
      <w:r>
        <w:tab/>
        <w:t>Declaration of inability to act</w:t>
      </w:r>
      <w:bookmarkEnd w:id="455"/>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r>
        <w:tab/>
        <w:t>[Section 283 inserted by No. 42 of 2004 s. 130.]</w:t>
      </w:r>
    </w:p>
    <w:p>
      <w:pPr>
        <w:pStyle w:val="Heading5"/>
      </w:pPr>
      <w:bookmarkStart w:id="456" w:name="_Toc390078674"/>
      <w:r>
        <w:rPr>
          <w:rStyle w:val="CharSectno"/>
        </w:rPr>
        <w:t>284</w:t>
      </w:r>
      <w:r>
        <w:t>.</w:t>
      </w:r>
      <w:r>
        <w:tab/>
        <w:t>Acting appointment</w:t>
      </w:r>
      <w:bookmarkEnd w:id="456"/>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284 inserted by No. 42 of 2004 s. 130.]</w:t>
      </w:r>
    </w:p>
    <w:p>
      <w:pPr>
        <w:pStyle w:val="Heading5"/>
      </w:pPr>
      <w:bookmarkStart w:id="457" w:name="_Toc390078675"/>
      <w:r>
        <w:rPr>
          <w:rStyle w:val="CharSectno"/>
        </w:rPr>
        <w:t>285</w:t>
      </w:r>
      <w:r>
        <w:t>.</w:t>
      </w:r>
      <w:r>
        <w:tab/>
        <w:t>Functions of Commissioner</w:t>
      </w:r>
      <w:bookmarkEnd w:id="457"/>
    </w:p>
    <w:p>
      <w:pPr>
        <w:pStyle w:val="Subsection"/>
      </w:pPr>
      <w:r>
        <w:tab/>
      </w:r>
      <w:r>
        <w:tab/>
        <w:t>The Commissioner has the functions conferred under this Act or any other written law.</w:t>
      </w:r>
    </w:p>
    <w:p>
      <w:pPr>
        <w:pStyle w:val="Footnotesection"/>
      </w:pPr>
      <w:r>
        <w:tab/>
        <w:t>[Section 285 inserted by No. 42 of 2004 s. 130.]</w:t>
      </w:r>
    </w:p>
    <w:p>
      <w:pPr>
        <w:pStyle w:val="Heading3"/>
      </w:pPr>
      <w:bookmarkStart w:id="458" w:name="_Toc390078676"/>
      <w:r>
        <w:rPr>
          <w:rStyle w:val="CharDivNo"/>
        </w:rPr>
        <w:t>Division 3</w:t>
      </w:r>
      <w:r>
        <w:t> — </w:t>
      </w:r>
      <w:r>
        <w:rPr>
          <w:rStyle w:val="CharDivText"/>
        </w:rPr>
        <w:t>Arbitrators</w:t>
      </w:r>
      <w:bookmarkEnd w:id="458"/>
    </w:p>
    <w:p>
      <w:pPr>
        <w:pStyle w:val="Footnoteheading"/>
      </w:pPr>
      <w:r>
        <w:tab/>
        <w:t>[Heading inserted by No. 42 of 2004 s. 130.]</w:t>
      </w:r>
    </w:p>
    <w:p>
      <w:pPr>
        <w:pStyle w:val="Heading5"/>
      </w:pPr>
      <w:bookmarkStart w:id="459" w:name="_Toc390078677"/>
      <w:r>
        <w:rPr>
          <w:rStyle w:val="CharSectno"/>
        </w:rPr>
        <w:t>286</w:t>
      </w:r>
      <w:r>
        <w:t>.</w:t>
      </w:r>
      <w:r>
        <w:tab/>
        <w:t>Arbitrators</w:t>
      </w:r>
      <w:bookmarkEnd w:id="459"/>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r>
        <w:tab/>
        <w:t>[Section 286 inserted by No. 42 of 2004 s. 130.]</w:t>
      </w:r>
    </w:p>
    <w:p>
      <w:pPr>
        <w:pStyle w:val="Heading5"/>
      </w:pPr>
      <w:bookmarkStart w:id="460" w:name="_Toc390078678"/>
      <w:r>
        <w:rPr>
          <w:rStyle w:val="CharSectno"/>
        </w:rPr>
        <w:t>287</w:t>
      </w:r>
      <w:r>
        <w:t>.</w:t>
      </w:r>
      <w:r>
        <w:tab/>
        <w:t>Control and direction of arbitrators</w:t>
      </w:r>
      <w:bookmarkEnd w:id="460"/>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r>
        <w:tab/>
        <w:t>[Section 287 inserted by No. 42 of 2004 s. 130.]</w:t>
      </w:r>
    </w:p>
    <w:p>
      <w:pPr>
        <w:pStyle w:val="Heading3"/>
      </w:pPr>
      <w:bookmarkStart w:id="461" w:name="_Toc390078679"/>
      <w:r>
        <w:rPr>
          <w:rStyle w:val="CharDivNo"/>
        </w:rPr>
        <w:t>Division 4</w:t>
      </w:r>
      <w:r>
        <w:t> — </w:t>
      </w:r>
      <w:r>
        <w:rPr>
          <w:rStyle w:val="CharDivText"/>
        </w:rPr>
        <w:t>Director Dispute Resolution and staff</w:t>
      </w:r>
      <w:bookmarkEnd w:id="461"/>
    </w:p>
    <w:p>
      <w:pPr>
        <w:pStyle w:val="Footnoteheading"/>
      </w:pPr>
      <w:r>
        <w:tab/>
        <w:t>[Heading inserted by No. 42 of 2004 s. 130.]</w:t>
      </w:r>
    </w:p>
    <w:p>
      <w:pPr>
        <w:pStyle w:val="Heading5"/>
      </w:pPr>
      <w:bookmarkStart w:id="462" w:name="_Toc390078680"/>
      <w:r>
        <w:rPr>
          <w:rStyle w:val="CharSectno"/>
        </w:rPr>
        <w:t>288</w:t>
      </w:r>
      <w:r>
        <w:t>.</w:t>
      </w:r>
      <w:r>
        <w:tab/>
        <w:t>Director Dispute Resolution</w:t>
      </w:r>
      <w:bookmarkEnd w:id="462"/>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r>
        <w:tab/>
        <w:t>[Section 288 inserted by No. 42 of 2004 s. 130.]</w:t>
      </w:r>
    </w:p>
    <w:p>
      <w:pPr>
        <w:pStyle w:val="Heading5"/>
      </w:pPr>
      <w:bookmarkStart w:id="463" w:name="_Toc390078681"/>
      <w:r>
        <w:rPr>
          <w:rStyle w:val="CharSectno"/>
        </w:rPr>
        <w:t>289</w:t>
      </w:r>
      <w:r>
        <w:t>.</w:t>
      </w:r>
      <w:r>
        <w:tab/>
        <w:t>Functions and responsibilities of Director</w:t>
      </w:r>
      <w:bookmarkEnd w:id="463"/>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r>
        <w:tab/>
        <w:t>[Section 289 inserted by No. 42 of 2004 s. 130.]</w:t>
      </w:r>
    </w:p>
    <w:p>
      <w:pPr>
        <w:pStyle w:val="Heading5"/>
      </w:pPr>
      <w:bookmarkStart w:id="464" w:name="_Toc390078682"/>
      <w:r>
        <w:rPr>
          <w:rStyle w:val="CharSectno"/>
        </w:rPr>
        <w:t>290</w:t>
      </w:r>
      <w:r>
        <w:t>.</w:t>
      </w:r>
      <w:r>
        <w:tab/>
        <w:t>Delegation by Director</w:t>
      </w:r>
      <w:bookmarkEnd w:id="464"/>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290 inserted by No. 42 of 2004 s. 130.]</w:t>
      </w:r>
    </w:p>
    <w:p>
      <w:pPr>
        <w:pStyle w:val="Heading5"/>
      </w:pPr>
      <w:bookmarkStart w:id="465" w:name="_Toc390078683"/>
      <w:r>
        <w:rPr>
          <w:rStyle w:val="CharSectno"/>
        </w:rPr>
        <w:t>291</w:t>
      </w:r>
      <w:r>
        <w:t>.</w:t>
      </w:r>
      <w:r>
        <w:tab/>
        <w:t>Staff of DRD</w:t>
      </w:r>
      <w:bookmarkEnd w:id="465"/>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r>
        <w:tab/>
        <w:t>[Section 291 inserted by No. 42 of 2004 s. 130.]</w:t>
      </w:r>
    </w:p>
    <w:p>
      <w:pPr>
        <w:pStyle w:val="Heading2"/>
      </w:pPr>
      <w:bookmarkStart w:id="466" w:name="_Toc390078684"/>
      <w:r>
        <w:rPr>
          <w:rStyle w:val="CharPartNo"/>
        </w:rPr>
        <w:t>Part XVIII</w:t>
      </w:r>
      <w:r>
        <w:rPr>
          <w:rStyle w:val="CharDivNo"/>
        </w:rPr>
        <w:t> </w:t>
      </w:r>
      <w:r>
        <w:t>—</w:t>
      </w:r>
      <w:r>
        <w:rPr>
          <w:rStyle w:val="CharDivText"/>
        </w:rPr>
        <w:t> </w:t>
      </w:r>
      <w:r>
        <w:rPr>
          <w:rStyle w:val="CharPartText"/>
        </w:rPr>
        <w:t>Regulations, rules and practice notes</w:t>
      </w:r>
      <w:bookmarkEnd w:id="466"/>
    </w:p>
    <w:p>
      <w:pPr>
        <w:pStyle w:val="Footnoteheading"/>
      </w:pPr>
      <w:r>
        <w:tab/>
        <w:t>[Heading inserted by No. 42 of 2004 s. 130.]</w:t>
      </w:r>
    </w:p>
    <w:p>
      <w:pPr>
        <w:pStyle w:val="Heading5"/>
      </w:pPr>
      <w:bookmarkStart w:id="467" w:name="_Toc390078685"/>
      <w:r>
        <w:rPr>
          <w:rStyle w:val="CharSectno"/>
        </w:rPr>
        <w:t>292</w:t>
      </w:r>
      <w:r>
        <w:t>.</w:t>
      </w:r>
      <w:r>
        <w:tab/>
        <w:t>Regulations</w:t>
      </w:r>
      <w:bookmarkEnd w:id="467"/>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persons providing treatment of a kind approved for the purposes of the definition of “approved treatment”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by No. 42 of 2004 s. 130; amended by No. 77 of 2006 s. 17.]</w:t>
      </w:r>
    </w:p>
    <w:p>
      <w:pPr>
        <w:pStyle w:val="Heading5"/>
      </w:pPr>
      <w:bookmarkStart w:id="468" w:name="_Toc390078686"/>
      <w:r>
        <w:rPr>
          <w:rStyle w:val="CharSectno"/>
        </w:rPr>
        <w:t>293</w:t>
      </w:r>
      <w:r>
        <w:t>.</w:t>
      </w:r>
      <w:r>
        <w:tab/>
        <w:t>DRD Rules</w:t>
      </w:r>
      <w:bookmarkEnd w:id="468"/>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r>
        <w:tab/>
        <w:t>[Section 293 inserted by No. 42 of 2004 s. 130.]</w:t>
      </w:r>
    </w:p>
    <w:p>
      <w:pPr>
        <w:pStyle w:val="Heading5"/>
      </w:pPr>
      <w:bookmarkStart w:id="469" w:name="_Toc390078687"/>
      <w:r>
        <w:rPr>
          <w:rStyle w:val="CharSectno"/>
        </w:rPr>
        <w:t>294</w:t>
      </w:r>
      <w:r>
        <w:t>.</w:t>
      </w:r>
      <w:r>
        <w:tab/>
        <w:t>Practice notes</w:t>
      </w:r>
      <w:bookmarkEnd w:id="469"/>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470" w:name="_Toc390078688"/>
      <w:r>
        <w:rPr>
          <w:rStyle w:val="CharPartNo"/>
        </w:rPr>
        <w:t>Part XIX</w:t>
      </w:r>
      <w:r>
        <w:rPr>
          <w:rStyle w:val="CharDivNo"/>
        </w:rPr>
        <w:t> </w:t>
      </w:r>
      <w:r>
        <w:t>—</w:t>
      </w:r>
      <w:r>
        <w:rPr>
          <w:rStyle w:val="CharDivText"/>
        </w:rPr>
        <w:t> </w:t>
      </w:r>
      <w:r>
        <w:rPr>
          <w:rStyle w:val="CharPartText"/>
        </w:rPr>
        <w:t>Miscellaneous</w:t>
      </w:r>
      <w:bookmarkEnd w:id="470"/>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471" w:name="_Toc390078689"/>
      <w:r>
        <w:rPr>
          <w:rStyle w:val="CharSectno"/>
        </w:rPr>
        <w:t>295</w:t>
      </w:r>
      <w:r>
        <w:rPr>
          <w:snapToGrid w:val="0"/>
        </w:rPr>
        <w:t>.</w:t>
      </w:r>
      <w:r>
        <w:rPr>
          <w:snapToGrid w:val="0"/>
        </w:rPr>
        <w:tab/>
        <w:t>Public Service</w:t>
      </w:r>
      <w:bookmarkEnd w:id="471"/>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472" w:name="_Toc390078690"/>
      <w:r>
        <w:rPr>
          <w:rStyle w:val="CharSectno"/>
        </w:rPr>
        <w:t>296</w:t>
      </w:r>
      <w:r>
        <w:t>.</w:t>
      </w:r>
      <w:r>
        <w:tab/>
        <w:t>Delegation by chief executive officer</w:t>
      </w:r>
      <w:bookmarkEnd w:id="472"/>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473" w:name="_Toc390078691"/>
      <w:r>
        <w:rPr>
          <w:rStyle w:val="CharSectno"/>
        </w:rPr>
        <w:t>297</w:t>
      </w:r>
      <w:r>
        <w:rPr>
          <w:snapToGrid w:val="0"/>
        </w:rPr>
        <w:t>.</w:t>
      </w:r>
      <w:r>
        <w:rPr>
          <w:snapToGrid w:val="0"/>
        </w:rPr>
        <w:tab/>
        <w:t>Agreements and receipts under this Act exempt from duty</w:t>
      </w:r>
      <w:bookmarkEnd w:id="473"/>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 52.]</w:t>
      </w:r>
    </w:p>
    <w:p>
      <w:pPr>
        <w:pStyle w:val="Heading5"/>
        <w:spacing w:before="120"/>
        <w:rPr>
          <w:snapToGrid w:val="0"/>
        </w:rPr>
      </w:pPr>
      <w:bookmarkStart w:id="474" w:name="_Toc390078692"/>
      <w:r>
        <w:rPr>
          <w:rStyle w:val="CharSectno"/>
        </w:rPr>
        <w:t>298</w:t>
      </w:r>
      <w:r>
        <w:rPr>
          <w:snapToGrid w:val="0"/>
        </w:rPr>
        <w:t>.</w:t>
      </w:r>
      <w:r>
        <w:rPr>
          <w:snapToGrid w:val="0"/>
        </w:rPr>
        <w:tab/>
        <w:t>Order for detention of ship</w:t>
      </w:r>
      <w:bookmarkEnd w:id="474"/>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475" w:name="_Toc390078693"/>
      <w:r>
        <w:rPr>
          <w:rStyle w:val="CharSectno"/>
        </w:rPr>
        <w:t>299</w:t>
      </w:r>
      <w:r>
        <w:rPr>
          <w:snapToGrid w:val="0"/>
        </w:rPr>
        <w:t>.</w:t>
      </w:r>
      <w:r>
        <w:rPr>
          <w:snapToGrid w:val="0"/>
        </w:rPr>
        <w:tab/>
        <w:t>Judicial notice</w:t>
      </w:r>
      <w:bookmarkEnd w:id="475"/>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476" w:name="_Toc390078694"/>
      <w:r>
        <w:rPr>
          <w:rStyle w:val="CharSectno"/>
        </w:rPr>
        <w:t>300</w:t>
      </w:r>
      <w:r>
        <w:t>.</w:t>
      </w:r>
      <w:r>
        <w:tab/>
        <w:t>District Court to provide information to WorkCover WA</w:t>
      </w:r>
      <w:bookmarkEnd w:id="476"/>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477" w:name="_Toc390078695"/>
      <w:r>
        <w:rPr>
          <w:rStyle w:val="CharSectno"/>
        </w:rPr>
        <w:t>301</w:t>
      </w:r>
      <w:r>
        <w:rPr>
          <w:snapToGrid w:val="0"/>
        </w:rPr>
        <w:t>.</w:t>
      </w:r>
      <w:r>
        <w:rPr>
          <w:snapToGrid w:val="0"/>
        </w:rPr>
        <w:tab/>
        <w:t>Prohibition of contracting out</w:t>
      </w:r>
      <w:bookmarkEnd w:id="477"/>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by No. 42 of 2004 s. 154(1).]</w:t>
      </w:r>
    </w:p>
    <w:p>
      <w:pPr>
        <w:pStyle w:val="Heading5"/>
        <w:rPr>
          <w:snapToGrid w:val="0"/>
        </w:rPr>
      </w:pPr>
      <w:bookmarkStart w:id="478" w:name="_Toc390078696"/>
      <w:r>
        <w:rPr>
          <w:rStyle w:val="CharSectno"/>
        </w:rPr>
        <w:t>302</w:t>
      </w:r>
      <w:r>
        <w:rPr>
          <w:snapToGrid w:val="0"/>
        </w:rPr>
        <w:t>.</w:t>
      </w:r>
      <w:r>
        <w:rPr>
          <w:snapToGrid w:val="0"/>
        </w:rPr>
        <w:tab/>
        <w:t>Deductions towards compensation not lawful</w:t>
      </w:r>
      <w:bookmarkEnd w:id="478"/>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479" w:name="_Toc390078697"/>
      <w:r>
        <w:rPr>
          <w:rStyle w:val="CharSectno"/>
        </w:rPr>
        <w:t>303</w:t>
      </w:r>
      <w:r>
        <w:rPr>
          <w:snapToGrid w:val="0"/>
        </w:rPr>
        <w:t>.</w:t>
      </w:r>
      <w:r>
        <w:rPr>
          <w:snapToGrid w:val="0"/>
        </w:rPr>
        <w:tab/>
        <w:t>Payments not assignable</w:t>
      </w:r>
      <w:bookmarkEnd w:id="479"/>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480" w:name="_Toc390078698"/>
      <w:r>
        <w:rPr>
          <w:rStyle w:val="CharSectno"/>
        </w:rPr>
        <w:t>303A</w:t>
      </w:r>
      <w:r>
        <w:t>.</w:t>
      </w:r>
      <w:r>
        <w:tab/>
        <w:t>Making employment conditional on avoidance arrangement</w:t>
      </w:r>
      <w:bookmarkEnd w:id="480"/>
    </w:p>
    <w:p>
      <w:pPr>
        <w:pStyle w:val="Subsection"/>
      </w:pPr>
      <w:r>
        <w:tab/>
        <w:t>(1)</w:t>
      </w:r>
      <w:r>
        <w:tab/>
        <w:t>If a person executes work for another person (</w:t>
      </w:r>
      <w:r>
        <w:rPr>
          <w:b/>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481" w:name="_Toc390078699"/>
      <w:r>
        <w:rPr>
          <w:rStyle w:val="CharSectno"/>
        </w:rPr>
        <w:t>304</w:t>
      </w:r>
      <w:r>
        <w:t>.</w:t>
      </w:r>
      <w:r>
        <w:tab/>
        <w:t>Protection from liability</w:t>
      </w:r>
      <w:bookmarkEnd w:id="481"/>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482" w:name="_Toc390078700"/>
      <w:r>
        <w:rPr>
          <w:rStyle w:val="CharSectno"/>
        </w:rPr>
        <w:t>305</w:t>
      </w:r>
      <w:r>
        <w:t>.</w:t>
      </w:r>
      <w:r>
        <w:tab/>
        <w:t>Immunity</w:t>
      </w:r>
      <w:bookmarkEnd w:id="482"/>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483" w:name="_Toc390078701"/>
      <w:r>
        <w:rPr>
          <w:rStyle w:val="CharSectno"/>
        </w:rPr>
        <w:t>306</w:t>
      </w:r>
      <w:r>
        <w:t>.</w:t>
      </w:r>
      <w:r>
        <w:tab/>
        <w:t>Protection for compliance with this Act</w:t>
      </w:r>
      <w:bookmarkEnd w:id="483"/>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484" w:name="_Toc390078702"/>
      <w:r>
        <w:rPr>
          <w:rStyle w:val="CharSectno"/>
        </w:rPr>
        <w:t>307</w:t>
      </w:r>
      <w:r>
        <w:t>.</w:t>
      </w:r>
      <w:r>
        <w:tab/>
        <w:t>Proceedings for defamation not to lie</w:t>
      </w:r>
      <w:bookmarkEnd w:id="484"/>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485" w:name="_Toc390078703"/>
      <w:r>
        <w:rPr>
          <w:rStyle w:val="CharSectno"/>
        </w:rPr>
        <w:t>308</w:t>
      </w:r>
      <w:r>
        <w:rPr>
          <w:snapToGrid w:val="0"/>
        </w:rPr>
        <w:t>.</w:t>
      </w:r>
      <w:r>
        <w:rPr>
          <w:snapToGrid w:val="0"/>
        </w:rPr>
        <w:tab/>
        <w:t>Fraud</w:t>
      </w:r>
      <w:bookmarkEnd w:id="485"/>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486" w:name="_Toc390078704"/>
      <w:r>
        <w:rPr>
          <w:rStyle w:val="CharSectno"/>
        </w:rPr>
        <w:t>309</w:t>
      </w:r>
      <w:r>
        <w:t>.</w:t>
      </w:r>
      <w:r>
        <w:tab/>
        <w:t>Who can take proceedings for offences</w:t>
      </w:r>
      <w:bookmarkEnd w:id="486"/>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487" w:name="_Toc390078705"/>
      <w:r>
        <w:rPr>
          <w:rStyle w:val="CharSectno"/>
        </w:rPr>
        <w:t>310</w:t>
      </w:r>
      <w:r>
        <w:t>.</w:t>
      </w:r>
      <w:r>
        <w:tab/>
        <w:t>Time limit for taking proceedings</w:t>
      </w:r>
      <w:bookmarkEnd w:id="487"/>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488" w:name="_Toc390078706"/>
      <w:r>
        <w:rPr>
          <w:rStyle w:val="CharSectno"/>
        </w:rPr>
        <w:t>311</w:t>
      </w:r>
      <w:r>
        <w:rPr>
          <w:snapToGrid w:val="0"/>
        </w:rPr>
        <w:t>.</w:t>
      </w:r>
      <w:r>
        <w:rPr>
          <w:snapToGrid w:val="0"/>
        </w:rPr>
        <w:tab/>
        <w:t>General penalty</w:t>
      </w:r>
      <w:bookmarkEnd w:id="488"/>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489" w:name="_Toc390078707"/>
      <w:r>
        <w:rPr>
          <w:rStyle w:val="CharSectno"/>
        </w:rPr>
        <w:t>312</w:t>
      </w:r>
      <w:r>
        <w:rPr>
          <w:snapToGrid w:val="0"/>
        </w:rPr>
        <w:t>.</w:t>
      </w:r>
      <w:r>
        <w:rPr>
          <w:snapToGrid w:val="0"/>
        </w:rPr>
        <w:tab/>
        <w:t>Fines</w:t>
      </w:r>
      <w:bookmarkEnd w:id="489"/>
      <w:r>
        <w:rPr>
          <w:snapToGrid w:val="0"/>
        </w:rPr>
        <w:t xml:space="preserve"> </w:t>
      </w:r>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amended by No. 77 of 2006 s. 17.] </w:t>
      </w:r>
    </w:p>
    <w:p>
      <w:pPr>
        <w:pStyle w:val="Heading5"/>
        <w:rPr>
          <w:snapToGrid w:val="0"/>
        </w:rPr>
      </w:pPr>
      <w:bookmarkStart w:id="490" w:name="_Toc390078708"/>
      <w:r>
        <w:rPr>
          <w:rStyle w:val="CharSectno"/>
        </w:rPr>
        <w:t>313</w:t>
      </w:r>
      <w:r>
        <w:rPr>
          <w:snapToGrid w:val="0"/>
        </w:rPr>
        <w:t>.</w:t>
      </w:r>
      <w:r>
        <w:rPr>
          <w:snapToGrid w:val="0"/>
        </w:rPr>
        <w:tab/>
        <w:t>Penalties not affected</w:t>
      </w:r>
      <w:bookmarkEnd w:id="490"/>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491" w:name="_Toc390078709"/>
      <w:r>
        <w:rPr>
          <w:rStyle w:val="CharSectno"/>
        </w:rPr>
        <w:t>314</w:t>
      </w:r>
      <w:r>
        <w:t>.</w:t>
      </w:r>
      <w:r>
        <w:tab/>
        <w:t>WorkCover WA may specify alternative form of sending information</w:t>
      </w:r>
      <w:bookmarkEnd w:id="491"/>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492" w:name="_Toc390078710"/>
      <w:r>
        <w:rPr>
          <w:rStyle w:val="CharSectno"/>
        </w:rPr>
        <w:t>315</w:t>
      </w:r>
      <w:r>
        <w:t>.</w:t>
      </w:r>
      <w:r>
        <w:tab/>
        <w:t>Publication of prescribed amount and average weekly earnings</w:t>
      </w:r>
      <w:bookmarkEnd w:id="492"/>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pPr>
      <w:bookmarkStart w:id="493" w:name="_Toc390078711"/>
      <w:r>
        <w:rPr>
          <w:rStyle w:val="CharPartNo"/>
        </w:rPr>
        <w:t>Part XX</w:t>
      </w:r>
      <w:r>
        <w:rPr>
          <w:rStyle w:val="CharDivNo"/>
        </w:rPr>
        <w:t> </w:t>
      </w:r>
      <w:r>
        <w:t>—</w:t>
      </w:r>
      <w:r>
        <w:rPr>
          <w:rStyle w:val="CharDivText"/>
        </w:rPr>
        <w:t> </w:t>
      </w:r>
      <w:r>
        <w:rPr>
          <w:rStyle w:val="CharPartText"/>
        </w:rPr>
        <w:t>Repeal, savings, and transitional</w:t>
      </w:r>
      <w:bookmarkEnd w:id="493"/>
      <w:r>
        <w:rPr>
          <w:rStyle w:val="CharPartText"/>
        </w:rPr>
        <w:t xml:space="preserve"> </w:t>
      </w:r>
    </w:p>
    <w:p>
      <w:pPr>
        <w:pStyle w:val="Footnoteheading"/>
      </w:pPr>
      <w:r>
        <w:tab/>
        <w:t>[Part XX heading, formerly Part XIII heading, renumbered by No. 42 of 2004 s. 154(3).]</w:t>
      </w:r>
    </w:p>
    <w:p>
      <w:pPr>
        <w:pStyle w:val="Heading5"/>
        <w:rPr>
          <w:snapToGrid w:val="0"/>
        </w:rPr>
      </w:pPr>
      <w:bookmarkStart w:id="494" w:name="_Toc390078712"/>
      <w:r>
        <w:rPr>
          <w:rStyle w:val="CharSectno"/>
        </w:rPr>
        <w:t>316</w:t>
      </w:r>
      <w:r>
        <w:rPr>
          <w:snapToGrid w:val="0"/>
        </w:rPr>
        <w:t>.</w:t>
      </w:r>
      <w:r>
        <w:rPr>
          <w:snapToGrid w:val="0"/>
        </w:rPr>
        <w:tab/>
        <w:t>Definitions</w:t>
      </w:r>
      <w:bookmarkEnd w:id="494"/>
    </w:p>
    <w:p>
      <w:pPr>
        <w:pStyle w:val="Subsection"/>
        <w:rPr>
          <w:snapToGrid w:val="0"/>
        </w:rPr>
      </w:pPr>
      <w:r>
        <w:rPr>
          <w:snapToGrid w:val="0"/>
        </w:rPr>
        <w:tab/>
      </w:r>
      <w:r>
        <w:rPr>
          <w:snapToGrid w:val="0"/>
        </w:rPr>
        <w:tab/>
        <w:t>In this Part —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495" w:name="_Toc390078713"/>
      <w:r>
        <w:rPr>
          <w:rStyle w:val="CharSectno"/>
        </w:rPr>
        <w:t>317</w:t>
      </w:r>
      <w:r>
        <w:t>.</w:t>
      </w:r>
      <w:r>
        <w:tab/>
        <w:t>Repeal</w:t>
      </w:r>
      <w:bookmarkEnd w:id="495"/>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by No. 42 of 2004 s. 154(1).]</w:t>
      </w:r>
    </w:p>
    <w:p>
      <w:pPr>
        <w:pStyle w:val="Heading5"/>
        <w:rPr>
          <w:snapToGrid w:val="0"/>
        </w:rPr>
      </w:pPr>
      <w:bookmarkStart w:id="496" w:name="_Toc390078714"/>
      <w:r>
        <w:rPr>
          <w:rStyle w:val="CharSectno"/>
        </w:rPr>
        <w:t>318</w:t>
      </w:r>
      <w:r>
        <w:rPr>
          <w:snapToGrid w:val="0"/>
        </w:rPr>
        <w:t>.</w:t>
      </w:r>
      <w:r>
        <w:rPr>
          <w:snapToGrid w:val="0"/>
        </w:rPr>
        <w:tab/>
        <w:t>Operation of </w:t>
      </w:r>
      <w:r>
        <w:rPr>
          <w:i/>
          <w:snapToGrid w:val="0"/>
        </w:rPr>
        <w:t>Interpretation Act 1918</w:t>
      </w:r>
      <w:bookmarkEnd w:id="496"/>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9</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by No. 42 of 2004 s. 154(1).]</w:t>
      </w:r>
    </w:p>
    <w:p>
      <w:pPr>
        <w:pStyle w:val="Heading5"/>
        <w:rPr>
          <w:snapToGrid w:val="0"/>
        </w:rPr>
      </w:pPr>
      <w:bookmarkStart w:id="497" w:name="_Toc390078715"/>
      <w:r>
        <w:rPr>
          <w:rStyle w:val="CharSectno"/>
        </w:rPr>
        <w:t>319</w:t>
      </w:r>
      <w:r>
        <w:rPr>
          <w:snapToGrid w:val="0"/>
        </w:rPr>
        <w:t>.</w:t>
      </w:r>
      <w:r>
        <w:rPr>
          <w:snapToGrid w:val="0"/>
        </w:rPr>
        <w:tab/>
        <w:t>No renewal of liability or entitlement</w:t>
      </w:r>
      <w:bookmarkEnd w:id="497"/>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by No. 42 of 2004 s. 154(1).]</w:t>
      </w:r>
    </w:p>
    <w:p>
      <w:pPr>
        <w:pStyle w:val="Heading5"/>
        <w:rPr>
          <w:snapToGrid w:val="0"/>
        </w:rPr>
      </w:pPr>
      <w:bookmarkStart w:id="498" w:name="_Toc390078716"/>
      <w:r>
        <w:rPr>
          <w:rStyle w:val="CharSectno"/>
        </w:rPr>
        <w:t>320</w:t>
      </w:r>
      <w:r>
        <w:rPr>
          <w:snapToGrid w:val="0"/>
        </w:rPr>
        <w:t>.</w:t>
      </w:r>
      <w:r>
        <w:rPr>
          <w:snapToGrid w:val="0"/>
        </w:rPr>
        <w:tab/>
        <w:t>Moneys paid under repealed Act taken into account</w:t>
      </w:r>
      <w:bookmarkEnd w:id="498"/>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499" w:name="_Toc390078717"/>
      <w:r>
        <w:rPr>
          <w:rStyle w:val="CharSectno"/>
        </w:rPr>
        <w:t>321</w:t>
      </w:r>
      <w:r>
        <w:rPr>
          <w:snapToGrid w:val="0"/>
        </w:rPr>
        <w:t>.</w:t>
      </w:r>
      <w:r>
        <w:rPr>
          <w:snapToGrid w:val="0"/>
        </w:rPr>
        <w:tab/>
        <w:t>Compensation for injuries mentioned in Schedule 2</w:t>
      </w:r>
      <w:bookmarkEnd w:id="499"/>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by No. 42 of 2004 s. 154(1).]</w:t>
      </w:r>
    </w:p>
    <w:p>
      <w:pPr>
        <w:pStyle w:val="Heading5"/>
        <w:rPr>
          <w:snapToGrid w:val="0"/>
        </w:rPr>
      </w:pPr>
      <w:bookmarkStart w:id="500" w:name="_Toc390078718"/>
      <w:r>
        <w:rPr>
          <w:rStyle w:val="CharSectno"/>
        </w:rPr>
        <w:t>322</w:t>
      </w:r>
      <w:r>
        <w:rPr>
          <w:snapToGrid w:val="0"/>
        </w:rPr>
        <w:t>.</w:t>
      </w:r>
      <w:r>
        <w:rPr>
          <w:snapToGrid w:val="0"/>
        </w:rPr>
        <w:tab/>
        <w:t>Child’s allowance</w:t>
      </w:r>
      <w:bookmarkEnd w:id="500"/>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by No. 42 of 2004 s. 154(1).]</w:t>
      </w:r>
    </w:p>
    <w:p>
      <w:pPr>
        <w:pStyle w:val="Heading5"/>
        <w:rPr>
          <w:snapToGrid w:val="0"/>
        </w:rPr>
      </w:pPr>
      <w:bookmarkStart w:id="501" w:name="_Toc390078719"/>
      <w:r>
        <w:rPr>
          <w:rStyle w:val="CharSectno"/>
        </w:rPr>
        <w:t>323</w:t>
      </w:r>
      <w:r>
        <w:rPr>
          <w:snapToGrid w:val="0"/>
        </w:rPr>
        <w:t>.</w:t>
      </w:r>
      <w:r>
        <w:rPr>
          <w:snapToGrid w:val="0"/>
        </w:rPr>
        <w:tab/>
        <w:t>Continuation</w:t>
      </w:r>
      <w:bookmarkEnd w:id="501"/>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10, 11</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 17.]</w:t>
      </w:r>
    </w:p>
    <w:p>
      <w:pPr>
        <w:pStyle w:val="Heading5"/>
        <w:rPr>
          <w:snapToGrid w:val="0"/>
        </w:rPr>
      </w:pPr>
      <w:bookmarkStart w:id="502" w:name="_Toc390078720"/>
      <w:r>
        <w:rPr>
          <w:rStyle w:val="CharSectno"/>
        </w:rPr>
        <w:t>324</w:t>
      </w:r>
      <w:r>
        <w:rPr>
          <w:snapToGrid w:val="0"/>
        </w:rPr>
        <w:t>.</w:t>
      </w:r>
      <w:r>
        <w:rPr>
          <w:snapToGrid w:val="0"/>
        </w:rPr>
        <w:tab/>
        <w:t>References to the Board, the Supplementary Board or officers</w:t>
      </w:r>
      <w:bookmarkEnd w:id="502"/>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rPr>
          <w:rStyle w:val="CharDivText"/>
        </w:rPr>
        <w:sectPr>
          <w:headerReference w:type="even" r:id="rId27"/>
          <w:headerReference w:type="default" r:id="rId28"/>
          <w:footerReference w:type="even" r:id="rId29"/>
          <w:footerReference w:type="default" r:id="rId30"/>
          <w:headerReference w:type="first" r:id="rId31"/>
          <w:footerReference w:type="first" r:id="rId32"/>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503" w:name="_Toc390078721"/>
      <w:r>
        <w:rPr>
          <w:rStyle w:val="CharSchNo"/>
        </w:rPr>
        <w:t>Schedule 1</w:t>
      </w:r>
      <w:r>
        <w:rPr>
          <w:rStyle w:val="CharSDivNo"/>
        </w:rPr>
        <w:t> </w:t>
      </w:r>
      <w:r>
        <w:t>—</w:t>
      </w:r>
      <w:r>
        <w:rPr>
          <w:rStyle w:val="CharSDivText"/>
        </w:rPr>
        <w:t> </w:t>
      </w:r>
      <w:r>
        <w:rPr>
          <w:rStyle w:val="CharSchText"/>
        </w:rPr>
        <w:t>Compensation entitlements</w:t>
      </w:r>
      <w:bookmarkEnd w:id="503"/>
    </w:p>
    <w:p>
      <w:pPr>
        <w:pStyle w:val="yFootnoteheading"/>
      </w:pPr>
      <w:r>
        <w:tab/>
        <w:t>[Heading inserted by No. 42 of 2004 s. 141(1).]</w:t>
      </w:r>
    </w:p>
    <w:p>
      <w:pPr>
        <w:pStyle w:val="yHeading5"/>
        <w:outlineLvl w:val="0"/>
      </w:pPr>
      <w:bookmarkStart w:id="504" w:name="_Toc390078722"/>
      <w:r>
        <w:rPr>
          <w:rStyle w:val="CharSClsNo"/>
        </w:rPr>
        <w:t>1</w:t>
      </w:r>
      <w:r>
        <w:t>.</w:t>
      </w:r>
      <w:r>
        <w:rPr>
          <w:b w:val="0"/>
        </w:rPr>
        <w:tab/>
      </w:r>
      <w:r>
        <w:t>Death — dependants wholly dependent — notional residual entitlement</w:t>
      </w:r>
      <w:bookmarkEnd w:id="504"/>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outlineLvl w:val="9"/>
      </w:pPr>
      <w:bookmarkStart w:id="505" w:name="_Toc390078723"/>
      <w:r>
        <w:rPr>
          <w:rStyle w:val="CharSClsNo"/>
        </w:rPr>
        <w:t>1A</w:t>
      </w:r>
      <w:r>
        <w:t>.</w:t>
      </w:r>
      <w:r>
        <w:rPr>
          <w:b w:val="0"/>
        </w:rPr>
        <w:tab/>
      </w:r>
      <w:r>
        <w:t>Death — dependants wholly dependent — child’s allowance</w:t>
      </w:r>
      <w:bookmarkEnd w:id="505"/>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outlineLvl w:val="9"/>
      </w:pPr>
      <w:bookmarkStart w:id="506" w:name="_Toc390078724"/>
      <w:r>
        <w:rPr>
          <w:rStyle w:val="CharSClsNo"/>
        </w:rPr>
        <w:t>1B</w:t>
      </w:r>
      <w:r>
        <w:t>.</w:t>
      </w:r>
      <w:r>
        <w:rPr>
          <w:b w:val="0"/>
        </w:rPr>
        <w:tab/>
      </w:r>
      <w:r>
        <w:t>Death — dependants wholly dependent — notional residual entitlement or child’s allowance</w:t>
      </w:r>
      <w:bookmarkEnd w:id="506"/>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pPr>
      <w:r>
        <w:tab/>
        <w:t>(b)</w:t>
      </w:r>
      <w:r>
        <w:tab/>
        <w:t>no spouse or de facto partner wholly dependent upon the worker’s earnings,</w:t>
      </w:r>
    </w:p>
    <w:p>
      <w:pPr>
        <w:pStyle w:val="ySubsection"/>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pPr>
      <w:r>
        <w:tab/>
        <w:t>(2)</w:t>
      </w:r>
      <w:r>
        <w:tab/>
        <w:t xml:space="preserve">Where death results from the injury and the worker dies leaving a dependant wholly dependent upon the worker’s earnings who — </w:t>
      </w:r>
    </w:p>
    <w:p>
      <w:pPr>
        <w:pStyle w:val="yIndenta"/>
      </w:pPr>
      <w:r>
        <w:tab/>
        <w:t>(a)</w:t>
      </w:r>
      <w:r>
        <w:tab/>
        <w:t>is not a dependant to whom subclause (1) applies; and</w:t>
      </w:r>
    </w:p>
    <w:p>
      <w:pPr>
        <w:pStyle w:val="yIndenta"/>
      </w:pPr>
      <w:r>
        <w:tab/>
        <w:t>(b)</w:t>
      </w:r>
      <w:r>
        <w:tab/>
        <w:t>apart from this clause, would be entitled to a child’s allowance under clause 1A,</w:t>
      </w:r>
    </w:p>
    <w:p>
      <w:pPr>
        <w:pStyle w:val="ySubsection"/>
      </w:pPr>
      <w:r>
        <w:tab/>
      </w:r>
      <w:r>
        <w:tab/>
        <w:t xml:space="preserve">the compensation entitlement of that dependant is whichever of the following an arbitrator determines as likely to be in the best interests of that dependant — </w:t>
      </w:r>
    </w:p>
    <w:p>
      <w:pPr>
        <w:pStyle w:val="yIndenta"/>
      </w:pPr>
      <w:r>
        <w:tab/>
        <w:t>(c)</w:t>
      </w:r>
      <w:r>
        <w:tab/>
        <w:t>a sum equal to 25% of the notional residual entitlement of the worker;</w:t>
      </w:r>
    </w:p>
    <w:p>
      <w:pPr>
        <w:pStyle w:val="yIndenta"/>
      </w:pPr>
      <w:r>
        <w:tab/>
        <w:t>(d)</w:t>
      </w:r>
      <w:r>
        <w:tab/>
        <w:t>a child’s allowance under clause 1A(a), (b) or (c) as the case may be.</w:t>
      </w:r>
    </w:p>
    <w:p>
      <w:pPr>
        <w:pStyle w:val="ySubsection"/>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0"/>
      </w:pPr>
      <w:bookmarkStart w:id="507" w:name="_Toc390078725"/>
      <w:r>
        <w:rPr>
          <w:rStyle w:val="CharSClsNo"/>
        </w:rPr>
        <w:t>1C</w:t>
      </w:r>
      <w:r>
        <w:t>.</w:t>
      </w:r>
      <w:r>
        <w:rPr>
          <w:b w:val="0"/>
        </w:rPr>
        <w:tab/>
      </w:r>
      <w:r>
        <w:t>Determination of entitlement under clause 1B</w:t>
      </w:r>
      <w:bookmarkEnd w:id="507"/>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0"/>
        <w:rPr>
          <w:snapToGrid w:val="0"/>
        </w:rPr>
      </w:pPr>
      <w:bookmarkStart w:id="508" w:name="_Toc390078726"/>
      <w:r>
        <w:rPr>
          <w:rStyle w:val="CharSClsNo"/>
        </w:rPr>
        <w:t>2</w:t>
      </w:r>
      <w:r>
        <w:rPr>
          <w:snapToGrid w:val="0"/>
        </w:rPr>
        <w:t>.</w:t>
      </w:r>
      <w:r>
        <w:rPr>
          <w:snapToGrid w:val="0"/>
        </w:rPr>
        <w:tab/>
        <w:t>Death — partial dependants who are not children</w:t>
      </w:r>
      <w:bookmarkEnd w:id="508"/>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509" w:name="_Toc390078727"/>
      <w:r>
        <w:rPr>
          <w:rStyle w:val="CharSClsNo"/>
        </w:rPr>
        <w:t>3</w:t>
      </w:r>
      <w:r>
        <w:rPr>
          <w:snapToGrid w:val="0"/>
        </w:rPr>
        <w:t>.</w:t>
      </w:r>
      <w:r>
        <w:rPr>
          <w:snapToGrid w:val="0"/>
        </w:rPr>
        <w:tab/>
        <w:t>Death — partial dependants who are children</w:t>
      </w:r>
      <w:bookmarkEnd w:id="509"/>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510" w:name="_Toc390078728"/>
      <w:r>
        <w:rPr>
          <w:rStyle w:val="CharSClsNo"/>
        </w:rPr>
        <w:t>4</w:t>
      </w:r>
      <w:r>
        <w:rPr>
          <w:snapToGrid w:val="0"/>
        </w:rPr>
        <w:t>.</w:t>
      </w:r>
      <w:r>
        <w:rPr>
          <w:snapToGrid w:val="0"/>
        </w:rPr>
        <w:tab/>
        <w:t>Death — no dependant</w:t>
      </w:r>
      <w:bookmarkEnd w:id="510"/>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511" w:name="_Toc390078729"/>
      <w:r>
        <w:rPr>
          <w:rStyle w:val="CharSClsNo"/>
        </w:rPr>
        <w:t>5</w:t>
      </w:r>
      <w:r>
        <w:rPr>
          <w:snapToGrid w:val="0"/>
        </w:rPr>
        <w:t>.</w:t>
      </w:r>
      <w:r>
        <w:rPr>
          <w:snapToGrid w:val="0"/>
        </w:rPr>
        <w:tab/>
        <w:t>Death — where not resulting from the injury but weekly payments had been made</w:t>
      </w:r>
      <w:bookmarkEnd w:id="511"/>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outlineLvl w:val="9"/>
      </w:pPr>
      <w:r>
        <w:t>[</w:t>
      </w:r>
      <w:r>
        <w:rPr>
          <w:b/>
        </w:rPr>
        <w:t>6.</w:t>
      </w:r>
      <w:r>
        <w:rPr>
          <w:b/>
        </w:rPr>
        <w:tab/>
      </w:r>
      <w:r>
        <w:t>Repealed by No. 34 of 1999 s. 53(b).]</w:t>
      </w:r>
    </w:p>
    <w:p>
      <w:pPr>
        <w:pStyle w:val="yHeading5"/>
        <w:outlineLvl w:val="0"/>
        <w:rPr>
          <w:snapToGrid w:val="0"/>
        </w:rPr>
      </w:pPr>
      <w:bookmarkStart w:id="512" w:name="_Toc390078730"/>
      <w:r>
        <w:rPr>
          <w:rStyle w:val="CharSClsNo"/>
        </w:rPr>
        <w:t>7</w:t>
      </w:r>
      <w:r>
        <w:rPr>
          <w:snapToGrid w:val="0"/>
        </w:rPr>
        <w:t>.</w:t>
      </w:r>
      <w:r>
        <w:rPr>
          <w:snapToGrid w:val="0"/>
        </w:rPr>
        <w:tab/>
        <w:t>Amount of compensation in case of total or partial incapacity</w:t>
      </w:r>
      <w:bookmarkEnd w:id="512"/>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0"/>
        <w:rPr>
          <w:snapToGrid w:val="0"/>
        </w:rPr>
      </w:pPr>
      <w:bookmarkStart w:id="513" w:name="_Toc390078731"/>
      <w:r>
        <w:rPr>
          <w:rStyle w:val="CharSClsNo"/>
        </w:rPr>
        <w:t>8</w:t>
      </w:r>
      <w:r>
        <w:rPr>
          <w:snapToGrid w:val="0"/>
        </w:rPr>
        <w:t>.</w:t>
      </w:r>
      <w:r>
        <w:rPr>
          <w:snapToGrid w:val="0"/>
        </w:rPr>
        <w:tab/>
        <w:t>Deemed total incapacity</w:t>
      </w:r>
      <w:bookmarkEnd w:id="513"/>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0"/>
        <w:rPr>
          <w:snapToGrid w:val="0"/>
        </w:rPr>
      </w:pPr>
      <w:bookmarkStart w:id="514" w:name="_Toc390078732"/>
      <w:r>
        <w:rPr>
          <w:rStyle w:val="CharSClsNo"/>
        </w:rPr>
        <w:t>9</w:t>
      </w:r>
      <w:r>
        <w:rPr>
          <w:snapToGrid w:val="0"/>
        </w:rPr>
        <w:t>.</w:t>
      </w:r>
      <w:r>
        <w:rPr>
          <w:snapToGrid w:val="0"/>
        </w:rPr>
        <w:tab/>
        <w:t>No incapacity — medical expenses</w:t>
      </w:r>
      <w:bookmarkEnd w:id="514"/>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515" w:name="_Toc390078733"/>
      <w:r>
        <w:rPr>
          <w:rStyle w:val="CharSClsNo"/>
        </w:rPr>
        <w:t>10</w:t>
      </w:r>
      <w:r>
        <w:rPr>
          <w:snapToGrid w:val="0"/>
        </w:rPr>
        <w:t>.</w:t>
      </w:r>
      <w:r>
        <w:rPr>
          <w:snapToGrid w:val="0"/>
        </w:rPr>
        <w:tab/>
        <w:t>Absence from work for medical attendance</w:t>
      </w:r>
      <w:bookmarkEnd w:id="515"/>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516" w:name="_Toc390078734"/>
      <w:r>
        <w:rPr>
          <w:rStyle w:val="CharSClsNo"/>
        </w:rPr>
        <w:t>11</w:t>
      </w:r>
      <w:r>
        <w:rPr>
          <w:snapToGrid w:val="0"/>
        </w:rPr>
        <w:t>.</w:t>
      </w:r>
      <w:r>
        <w:rPr>
          <w:snapToGrid w:val="0"/>
        </w:rPr>
        <w:tab/>
        <w:t>Weekly earnings</w:t>
      </w:r>
      <w:bookmarkEnd w:id="516"/>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outlineLvl w:val="0"/>
      </w:pPr>
      <w:r>
        <w:rPr>
          <w:b/>
        </w:rPr>
        <w:tab/>
      </w:r>
      <w:r>
        <w:rPr>
          <w:rStyle w:val="CharDefText"/>
        </w:rPr>
        <w:t>Amount B</w:t>
      </w:r>
      <w:r>
        <w:t xml:space="preserve"> means — </w:t>
      </w:r>
    </w:p>
    <w:p>
      <w:pPr>
        <w:pStyle w:val="yDefpara"/>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Defpara"/>
      </w:pPr>
      <w:r>
        <w:tab/>
        <w:t>(b)</w:t>
      </w:r>
      <w:r>
        <w:tab/>
        <w:t>in the case of a director who is a worker for a company that is exempt under section 164, the average weekly earnings of the director determined under subclause (2b);</w:t>
      </w:r>
    </w:p>
    <w:p>
      <w:pPr>
        <w:pStyle w:val="yDefpara"/>
      </w:pPr>
      <w:r>
        <w:tab/>
      </w:r>
      <w:r>
        <w:tab/>
        <w:t>and</w:t>
      </w:r>
    </w:p>
    <w:p>
      <w:pPr>
        <w:pStyle w:val="yDefpara"/>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Defpara"/>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Defpara"/>
      </w:pPr>
      <w:r>
        <w:tab/>
        <w:t>(b)</w:t>
      </w:r>
      <w:r>
        <w:tab/>
        <w:t>if any relevant amount of earnings is not published, the amount obtained by varying Amount C for the preceding financial year in accordance with the regulations;</w:t>
      </w:r>
    </w:p>
    <w:p>
      <w:pPr>
        <w:pStyle w:val="NotesPerm"/>
        <w:tabs>
          <w:tab w:val="clear" w:pos="879"/>
          <w:tab w:val="left" w:pos="1701"/>
        </w:tabs>
        <w:ind w:left="1701" w:hanging="708"/>
        <w:rPr>
          <w:sz w:val="20"/>
        </w:rPr>
      </w:pPr>
      <w:r>
        <w:rPr>
          <w:sz w:val="20"/>
        </w:rPr>
        <w:t>Note:</w:t>
      </w:r>
      <w:r>
        <w:rPr>
          <w:sz w:val="20"/>
        </w:rPr>
        <w:tab/>
        <w:t>During the financial year ending on 30 June 2000 Amount C is $852.52.</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pPr>
      <w:r>
        <w:tab/>
        <w:t>(2a)</w:t>
      </w:r>
      <w:r>
        <w:tab/>
        <w:t xml:space="preserve">For the purposes of paragraph (a)(ii) of the definition of “Amount B”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“Amount B”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the references in the definition of Amount A in subclause (2) to overtime and any bonus or allowances; and</w:t>
      </w:r>
    </w:p>
    <w:p>
      <w:pPr>
        <w:pStyle w:val="yIndenta"/>
        <w:rPr>
          <w:snapToGrid w:val="0"/>
        </w:rPr>
      </w:pPr>
      <w:r>
        <w:rPr>
          <w:snapToGrid w:val="0"/>
        </w:rPr>
        <w:tab/>
        <w:t>(b)</w:t>
      </w:r>
      <w:r>
        <w:rPr>
          <w:snapToGrid w:val="0"/>
        </w:rPr>
        <w:tab/>
        <w:t>the references in the definition of Amount Aa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r>
      <w:r>
        <w:tab/>
        <w:t>Repealed by No. 34 of 1999 s. 32(13).]</w:t>
      </w:r>
    </w:p>
    <w:p>
      <w:pPr>
        <w:pStyle w:val="yHeading5"/>
        <w:outlineLvl w:val="0"/>
        <w:rPr>
          <w:snapToGrid w:val="0"/>
        </w:rPr>
      </w:pPr>
      <w:bookmarkStart w:id="517" w:name="_Toc390078735"/>
      <w:r>
        <w:rPr>
          <w:rStyle w:val="CharSClsNo"/>
        </w:rPr>
        <w:t>12</w:t>
      </w:r>
      <w:r>
        <w:rPr>
          <w:snapToGrid w:val="0"/>
        </w:rPr>
        <w:t>.</w:t>
      </w:r>
      <w:r>
        <w:rPr>
          <w:snapToGrid w:val="0"/>
        </w:rPr>
        <w:tab/>
        <w:t>Part</w:t>
      </w:r>
      <w:r>
        <w:rPr>
          <w:snapToGrid w:val="0"/>
        </w:rPr>
        <w:noBreakHyphen/>
        <w:t>time worker</w:t>
      </w:r>
      <w:bookmarkEnd w:id="517"/>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518" w:name="_Toc390078736"/>
      <w:r>
        <w:rPr>
          <w:rStyle w:val="CharSClsNo"/>
        </w:rPr>
        <w:t>13</w:t>
      </w:r>
      <w:r>
        <w:rPr>
          <w:snapToGrid w:val="0"/>
        </w:rPr>
        <w:t>.</w:t>
      </w:r>
      <w:r>
        <w:rPr>
          <w:snapToGrid w:val="0"/>
        </w:rPr>
        <w:tab/>
        <w:t>Concurrent contracts</w:t>
      </w:r>
      <w:bookmarkEnd w:id="518"/>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0"/>
        <w:rPr>
          <w:snapToGrid w:val="0"/>
        </w:rPr>
      </w:pPr>
      <w:bookmarkStart w:id="519" w:name="_Toc390078737"/>
      <w:r>
        <w:rPr>
          <w:rStyle w:val="CharSClsNo"/>
        </w:rPr>
        <w:t>14</w:t>
      </w:r>
      <w:r>
        <w:rPr>
          <w:snapToGrid w:val="0"/>
        </w:rPr>
        <w:t>.</w:t>
      </w:r>
      <w:r>
        <w:rPr>
          <w:snapToGrid w:val="0"/>
        </w:rPr>
        <w:tab/>
        <w:t>Casual or seasonal worker</w:t>
      </w:r>
      <w:bookmarkEnd w:id="519"/>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520" w:name="_Toc390078738"/>
      <w:r>
        <w:rPr>
          <w:rStyle w:val="CharSClsNo"/>
        </w:rPr>
        <w:t>15</w:t>
      </w:r>
      <w:r>
        <w:rPr>
          <w:snapToGrid w:val="0"/>
        </w:rPr>
        <w:t>.</w:t>
      </w:r>
      <w:r>
        <w:rPr>
          <w:snapToGrid w:val="0"/>
        </w:rPr>
        <w:tab/>
        <w:t>Board and lodging</w:t>
      </w:r>
      <w:bookmarkEnd w:id="520"/>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521" w:name="_Toc390078739"/>
      <w:r>
        <w:rPr>
          <w:rStyle w:val="CharSClsNo"/>
        </w:rPr>
        <w:t>16</w:t>
      </w:r>
      <w:r>
        <w:rPr>
          <w:snapToGrid w:val="0"/>
        </w:rPr>
        <w:t>.</w:t>
      </w:r>
      <w:r>
        <w:rPr>
          <w:snapToGrid w:val="0"/>
        </w:rPr>
        <w:tab/>
        <w:t>Variation of weekly payments</w:t>
      </w:r>
      <w:bookmarkEnd w:id="521"/>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5</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522" w:name="_Toc390078740"/>
      <w:r>
        <w:rPr>
          <w:rStyle w:val="CharSClsNo"/>
        </w:rPr>
        <w:t>17</w:t>
      </w:r>
      <w:r>
        <w:rPr>
          <w:snapToGrid w:val="0"/>
        </w:rPr>
        <w:t>.</w:t>
      </w:r>
      <w:r>
        <w:rPr>
          <w:snapToGrid w:val="0"/>
        </w:rPr>
        <w:tab/>
        <w:t>Payment of medical and other expenses</w:t>
      </w:r>
      <w:bookmarkEnd w:id="522"/>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pPr>
      <w:r>
        <w:tab/>
        <w:t>(2)</w:t>
      </w:r>
      <w:r>
        <w:tab/>
        <w:t xml:space="preserve">funeral expenses, including all cemetery board charges, in the event of the death of the worker, but not exceeding — </w:t>
      </w:r>
    </w:p>
    <w:p>
      <w:pPr>
        <w:pStyle w:val="yIndenti0"/>
      </w:pPr>
      <w:r>
        <w:tab/>
        <w:t>(a)</w:t>
      </w:r>
      <w:r>
        <w:tab/>
        <w:t>the amount prescribed by the regulations for the purposes of this subclause; or</w:t>
      </w:r>
    </w:p>
    <w:p>
      <w:pPr>
        <w:pStyle w:val="yIndenti0"/>
      </w:pPr>
      <w:r>
        <w:tab/>
        <w:t>(b)</w:t>
      </w:r>
      <w:r>
        <w:tab/>
        <w:t>$7 000,</w:t>
      </w:r>
    </w:p>
    <w:p>
      <w:pPr>
        <w:pStyle w:val="yIndenta"/>
      </w:pPr>
      <w:r>
        <w:tab/>
      </w:r>
      <w:r>
        <w:tab/>
        <w:t>whichever is the greater amount;</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0"/>
        <w:rPr>
          <w:snapToGrid w:val="0"/>
        </w:rPr>
      </w:pPr>
      <w:bookmarkStart w:id="523" w:name="_Toc390078741"/>
      <w:r>
        <w:rPr>
          <w:rStyle w:val="CharSClsNo"/>
        </w:rPr>
        <w:t>18</w:t>
      </w:r>
      <w:r>
        <w:rPr>
          <w:snapToGrid w:val="0"/>
        </w:rPr>
        <w:t>.</w:t>
      </w:r>
      <w:r>
        <w:rPr>
          <w:snapToGrid w:val="0"/>
        </w:rPr>
        <w:tab/>
        <w:t>Hospital charges</w:t>
      </w:r>
      <w:bookmarkEnd w:id="523"/>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524" w:name="_Toc390078742"/>
      <w:r>
        <w:rPr>
          <w:rStyle w:val="CharSClsNo"/>
        </w:rPr>
        <w:t>18A</w:t>
      </w:r>
      <w:r>
        <w:rPr>
          <w:snapToGrid w:val="0"/>
        </w:rPr>
        <w:t>.</w:t>
      </w:r>
      <w:r>
        <w:rPr>
          <w:snapToGrid w:val="0"/>
        </w:rPr>
        <w:tab/>
        <w:t>Payment of additional expenses</w:t>
      </w:r>
      <w:bookmarkEnd w:id="524"/>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rStyle w:val="CharDefText"/>
        </w:rPr>
        <w:t>prescribed amount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0"/>
      </w:pPr>
      <w:bookmarkStart w:id="525" w:name="_Toc390078743"/>
      <w:r>
        <w:rPr>
          <w:rStyle w:val="CharSClsNo"/>
        </w:rPr>
        <w:t>18B</w:t>
      </w:r>
      <w:r>
        <w:t>.</w:t>
      </w:r>
      <w:r>
        <w:rPr>
          <w:b w:val="0"/>
        </w:rPr>
        <w:tab/>
      </w:r>
      <w:r>
        <w:t>Final day for clause 18A(1b) application</w:t>
      </w:r>
      <w:bookmarkEnd w:id="525"/>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0"/>
      </w:pPr>
      <w:bookmarkStart w:id="526" w:name="_Toc390078744"/>
      <w:r>
        <w:rPr>
          <w:rStyle w:val="CharSClsNo"/>
        </w:rPr>
        <w:t>18C</w:t>
      </w:r>
      <w:r>
        <w:t>.</w:t>
      </w:r>
      <w:r>
        <w:rPr>
          <w:b w:val="0"/>
        </w:rPr>
        <w:tab/>
      </w:r>
      <w:r>
        <w:t>Dispute as to degree of permanent whole of person impairment</w:t>
      </w:r>
      <w:bookmarkEnd w:id="526"/>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“degree of permanent whole of person impairment” in subclause (3) —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0"/>
      </w:pPr>
      <w:bookmarkStart w:id="527" w:name="_Toc390078745"/>
      <w:r>
        <w:rPr>
          <w:rStyle w:val="CharSClsNo"/>
        </w:rPr>
        <w:t>18D</w:t>
      </w:r>
      <w:r>
        <w:t>.</w:t>
      </w:r>
      <w:r>
        <w:rPr>
          <w:b w:val="0"/>
        </w:rPr>
        <w:tab/>
      </w:r>
      <w:r>
        <w:t>Interim payment of additional expenses</w:t>
      </w:r>
      <w:bookmarkEnd w:id="527"/>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0"/>
        <w:rPr>
          <w:snapToGrid w:val="0"/>
        </w:rPr>
      </w:pPr>
      <w:bookmarkStart w:id="528" w:name="_Toc390078746"/>
      <w:r>
        <w:rPr>
          <w:rStyle w:val="CharSClsNo"/>
        </w:rPr>
        <w:t>19</w:t>
      </w:r>
      <w:r>
        <w:rPr>
          <w:snapToGrid w:val="0"/>
        </w:rPr>
        <w:t>.</w:t>
      </w:r>
      <w:r>
        <w:rPr>
          <w:snapToGrid w:val="0"/>
        </w:rPr>
        <w:tab/>
        <w:t>Travelling</w:t>
      </w:r>
      <w:bookmarkEnd w:id="528"/>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pStyle w:val="yScheduleHeading"/>
        <w:outlineLvl w:val="9"/>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Pr>
        <w:pStyle w:val="yScheduleHeading"/>
        <w:outlineLvl w:val="0"/>
      </w:pPr>
      <w:bookmarkStart w:id="529" w:name="_Toc390078747"/>
      <w:r>
        <w:rPr>
          <w:rStyle w:val="CharSchNo"/>
        </w:rPr>
        <w:t>Schedule 2</w:t>
      </w:r>
      <w:r>
        <w:t> — </w:t>
      </w:r>
      <w:r>
        <w:rPr>
          <w:rStyle w:val="CharSchText"/>
        </w:rPr>
        <w:t>Table of compensation payable</w:t>
      </w:r>
      <w:bookmarkEnd w:id="529"/>
    </w:p>
    <w:p>
      <w:pPr>
        <w:pStyle w:val="yFootnoteheading"/>
      </w:pPr>
      <w:r>
        <w:tab/>
        <w:t>[Heading inserted by No. 42 of 2004 s. 142(1).]</w:t>
      </w:r>
    </w:p>
    <w:p>
      <w:pPr>
        <w:pStyle w:val="yHeading2"/>
        <w:outlineLvl w:val="0"/>
      </w:pPr>
      <w:bookmarkStart w:id="530" w:name="_Toc390078748"/>
      <w:r>
        <w:rPr>
          <w:rStyle w:val="CharSDivNo"/>
          <w:sz w:val="28"/>
        </w:rPr>
        <w:t>Part 1</w:t>
      </w:r>
      <w:bookmarkEnd w:id="530"/>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pPr>
            <w:r>
              <w:t>28.</w:t>
            </w:r>
            <w:r>
              <w:tab/>
              <w:t>Loss of leg at or above knee ................................</w:t>
            </w:r>
          </w:p>
        </w:tc>
        <w:tc>
          <w:tcPr>
            <w:tcW w:w="1843" w:type="dxa"/>
          </w:tcPr>
          <w:p>
            <w:pPr>
              <w:pStyle w:val="yTable"/>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outlineLvl w:val="0"/>
      </w:pPr>
      <w:bookmarkStart w:id="531" w:name="_Toc390078749"/>
      <w:r>
        <w:rPr>
          <w:rStyle w:val="CharSDivNo"/>
          <w:sz w:val="28"/>
        </w:rPr>
        <w:t>Part 2</w:t>
      </w:r>
      <w:bookmarkEnd w:id="531"/>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i/>
              </w:rPr>
            </w:pPr>
            <w:r>
              <w:rPr>
                <w:b/>
                <w:i/>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Impairment of sight of both eyes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Impairment of sight of an only eye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Impairment of sight of one eye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Impairment of binocular vision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Impairment of hearing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Impairment of power of speech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Impairment of mental capacity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Impairment of spinal cord function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Impairment of sense of taste and smell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Impairment of sense of taste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Impairment of sense of smell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Impairment of arm at or above elbow ..........…....</w:t>
            </w:r>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Impairment of arm below elbow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Impairment of both hands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Impairment of hand and foot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Impairment of hand or thumb and 4 fingers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Impairment of thumb ....................................…...</w:t>
            </w:r>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Impairment of forefinger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Impairment of middle finger ........................…....</w:t>
            </w:r>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Impairment of little finger ............................…...</w:t>
            </w:r>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Impairment of leg at or above knee ..............…...</w:t>
            </w:r>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Impairment of leg below knee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Impairment of both feet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Impairment of foot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Impairment of great toe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Impairment of the pelvis ..............................…....</w:t>
            </w:r>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Impairment of genitals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pStyle w:val="yFootnotesection"/>
        <w:sectPr>
          <w:headerReference w:type="even" r:id="rId36"/>
          <w:headerReference w:type="default" r:id="rId37"/>
          <w:pgSz w:w="11906" w:h="16838" w:code="9"/>
          <w:pgMar w:top="2381" w:right="2409" w:bottom="3543" w:left="2409" w:header="720" w:footer="3380" w:gutter="0"/>
          <w:cols w:space="720"/>
          <w:noEndnote/>
          <w:docGrid w:linePitch="326"/>
        </w:sectPr>
      </w:pPr>
    </w:p>
    <w:p>
      <w:pPr>
        <w:pStyle w:val="yScheduleHeading"/>
        <w:outlineLvl w:val="0"/>
      </w:pPr>
      <w:bookmarkStart w:id="532" w:name="_Toc390078750"/>
      <w:r>
        <w:rPr>
          <w:rStyle w:val="CharSchNo"/>
        </w:rPr>
        <w:t>Schedule 3</w:t>
      </w:r>
      <w:r>
        <w:t> — </w:t>
      </w:r>
      <w:r>
        <w:rPr>
          <w:rStyle w:val="CharSchText"/>
        </w:rPr>
        <w:t>Specified industrial diseases</w:t>
      </w:r>
      <w:bookmarkEnd w:id="532"/>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 xml:space="preserve">[Schedule 3 amended by No. 44 of 1985 s. 43; No. 48 of 1993 s. 42.] </w:t>
      </w:r>
    </w:p>
    <w:p>
      <w:pPr>
        <w:pStyle w:val="yScheduleHeading"/>
        <w:outlineLvl w:val="0"/>
      </w:pPr>
      <w:bookmarkStart w:id="533" w:name="_Toc390078751"/>
      <w:r>
        <w:rPr>
          <w:rStyle w:val="CharSchNo"/>
        </w:rPr>
        <w:t>Schedule 4</w:t>
      </w:r>
      <w:r>
        <w:t> — </w:t>
      </w:r>
      <w:r>
        <w:rPr>
          <w:rStyle w:val="CharSchText"/>
        </w:rPr>
        <w:t>Specified losses of functions</w:t>
      </w:r>
      <w:bookmarkEnd w:id="533"/>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outlineLvl w:val="9"/>
        <w:sectPr>
          <w:headerReference w:type="even" r:id="rId38"/>
          <w:headerReference w:type="default" r:id="rId39"/>
          <w:pgSz w:w="11906" w:h="16838" w:code="9"/>
          <w:pgMar w:top="2381" w:right="2409" w:bottom="3543" w:left="2409" w:header="720" w:footer="3380" w:gutter="0"/>
          <w:cols w:space="720"/>
          <w:noEndnote/>
          <w:docGrid w:linePitch="326"/>
        </w:sectPr>
      </w:pPr>
    </w:p>
    <w:p>
      <w:pPr>
        <w:pStyle w:val="yScheduleHeading"/>
      </w:pPr>
      <w:bookmarkStart w:id="534" w:name="_Toc390078752"/>
      <w:r>
        <w:rPr>
          <w:rStyle w:val="CharSchNo"/>
        </w:rPr>
        <w:t>Schedule 5</w:t>
      </w:r>
      <w:r>
        <w:t> — </w:t>
      </w:r>
      <w:r>
        <w:rPr>
          <w:rStyle w:val="CharSchText"/>
        </w:rPr>
        <w:t>Exceptions to cessation of weekly payments by reason of age</w:t>
      </w:r>
      <w:bookmarkEnd w:id="534"/>
    </w:p>
    <w:p>
      <w:pPr>
        <w:pStyle w:val="yShoulderClause"/>
        <w:rPr>
          <w:snapToGrid w:val="0"/>
        </w:rPr>
      </w:pPr>
      <w:r>
        <w:rPr>
          <w:snapToGrid w:val="0"/>
        </w:rPr>
        <w:t>[Section 56]</w:t>
      </w:r>
    </w:p>
    <w:p>
      <w:pPr>
        <w:pStyle w:val="yHeading5"/>
        <w:outlineLvl w:val="0"/>
        <w:rPr>
          <w:snapToGrid w:val="0"/>
        </w:rPr>
      </w:pPr>
      <w:bookmarkStart w:id="535" w:name="_Toc390078753"/>
      <w:r>
        <w:rPr>
          <w:rStyle w:val="CharSClsNo"/>
        </w:rPr>
        <w:t>1</w:t>
      </w:r>
      <w:r>
        <w:rPr>
          <w:snapToGrid w:val="0"/>
        </w:rPr>
        <w:t>.</w:t>
      </w:r>
      <w:r>
        <w:rPr>
          <w:snapToGrid w:val="0"/>
        </w:rPr>
        <w:tab/>
        <w:t>Definitions</w:t>
      </w:r>
      <w:bookmarkEnd w:id="535"/>
    </w:p>
    <w:p>
      <w:pPr>
        <w:pStyle w:val="ySubsection"/>
        <w:rPr>
          <w:snapToGrid w:val="0"/>
        </w:rPr>
      </w:pPr>
      <w:r>
        <w:rPr>
          <w:snapToGrid w:val="0"/>
        </w:rPr>
        <w:tab/>
        <w:t>(1)</w:t>
      </w:r>
      <w:r>
        <w:rPr>
          <w:snapToGrid w:val="0"/>
        </w:rPr>
        <w:tab/>
        <w:t>In this Schedule — </w:t>
      </w:r>
    </w:p>
    <w:p>
      <w:pPr>
        <w:pStyle w:val="yDefstart"/>
      </w:pPr>
      <w:r>
        <w:tab/>
      </w:r>
      <w:r>
        <w:rPr>
          <w:rStyle w:val="CharDefText"/>
        </w:rPr>
        <w:t>proclaimed date</w:t>
      </w:r>
      <w:r>
        <w:t xml:space="preserve"> means the date on which this Schedule comes into operation;</w:t>
      </w:r>
    </w:p>
    <w:p>
      <w:pPr>
        <w:pStyle w:val="yDefstart"/>
      </w:pPr>
      <w:r>
        <w:tab/>
      </w:r>
      <w:r>
        <w:rPr>
          <w:rStyle w:val="CharDefText"/>
        </w:rPr>
        <w:t>redemption amount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by No. 34 of 1999 s. 55(1); No. 28 of 2003 s. 216(1).]</w:t>
      </w:r>
    </w:p>
    <w:p>
      <w:pPr>
        <w:pStyle w:val="yHeading5"/>
        <w:outlineLvl w:val="9"/>
      </w:pPr>
      <w:bookmarkStart w:id="536" w:name="_Toc390078754"/>
      <w:r>
        <w:rPr>
          <w:rStyle w:val="CharSClsNo"/>
        </w:rPr>
        <w:t>1A</w:t>
      </w:r>
      <w:r>
        <w:t>.</w:t>
      </w:r>
      <w:r>
        <w:tab/>
        <w:t>Successive lung diseases to be regarded as one</w:t>
      </w:r>
      <w:bookmarkEnd w:id="536"/>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537" w:name="_Toc390078755"/>
      <w:r>
        <w:rPr>
          <w:rStyle w:val="CharSClsNo"/>
        </w:rPr>
        <w:t>2</w:t>
      </w:r>
      <w:r>
        <w:rPr>
          <w:snapToGrid w:val="0"/>
        </w:rPr>
        <w:t>.</w:t>
      </w:r>
      <w:r>
        <w:rPr>
          <w:snapToGrid w:val="0"/>
        </w:rPr>
        <w:tab/>
        <w:t>Incapacity for work resulting from injuries other than pneumoconiosis, mesothelioma and lung cancer</w:t>
      </w:r>
      <w:bookmarkEnd w:id="537"/>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538" w:name="_Toc390078756"/>
      <w:r>
        <w:rPr>
          <w:rStyle w:val="CharSClsNo"/>
        </w:rPr>
        <w:t>3</w:t>
      </w:r>
      <w:r>
        <w:rPr>
          <w:snapToGrid w:val="0"/>
        </w:rPr>
        <w:t>.</w:t>
      </w:r>
      <w:r>
        <w:rPr>
          <w:snapToGrid w:val="0"/>
        </w:rPr>
        <w:tab/>
        <w:t>Incapacity for work resulting from injuries of pneumoconiosis, mesothelioma and lung cancer — weekly payments</w:t>
      </w:r>
      <w:bookmarkEnd w:id="538"/>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 xml:space="preserve">Workers’ Compensation and Assistance Amendment Act 1984 </w:t>
      </w:r>
      <w:r>
        <w:rPr>
          <w:snapToGrid w:val="0"/>
          <w:vertAlign w:val="superscript"/>
        </w:rPr>
        <w:t>1</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rStyle w:val="CharDefText"/>
        </w:rPr>
        <w:t>the 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539" w:name="_Toc390078757"/>
      <w:r>
        <w:rPr>
          <w:rStyle w:val="CharSClsNo"/>
        </w:rPr>
        <w:t>4</w:t>
      </w:r>
      <w:r>
        <w:rPr>
          <w:snapToGrid w:val="0"/>
        </w:rPr>
        <w:t>.</w:t>
      </w:r>
      <w:r>
        <w:rPr>
          <w:snapToGrid w:val="0"/>
        </w:rPr>
        <w:tab/>
        <w:t>Election to take redemption amount as lump sum or supplementary amount weekly</w:t>
      </w:r>
      <w:bookmarkEnd w:id="539"/>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540" w:name="_Toc390078758"/>
      <w:r>
        <w:rPr>
          <w:rStyle w:val="CharSClsNo"/>
        </w:rPr>
        <w:t>5</w:t>
      </w:r>
      <w:r>
        <w:rPr>
          <w:snapToGrid w:val="0"/>
        </w:rPr>
        <w:t>.</w:t>
      </w:r>
      <w:r>
        <w:rPr>
          <w:snapToGrid w:val="0"/>
        </w:rPr>
        <w:tab/>
        <w:t>Requirements for election under clause 4</w:t>
      </w:r>
      <w:bookmarkEnd w:id="540"/>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541" w:name="_Toc390078759"/>
      <w:r>
        <w:rPr>
          <w:rStyle w:val="CharSClsNo"/>
        </w:rPr>
        <w:t>6</w:t>
      </w:r>
      <w:r>
        <w:rPr>
          <w:snapToGrid w:val="0"/>
        </w:rPr>
        <w:t>.</w:t>
      </w:r>
      <w:r>
        <w:rPr>
          <w:snapToGrid w:val="0"/>
        </w:rPr>
        <w:tab/>
        <w:t>Effect of receiving the redemption amount as a lump sum</w:t>
      </w:r>
      <w:bookmarkEnd w:id="541"/>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542" w:name="_Toc390078760"/>
      <w:r>
        <w:rPr>
          <w:rStyle w:val="CharSClsNo"/>
        </w:rPr>
        <w:t>7</w:t>
      </w:r>
      <w:r>
        <w:rPr>
          <w:snapToGrid w:val="0"/>
        </w:rPr>
        <w:t>.</w:t>
      </w:r>
      <w:r>
        <w:rPr>
          <w:snapToGrid w:val="0"/>
        </w:rPr>
        <w:tab/>
        <w:t>Effect of receiving supplementary amount</w:t>
      </w:r>
      <w:bookmarkEnd w:id="542"/>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keepNext/>
        <w:keepLines/>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r>
        <w:tab/>
        <w:t>[Clause 7 inserted by No. 104 of 1984 s. 8; amended by No. 28 of 2003 s. 216(2); No. 42 of 2004 s. 147, 149 and 150.]</w:t>
      </w:r>
    </w:p>
    <w:p>
      <w:pPr>
        <w:pStyle w:val="yHeading5"/>
        <w:outlineLvl w:val="0"/>
        <w:rPr>
          <w:snapToGrid w:val="0"/>
        </w:rPr>
      </w:pPr>
      <w:bookmarkStart w:id="543" w:name="_Toc390078761"/>
      <w:r>
        <w:rPr>
          <w:rStyle w:val="CharSClsNo"/>
        </w:rPr>
        <w:t>8</w:t>
      </w:r>
      <w:r>
        <w:rPr>
          <w:snapToGrid w:val="0"/>
        </w:rPr>
        <w:t>.</w:t>
      </w:r>
      <w:r>
        <w:rPr>
          <w:snapToGrid w:val="0"/>
        </w:rPr>
        <w:tab/>
        <w:t>Payment of supplementary amount</w:t>
      </w:r>
      <w:bookmarkEnd w:id="543"/>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0"/>
        <w:rPr>
          <w:snapToGrid w:val="0"/>
        </w:rPr>
      </w:pPr>
      <w:bookmarkStart w:id="544" w:name="_Toc390078762"/>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544"/>
      <w:r>
        <w:rPr>
          <w:snapToGrid w:val="0"/>
        </w:rPr>
        <w:t xml:space="preserve"> </w:t>
      </w:r>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outlineLvl w:val="0"/>
      </w:pPr>
      <w:bookmarkStart w:id="545" w:name="_Toc390078763"/>
      <w:r>
        <w:rPr>
          <w:rStyle w:val="CharSchNo"/>
        </w:rPr>
        <w:t>Schedule 6</w:t>
      </w:r>
      <w:r>
        <w:t> — </w:t>
      </w:r>
      <w:r>
        <w:rPr>
          <w:rStyle w:val="CharSchText"/>
        </w:rPr>
        <w:t>Adjacent areas</w:t>
      </w:r>
      <w:bookmarkEnd w:id="545"/>
    </w:p>
    <w:p>
      <w:pPr>
        <w:pStyle w:val="yShoulderClause"/>
      </w:pPr>
      <w:r>
        <w:t>[s. 20]</w:t>
      </w:r>
    </w:p>
    <w:p>
      <w:pPr>
        <w:pStyle w:val="yFootnoteheading"/>
        <w:tabs>
          <w:tab w:val="left" w:pos="851"/>
        </w:tabs>
      </w:pPr>
      <w:r>
        <w:tab/>
        <w:t>[Heading inserted by No. 36 of 2004 s. 13.]</w:t>
      </w:r>
    </w:p>
    <w:p>
      <w:pPr>
        <w:pStyle w:val="yHeading5"/>
        <w:outlineLvl w:val="0"/>
      </w:pPr>
      <w:bookmarkStart w:id="546" w:name="_Toc390078764"/>
      <w:r>
        <w:rPr>
          <w:rStyle w:val="CharSClsNo"/>
        </w:rPr>
        <w:t>1</w:t>
      </w:r>
      <w:r>
        <w:t>.</w:t>
      </w:r>
      <w:r>
        <w:tab/>
        <w:t>Terms used in this Schedule</w:t>
      </w:r>
      <w:bookmarkEnd w:id="546"/>
    </w:p>
    <w:p>
      <w:pPr>
        <w:pStyle w:val="ySubsection"/>
      </w:pPr>
      <w:r>
        <w:tab/>
      </w:r>
      <w:r>
        <w:tab/>
        <w:t xml:space="preserve">In this Schedule —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Petroleum Act</w:t>
      </w:r>
      <w:r>
        <w:t xml:space="preserve"> means the </w:t>
      </w:r>
      <w:r>
        <w:rPr>
          <w:i/>
        </w:rPr>
        <w:t>Petroleum (Submerged Lands) Act 1967</w:t>
      </w:r>
      <w:r>
        <w:t xml:space="preserve"> 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547" w:name="_Toc390078765"/>
      <w:r>
        <w:rPr>
          <w:rStyle w:val="CharSClsNo"/>
        </w:rPr>
        <w:t>2</w:t>
      </w:r>
      <w:r>
        <w:t>.</w:t>
      </w:r>
      <w:r>
        <w:tab/>
        <w:t>Adjacent areas</w:t>
      </w:r>
      <w:bookmarkEnd w:id="547"/>
    </w:p>
    <w:p>
      <w:pPr>
        <w:pStyle w:val="ySubsection"/>
      </w:pPr>
      <w:r>
        <w:tab/>
        <w:t>(1)</w:t>
      </w:r>
      <w:r>
        <w:tab/>
        <w:t xml:space="preserve">The </w:t>
      </w:r>
      <w:r>
        <w:rPr>
          <w:rStyle w:val="CharDefText"/>
        </w:rPr>
        <w:t>adjacent area</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outlineLvl w:val="0"/>
      </w:pPr>
      <w:bookmarkStart w:id="548" w:name="_Toc390078766"/>
      <w:r>
        <w:rPr>
          <w:rStyle w:val="CharSchNo"/>
        </w:rPr>
        <w:t>Schedule 7</w:t>
      </w:r>
      <w:r>
        <w:t> — </w:t>
      </w:r>
      <w:r>
        <w:rPr>
          <w:rStyle w:val="CharSchText"/>
        </w:rPr>
        <w:t>Noise induced hearing loss</w:t>
      </w:r>
      <w:bookmarkEnd w:id="548"/>
    </w:p>
    <w:p>
      <w:pPr>
        <w:pStyle w:val="yShoulderClause"/>
        <w:rPr>
          <w:snapToGrid w:val="0"/>
        </w:rPr>
      </w:pPr>
      <w:r>
        <w:rPr>
          <w:snapToGrid w:val="0"/>
        </w:rPr>
        <w:t>[Section 24A]</w:t>
      </w:r>
    </w:p>
    <w:p>
      <w:pPr>
        <w:pStyle w:val="yFootnoteheading"/>
        <w:rPr>
          <w:snapToGrid w:val="0"/>
        </w:rPr>
      </w:pPr>
      <w:r>
        <w:tab/>
        <w:t>[Heading inserted by No. 36 of 1988 s. 12.]</w:t>
      </w:r>
    </w:p>
    <w:p>
      <w:pPr>
        <w:pStyle w:val="yHeading5"/>
        <w:outlineLvl w:val="0"/>
        <w:rPr>
          <w:snapToGrid w:val="0"/>
        </w:rPr>
      </w:pPr>
      <w:bookmarkStart w:id="549" w:name="_Toc390078767"/>
      <w:r>
        <w:rPr>
          <w:rStyle w:val="CharSClsNo"/>
        </w:rPr>
        <w:t>1</w:t>
      </w:r>
      <w:r>
        <w:rPr>
          <w:snapToGrid w:val="0"/>
        </w:rPr>
        <w:t>.</w:t>
      </w:r>
      <w:r>
        <w:rPr>
          <w:snapToGrid w:val="0"/>
        </w:rPr>
        <w:tab/>
        <w:t>Definitions</w:t>
      </w:r>
      <w:bookmarkEnd w:id="549"/>
    </w:p>
    <w:p>
      <w:pPr>
        <w:pStyle w:val="ySubsection"/>
        <w:rPr>
          <w:snapToGrid w:val="0"/>
        </w:rPr>
      </w:pPr>
      <w:r>
        <w:rPr>
          <w:snapToGrid w:val="0"/>
        </w:rPr>
        <w:tab/>
      </w:r>
      <w:r>
        <w:rPr>
          <w:snapToGrid w:val="0"/>
        </w:rPr>
        <w:tab/>
        <w:t>In this Schedule —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 xml:space="preserve">Workers’ Compensation and Assistance Amendment Act 1988 </w:t>
      </w:r>
      <w:r>
        <w:rPr>
          <w:vertAlign w:val="superscript"/>
        </w:rPr>
        <w:t>1</w:t>
      </w:r>
      <w:r>
        <w:t xml:space="preserve"> comes into operation.</w:t>
      </w:r>
    </w:p>
    <w:p>
      <w:pPr>
        <w:pStyle w:val="yFootnotesection"/>
      </w:pPr>
      <w:r>
        <w:tab/>
        <w:t>[Clause 1 inserted by No. 36 of 1988 s. 12.]</w:t>
      </w:r>
    </w:p>
    <w:p>
      <w:pPr>
        <w:pStyle w:val="yHeading5"/>
        <w:outlineLvl w:val="0"/>
        <w:rPr>
          <w:snapToGrid w:val="0"/>
        </w:rPr>
      </w:pPr>
      <w:bookmarkStart w:id="550" w:name="_Toc390078768"/>
      <w:r>
        <w:rPr>
          <w:rStyle w:val="CharSClsNo"/>
        </w:rPr>
        <w:t>2</w:t>
      </w:r>
      <w:r>
        <w:rPr>
          <w:snapToGrid w:val="0"/>
        </w:rPr>
        <w:t>.</w:t>
      </w:r>
      <w:r>
        <w:rPr>
          <w:snapToGrid w:val="0"/>
        </w:rPr>
        <w:tab/>
        <w:t>Audiometric tests</w:t>
      </w:r>
      <w:bookmarkEnd w:id="550"/>
    </w:p>
    <w:p>
      <w:pPr>
        <w:pStyle w:val="ySubsection"/>
        <w:rPr>
          <w:snapToGrid w:val="0"/>
        </w:rPr>
      </w:pPr>
      <w:r>
        <w:rPr>
          <w:snapToGrid w:val="0"/>
        </w:rPr>
        <w:tab/>
        <w:t>(1)</w:t>
      </w:r>
      <w:r>
        <w:rPr>
          <w:snapToGrid w:val="0"/>
        </w:rPr>
        <w:tab/>
        <w:t>A worker employed in a prescribed work 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551" w:name="_Toc390078769"/>
      <w:r>
        <w:rPr>
          <w:rStyle w:val="CharSClsNo"/>
        </w:rPr>
        <w:t>3</w:t>
      </w:r>
      <w:r>
        <w:rPr>
          <w:snapToGrid w:val="0"/>
        </w:rPr>
        <w:t>.</w:t>
      </w:r>
      <w:r>
        <w:rPr>
          <w:snapToGrid w:val="0"/>
        </w:rPr>
        <w:tab/>
        <w:t>Employer to arrange and pay for audiometric test</w:t>
      </w:r>
      <w:bookmarkEnd w:id="551"/>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552" w:name="_Toc390078770"/>
      <w:r>
        <w:rPr>
          <w:rStyle w:val="CharSClsNo"/>
        </w:rPr>
        <w:t>4</w:t>
      </w:r>
      <w:r>
        <w:rPr>
          <w:snapToGrid w:val="0"/>
        </w:rPr>
        <w:t>.</w:t>
      </w:r>
      <w:r>
        <w:rPr>
          <w:snapToGrid w:val="0"/>
        </w:rPr>
        <w:tab/>
        <w:t>Carrying out of audiometric tests</w:t>
      </w:r>
      <w:bookmarkEnd w:id="552"/>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553" w:name="_Toc390078771"/>
      <w:r>
        <w:rPr>
          <w:rStyle w:val="CharSClsNo"/>
        </w:rPr>
        <w:t>5</w:t>
      </w:r>
      <w:r>
        <w:rPr>
          <w:snapToGrid w:val="0"/>
        </w:rPr>
        <w:t>.</w:t>
      </w:r>
      <w:r>
        <w:rPr>
          <w:snapToGrid w:val="0"/>
        </w:rPr>
        <w:tab/>
        <w:t>Communication and storage of audiometric test results</w:t>
      </w:r>
      <w:bookmarkEnd w:id="553"/>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554" w:name="_Toc390078772"/>
      <w:r>
        <w:rPr>
          <w:rStyle w:val="CharSClsNo"/>
        </w:rPr>
        <w:t>6</w:t>
      </w:r>
      <w:r>
        <w:t>.</w:t>
      </w:r>
      <w:r>
        <w:rPr>
          <w:b w:val="0"/>
        </w:rPr>
        <w:tab/>
      </w:r>
      <w:r>
        <w:t>Reference to medical assessment panel</w:t>
      </w:r>
      <w:bookmarkEnd w:id="554"/>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555" w:name="_Toc390078773"/>
      <w:r>
        <w:rPr>
          <w:rStyle w:val="CharSClsNo"/>
        </w:rPr>
        <w:t>7</w:t>
      </w:r>
      <w:r>
        <w:rPr>
          <w:snapToGrid w:val="0"/>
        </w:rPr>
        <w:t>.</w:t>
      </w:r>
      <w:r>
        <w:rPr>
          <w:snapToGrid w:val="0"/>
        </w:rPr>
        <w:tab/>
        <w:t>Re</w:t>
      </w:r>
      <w:r>
        <w:rPr>
          <w:snapToGrid w:val="0"/>
        </w:rPr>
        <w:noBreakHyphen/>
        <w:t>test of person’s hearing</w:t>
      </w:r>
      <w:bookmarkEnd w:id="555"/>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 17.]</w:t>
      </w:r>
    </w:p>
    <w:p>
      <w:pPr>
        <w:pStyle w:val="yHeading5"/>
        <w:outlineLvl w:val="0"/>
        <w:rPr>
          <w:snapToGrid w:val="0"/>
        </w:rPr>
      </w:pPr>
      <w:bookmarkStart w:id="556" w:name="_Toc390078774"/>
      <w:r>
        <w:rPr>
          <w:rStyle w:val="CharSClsNo"/>
        </w:rPr>
        <w:t>8</w:t>
      </w:r>
      <w:r>
        <w:rPr>
          <w:snapToGrid w:val="0"/>
        </w:rPr>
        <w:t>.</w:t>
      </w:r>
      <w:r>
        <w:rPr>
          <w:snapToGrid w:val="0"/>
        </w:rPr>
        <w:tab/>
        <w:t>Determination of hearing loss</w:t>
      </w:r>
      <w:bookmarkEnd w:id="556"/>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557" w:name="_Toc390078775"/>
      <w:r>
        <w:rPr>
          <w:rStyle w:val="CharSClsNo"/>
        </w:rPr>
        <w:t>9</w:t>
      </w:r>
      <w:r>
        <w:rPr>
          <w:snapToGrid w:val="0"/>
        </w:rPr>
        <w:t>.</w:t>
      </w:r>
      <w:r>
        <w:rPr>
          <w:snapToGrid w:val="0"/>
        </w:rPr>
        <w:tab/>
        <w:t>Audiometric test not conclusive proof that hearing loss is noise induced</w:t>
      </w:r>
      <w:bookmarkEnd w:id="557"/>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by No. 36 of 1988 s. 12.]</w:t>
      </w:r>
    </w:p>
    <w:p>
      <w:pPr>
        <w:pStyle w:val="yHeading5"/>
        <w:outlineLvl w:val="0"/>
        <w:rPr>
          <w:snapToGrid w:val="0"/>
        </w:rPr>
      </w:pPr>
      <w:bookmarkStart w:id="558" w:name="_Toc390078776"/>
      <w:r>
        <w:rPr>
          <w:rStyle w:val="CharSClsNo"/>
        </w:rPr>
        <w:t>10</w:t>
      </w:r>
      <w:r>
        <w:rPr>
          <w:snapToGrid w:val="0"/>
        </w:rPr>
        <w:t>.</w:t>
      </w:r>
      <w:r>
        <w:rPr>
          <w:snapToGrid w:val="0"/>
        </w:rPr>
        <w:tab/>
        <w:t>Prescribed workplaces</w:t>
      </w:r>
      <w:bookmarkEnd w:id="558"/>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559" w:name="_Toc390078777"/>
      <w:r>
        <w:rPr>
          <w:rStyle w:val="CharSchNo"/>
        </w:rPr>
        <w:t>Schedule 8</w:t>
      </w:r>
      <w:r>
        <w:t> — </w:t>
      </w:r>
      <w:r>
        <w:rPr>
          <w:rStyle w:val="CharSchText"/>
        </w:rPr>
        <w:t>Terms and conditions of service of Commissioner</w:t>
      </w:r>
      <w:bookmarkEnd w:id="559"/>
    </w:p>
    <w:p>
      <w:pPr>
        <w:pStyle w:val="yShoulderClause"/>
      </w:pPr>
      <w:r>
        <w:t>[s. 282]</w:t>
      </w:r>
    </w:p>
    <w:p>
      <w:pPr>
        <w:pStyle w:val="yFootnoteheading"/>
      </w:pPr>
      <w:r>
        <w:tab/>
        <w:t>[Heading inserted by No. 42 of 2004 s. 145.]</w:t>
      </w:r>
    </w:p>
    <w:p>
      <w:pPr>
        <w:pStyle w:val="yHeading5"/>
        <w:outlineLvl w:val="9"/>
      </w:pPr>
      <w:bookmarkStart w:id="560" w:name="_Toc390078778"/>
      <w:r>
        <w:rPr>
          <w:rStyle w:val="CharSClsNo"/>
        </w:rPr>
        <w:t>1</w:t>
      </w:r>
      <w:r>
        <w:t>.</w:t>
      </w:r>
      <w:r>
        <w:rPr>
          <w:b w:val="0"/>
        </w:rPr>
        <w:tab/>
      </w:r>
      <w:r>
        <w:t>Tenure of Commissioner’s office</w:t>
      </w:r>
      <w:bookmarkEnd w:id="560"/>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561" w:name="_Toc390078779"/>
      <w:r>
        <w:rPr>
          <w:rStyle w:val="CharSClsNo"/>
        </w:rPr>
        <w:t>2</w:t>
      </w:r>
      <w:r>
        <w:t>.</w:t>
      </w:r>
      <w:r>
        <w:rPr>
          <w:b w:val="0"/>
        </w:rPr>
        <w:tab/>
      </w:r>
      <w:r>
        <w:t>Vacating office prematurely</w:t>
      </w:r>
      <w:bookmarkEnd w:id="561"/>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562" w:name="_Toc390078780"/>
      <w:r>
        <w:rPr>
          <w:rStyle w:val="CharSClsNo"/>
        </w:rPr>
        <w:t>3</w:t>
      </w:r>
      <w:r>
        <w:t>.</w:t>
      </w:r>
      <w:r>
        <w:rPr>
          <w:b w:val="0"/>
        </w:rPr>
        <w:tab/>
      </w:r>
      <w:r>
        <w:t>Commissioner’s status as District Court Judge</w:t>
      </w:r>
      <w:bookmarkEnd w:id="562"/>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563" w:name="_Toc390078781"/>
      <w:r>
        <w:rPr>
          <w:rStyle w:val="CharSClsNo"/>
        </w:rPr>
        <w:t>4</w:t>
      </w:r>
      <w:r>
        <w:t>.</w:t>
      </w:r>
      <w:r>
        <w:rPr>
          <w:b w:val="0"/>
        </w:rPr>
        <w:tab/>
      </w:r>
      <w:r>
        <w:t>Completion of matters</w:t>
      </w:r>
      <w:bookmarkEnd w:id="563"/>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r>
        <w:tab/>
        <w:t>[Clause 4 inserted by No. 42 of 2004 s. 145.]</w:t>
      </w:r>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pPr>
        <w:pStyle w:val="nHeading2"/>
        <w:outlineLvl w:val="0"/>
      </w:pPr>
      <w:bookmarkStart w:id="564" w:name="_Toc390078782"/>
      <w:r>
        <w:t>Notes</w:t>
      </w:r>
      <w:bookmarkEnd w:id="564"/>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65" w:name="_Toc390078783"/>
      <w:r>
        <w:rPr>
          <w:snapToGrid w:val="0"/>
        </w:rPr>
        <w:t>Compilation table</w:t>
      </w:r>
      <w:bookmarkEnd w:id="565"/>
    </w:p>
    <w:tbl>
      <w:tblPr>
        <w:tblW w:w="0" w:type="auto"/>
        <w:tblInd w:w="36" w:type="dxa"/>
        <w:tblLayout w:type="fixed"/>
        <w:tblCellMar>
          <w:left w:w="56" w:type="dxa"/>
          <w:right w:w="56" w:type="dxa"/>
        </w:tblCellMar>
        <w:tblLook w:val="0000" w:firstRow="0" w:lastRow="0" w:firstColumn="0" w:lastColumn="0" w:noHBand="0" w:noVBand="0"/>
      </w:tblPr>
      <w:tblGrid>
        <w:gridCol w:w="8"/>
        <w:gridCol w:w="2260"/>
        <w:gridCol w:w="8"/>
        <w:gridCol w:w="1126"/>
        <w:gridCol w:w="8"/>
        <w:gridCol w:w="1126"/>
        <w:gridCol w:w="8"/>
        <w:gridCol w:w="2544"/>
        <w:gridCol w:w="8"/>
      </w:tblGrid>
      <w:tr>
        <w:trPr>
          <w:gridBefore w:val="1"/>
          <w:wBefore w:w="8" w:type="dxa"/>
          <w:cantSplit/>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8" w:type="dxa"/>
          <w:cantSplit/>
        </w:trPr>
        <w:tc>
          <w:tcPr>
            <w:tcW w:w="2268"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12</w:t>
            </w:r>
          </w:p>
        </w:tc>
        <w:tc>
          <w:tcPr>
            <w:tcW w:w="1134" w:type="dxa"/>
            <w:gridSpan w:val="2"/>
            <w:tcBorders>
              <w:top w:val="single" w:sz="8" w:space="0" w:color="auto"/>
            </w:tcBorders>
          </w:tcPr>
          <w:p>
            <w:pPr>
              <w:pStyle w:val="nTable"/>
              <w:spacing w:after="40"/>
              <w:rPr>
                <w:sz w:val="19"/>
              </w:rPr>
            </w:pPr>
            <w:r>
              <w:rPr>
                <w:sz w:val="19"/>
              </w:rPr>
              <w:t>86 of 1981</w:t>
            </w:r>
          </w:p>
        </w:tc>
        <w:tc>
          <w:tcPr>
            <w:tcW w:w="1134" w:type="dxa"/>
            <w:gridSpan w:val="2"/>
            <w:tcBorders>
              <w:top w:val="single" w:sz="8" w:space="0" w:color="auto"/>
            </w:tcBorders>
          </w:tcPr>
          <w:p>
            <w:pPr>
              <w:pStyle w:val="nTable"/>
              <w:spacing w:after="40"/>
              <w:rPr>
                <w:sz w:val="19"/>
              </w:rPr>
            </w:pPr>
            <w:r>
              <w:rPr>
                <w:sz w:val="19"/>
              </w:rPr>
              <w:t>23 Nov 1981</w:t>
            </w:r>
          </w:p>
        </w:tc>
        <w:tc>
          <w:tcPr>
            <w:tcW w:w="2552"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wBefore w:w="8" w:type="dxa"/>
          <w:cantSplit/>
        </w:trPr>
        <w:tc>
          <w:tcPr>
            <w:tcW w:w="2268" w:type="dxa"/>
            <w:gridSpan w:val="2"/>
          </w:tcPr>
          <w:p>
            <w:pPr>
              <w:pStyle w:val="nTable"/>
              <w:spacing w:after="40"/>
              <w:rPr>
                <w:sz w:val="19"/>
              </w:rPr>
            </w:pPr>
            <w:r>
              <w:rPr>
                <w:i/>
                <w:sz w:val="19"/>
              </w:rPr>
              <w:t>Workers’ Compensation and Assistance Amendment Act 1983</w:t>
            </w:r>
          </w:p>
        </w:tc>
        <w:tc>
          <w:tcPr>
            <w:tcW w:w="1134" w:type="dxa"/>
            <w:gridSpan w:val="2"/>
          </w:tcPr>
          <w:p>
            <w:pPr>
              <w:pStyle w:val="nTable"/>
              <w:spacing w:after="40"/>
              <w:rPr>
                <w:sz w:val="19"/>
              </w:rPr>
            </w:pPr>
            <w:r>
              <w:rPr>
                <w:sz w:val="19"/>
              </w:rPr>
              <w:t>16 of 1983</w:t>
            </w:r>
          </w:p>
        </w:tc>
        <w:tc>
          <w:tcPr>
            <w:tcW w:w="1134" w:type="dxa"/>
            <w:gridSpan w:val="2"/>
          </w:tcPr>
          <w:p>
            <w:pPr>
              <w:pStyle w:val="nTable"/>
              <w:spacing w:after="40"/>
              <w:rPr>
                <w:sz w:val="19"/>
              </w:rPr>
            </w:pPr>
            <w:r>
              <w:rPr>
                <w:sz w:val="19"/>
              </w:rPr>
              <w:t>7 Nov 1983</w:t>
            </w:r>
          </w:p>
        </w:tc>
        <w:tc>
          <w:tcPr>
            <w:tcW w:w="2552" w:type="dxa"/>
            <w:gridSpan w:val="2"/>
          </w:tcPr>
          <w:p>
            <w:pPr>
              <w:pStyle w:val="nTable"/>
              <w:spacing w:after="40"/>
              <w:rPr>
                <w:sz w:val="19"/>
              </w:rPr>
            </w:pPr>
            <w:r>
              <w:rPr>
                <w:sz w:val="19"/>
              </w:rPr>
              <w:t>7 Nov 1983</w:t>
            </w:r>
          </w:p>
        </w:tc>
      </w:tr>
      <w:tr>
        <w:trPr>
          <w:gridBefore w:val="1"/>
          <w:wBefore w:w="8" w:type="dxa"/>
          <w:cantSplit/>
        </w:trPr>
        <w:tc>
          <w:tcPr>
            <w:tcW w:w="2268" w:type="dxa"/>
            <w:gridSpan w:val="2"/>
          </w:tcPr>
          <w:p>
            <w:pPr>
              <w:pStyle w:val="nTable"/>
              <w:spacing w:after="40"/>
              <w:rPr>
                <w:sz w:val="19"/>
              </w:rPr>
            </w:pPr>
            <w:r>
              <w:rPr>
                <w:i/>
                <w:sz w:val="19"/>
              </w:rPr>
              <w:t>Workers’ Compensation and Assistance Amendment Act (No. 2) 1983</w:t>
            </w:r>
          </w:p>
        </w:tc>
        <w:tc>
          <w:tcPr>
            <w:tcW w:w="1134" w:type="dxa"/>
            <w:gridSpan w:val="2"/>
          </w:tcPr>
          <w:p>
            <w:pPr>
              <w:pStyle w:val="nTable"/>
              <w:spacing w:after="40"/>
              <w:rPr>
                <w:sz w:val="19"/>
              </w:rPr>
            </w:pPr>
            <w:r>
              <w:rPr>
                <w:sz w:val="19"/>
              </w:rPr>
              <w:t>79 of 1983</w:t>
            </w:r>
          </w:p>
        </w:tc>
        <w:tc>
          <w:tcPr>
            <w:tcW w:w="1134" w:type="dxa"/>
            <w:gridSpan w:val="2"/>
          </w:tcPr>
          <w:p>
            <w:pPr>
              <w:pStyle w:val="nTable"/>
              <w:spacing w:after="40"/>
              <w:rPr>
                <w:sz w:val="19"/>
              </w:rPr>
            </w:pPr>
            <w:r>
              <w:rPr>
                <w:sz w:val="19"/>
              </w:rPr>
              <w:t>22 Dec 1983</w:t>
            </w:r>
          </w:p>
        </w:tc>
        <w:tc>
          <w:tcPr>
            <w:tcW w:w="2552" w:type="dxa"/>
            <w:gridSpan w:val="2"/>
          </w:tcPr>
          <w:p>
            <w:pPr>
              <w:pStyle w:val="nTable"/>
              <w:spacing w:after="40"/>
              <w:rPr>
                <w:sz w:val="19"/>
              </w:rPr>
            </w:pPr>
            <w:r>
              <w:rPr>
                <w:sz w:val="19"/>
              </w:rPr>
              <w:t>22 Dec 1983</w:t>
            </w:r>
          </w:p>
        </w:tc>
      </w:tr>
      <w:tr>
        <w:trPr>
          <w:gridBefore w:val="1"/>
          <w:wBefore w:w="8" w:type="dxa"/>
          <w:cantSplit/>
        </w:trPr>
        <w:tc>
          <w:tcPr>
            <w:tcW w:w="2268" w:type="dxa"/>
            <w:gridSpan w:val="2"/>
          </w:tcPr>
          <w:p>
            <w:pPr>
              <w:pStyle w:val="nTable"/>
              <w:spacing w:after="40"/>
              <w:rPr>
                <w:sz w:val="19"/>
              </w:rPr>
            </w:pPr>
            <w:r>
              <w:rPr>
                <w:i/>
                <w:sz w:val="19"/>
              </w:rPr>
              <w:t>Health Legislation Amendment Act 1984</w:t>
            </w:r>
            <w:r>
              <w:rPr>
                <w:sz w:val="19"/>
              </w:rPr>
              <w:t xml:space="preserve"> Pt. XXIV</w:t>
            </w:r>
          </w:p>
        </w:tc>
        <w:tc>
          <w:tcPr>
            <w:tcW w:w="1134" w:type="dxa"/>
            <w:gridSpan w:val="2"/>
          </w:tcPr>
          <w:p>
            <w:pPr>
              <w:pStyle w:val="nTable"/>
              <w:spacing w:after="40"/>
              <w:rPr>
                <w:sz w:val="19"/>
              </w:rPr>
            </w:pPr>
            <w:r>
              <w:rPr>
                <w:sz w:val="19"/>
              </w:rPr>
              <w:t>28 of 1984</w:t>
            </w:r>
          </w:p>
        </w:tc>
        <w:tc>
          <w:tcPr>
            <w:tcW w:w="1134" w:type="dxa"/>
            <w:gridSpan w:val="2"/>
          </w:tcPr>
          <w:p>
            <w:pPr>
              <w:pStyle w:val="nTable"/>
              <w:spacing w:after="40"/>
              <w:rPr>
                <w:sz w:val="19"/>
              </w:rPr>
            </w:pPr>
            <w:r>
              <w:rPr>
                <w:sz w:val="19"/>
              </w:rPr>
              <w:t xml:space="preserve">31 May 1984 </w:t>
            </w:r>
          </w:p>
        </w:tc>
        <w:tc>
          <w:tcPr>
            <w:tcW w:w="2552"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wBefore w:w="8" w:type="dxa"/>
          <w:cantSplit/>
        </w:trPr>
        <w:tc>
          <w:tcPr>
            <w:tcW w:w="2268" w:type="dxa"/>
            <w:gridSpan w:val="2"/>
          </w:tcPr>
          <w:p>
            <w:pPr>
              <w:pStyle w:val="nTable"/>
              <w:spacing w:after="40"/>
              <w:rPr>
                <w:sz w:val="19"/>
              </w:rPr>
            </w:pPr>
            <w:r>
              <w:rPr>
                <w:i/>
                <w:sz w:val="19"/>
              </w:rPr>
              <w:t>Workers’ Compensation and Assistance Amendment Act 1984</w:t>
            </w:r>
            <w:r>
              <w:rPr>
                <w:sz w:val="19"/>
                <w:vertAlign w:val="superscript"/>
              </w:rPr>
              <w:t> 13</w:t>
            </w:r>
          </w:p>
        </w:tc>
        <w:tc>
          <w:tcPr>
            <w:tcW w:w="1134" w:type="dxa"/>
            <w:gridSpan w:val="2"/>
          </w:tcPr>
          <w:p>
            <w:pPr>
              <w:pStyle w:val="nTable"/>
              <w:spacing w:after="40"/>
              <w:rPr>
                <w:sz w:val="19"/>
              </w:rPr>
            </w:pPr>
            <w:r>
              <w:rPr>
                <w:sz w:val="19"/>
              </w:rPr>
              <w:t>104 of 1984</w:t>
            </w:r>
          </w:p>
        </w:tc>
        <w:tc>
          <w:tcPr>
            <w:tcW w:w="1134" w:type="dxa"/>
            <w:gridSpan w:val="2"/>
          </w:tcPr>
          <w:p>
            <w:pPr>
              <w:pStyle w:val="nTable"/>
              <w:spacing w:after="40"/>
              <w:rPr>
                <w:sz w:val="19"/>
              </w:rPr>
            </w:pPr>
            <w:r>
              <w:rPr>
                <w:sz w:val="19"/>
              </w:rPr>
              <w:t>19 Dec 1984</w:t>
            </w:r>
          </w:p>
        </w:tc>
        <w:tc>
          <w:tcPr>
            <w:tcW w:w="2552" w:type="dxa"/>
            <w:gridSpan w:val="2"/>
          </w:tcPr>
          <w:p>
            <w:pPr>
              <w:pStyle w:val="nTable"/>
              <w:spacing w:after="40"/>
              <w:rPr>
                <w:sz w:val="19"/>
              </w:rPr>
            </w:pPr>
            <w:r>
              <w:rPr>
                <w:sz w:val="19"/>
              </w:rPr>
              <w:t>19 Dec 1984 (see s. 2)</w:t>
            </w:r>
          </w:p>
        </w:tc>
      </w:tr>
      <w:tr>
        <w:trPr>
          <w:gridBefore w:val="1"/>
          <w:wBefore w:w="8" w:type="dxa"/>
          <w:cantSplit/>
        </w:trPr>
        <w:tc>
          <w:tcPr>
            <w:tcW w:w="2268" w:type="dxa"/>
            <w:gridSpan w:val="2"/>
          </w:tcPr>
          <w:p>
            <w:pPr>
              <w:pStyle w:val="nTable"/>
              <w:spacing w:after="40"/>
              <w:rPr>
                <w:sz w:val="19"/>
                <w:vertAlign w:val="superscript"/>
              </w:rPr>
            </w:pPr>
            <w:r>
              <w:rPr>
                <w:i/>
                <w:sz w:val="19"/>
              </w:rPr>
              <w:t>Workers’ Compensation and Assistance Amendment Act 1985</w:t>
            </w:r>
            <w:r>
              <w:rPr>
                <w:sz w:val="19"/>
                <w:vertAlign w:val="superscript"/>
              </w:rPr>
              <w:t> 14-17</w:t>
            </w:r>
          </w:p>
        </w:tc>
        <w:tc>
          <w:tcPr>
            <w:tcW w:w="1134" w:type="dxa"/>
            <w:gridSpan w:val="2"/>
          </w:tcPr>
          <w:p>
            <w:pPr>
              <w:pStyle w:val="nTable"/>
              <w:keepNext/>
              <w:keepLines/>
              <w:spacing w:after="40"/>
              <w:rPr>
                <w:sz w:val="19"/>
              </w:rPr>
            </w:pPr>
            <w:r>
              <w:rPr>
                <w:sz w:val="19"/>
              </w:rPr>
              <w:t>44 of 1985</w:t>
            </w:r>
          </w:p>
        </w:tc>
        <w:tc>
          <w:tcPr>
            <w:tcW w:w="1134" w:type="dxa"/>
            <w:gridSpan w:val="2"/>
          </w:tcPr>
          <w:p>
            <w:pPr>
              <w:pStyle w:val="nTable"/>
              <w:keepNext/>
              <w:keepLines/>
              <w:spacing w:after="40"/>
              <w:rPr>
                <w:sz w:val="19"/>
              </w:rPr>
            </w:pPr>
            <w:r>
              <w:rPr>
                <w:sz w:val="19"/>
              </w:rPr>
              <w:t>20 May 1985</w:t>
            </w:r>
          </w:p>
        </w:tc>
        <w:tc>
          <w:tcPr>
            <w:tcW w:w="2552" w:type="dxa"/>
            <w:gridSpan w:val="2"/>
          </w:tcPr>
          <w:p>
            <w:pPr>
              <w:pStyle w:val="nTable"/>
              <w:keepNext/>
              <w:keepLines/>
              <w:spacing w:after="40"/>
              <w:ind w:right="-68"/>
              <w:rPr>
                <w:sz w:val="19"/>
              </w:rPr>
            </w:pPr>
            <w:r>
              <w:rPr>
                <w:sz w:val="19"/>
              </w:rP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i/>
                <w:sz w:val="19"/>
              </w:rPr>
              <w:t>Gazette</w:t>
            </w:r>
            <w:r>
              <w:rPr>
                <w:sz w:val="19"/>
              </w:rPr>
              <w:t xml:space="preserve"> 25 Oct 1985 p. 4100); </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p. 2453)</w:t>
            </w:r>
          </w:p>
        </w:tc>
      </w:tr>
      <w:tr>
        <w:trPr>
          <w:gridBefore w:val="1"/>
          <w:wBefore w:w="8" w:type="dxa"/>
          <w:cantSplit/>
        </w:trPr>
        <w:tc>
          <w:tcPr>
            <w:tcW w:w="2268" w:type="dxa"/>
            <w:gridSpan w:val="2"/>
          </w:tcPr>
          <w:p>
            <w:pPr>
              <w:pStyle w:val="nTable"/>
              <w:spacing w:after="4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2"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wBefore w:w="8" w:type="dxa"/>
          <w:cantSplit/>
        </w:trPr>
        <w:tc>
          <w:tcPr>
            <w:tcW w:w="2268" w:type="dxa"/>
            <w:gridSpan w:val="2"/>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18</w:t>
            </w:r>
          </w:p>
        </w:tc>
        <w:tc>
          <w:tcPr>
            <w:tcW w:w="1134" w:type="dxa"/>
            <w:gridSpan w:val="2"/>
          </w:tcPr>
          <w:p>
            <w:pPr>
              <w:pStyle w:val="nTable"/>
              <w:spacing w:after="40"/>
              <w:rPr>
                <w:sz w:val="19"/>
              </w:rPr>
            </w:pPr>
            <w:r>
              <w:rPr>
                <w:sz w:val="19"/>
              </w:rPr>
              <w:t>33 of 1986</w:t>
            </w:r>
          </w:p>
        </w:tc>
        <w:tc>
          <w:tcPr>
            <w:tcW w:w="1134" w:type="dxa"/>
            <w:gridSpan w:val="2"/>
          </w:tcPr>
          <w:p>
            <w:pPr>
              <w:pStyle w:val="nTable"/>
              <w:spacing w:after="40"/>
              <w:rPr>
                <w:sz w:val="19"/>
              </w:rPr>
            </w:pPr>
            <w:r>
              <w:rPr>
                <w:sz w:val="19"/>
              </w:rPr>
              <w:t>1 Aug 1986</w:t>
            </w:r>
          </w:p>
        </w:tc>
        <w:tc>
          <w:tcPr>
            <w:tcW w:w="2552" w:type="dxa"/>
            <w:gridSpan w:val="2"/>
          </w:tcPr>
          <w:p>
            <w:pPr>
              <w:pStyle w:val="nTable"/>
              <w:spacing w:after="40"/>
              <w:rPr>
                <w:sz w:val="19"/>
              </w:rPr>
            </w:pPr>
            <w:r>
              <w:rPr>
                <w:sz w:val="19"/>
              </w:rPr>
              <w:t>1 Aug 1986 (see s. 2)</w:t>
            </w:r>
          </w:p>
        </w:tc>
      </w:tr>
      <w:tr>
        <w:trPr>
          <w:gridBefore w:val="1"/>
          <w:wBefore w:w="8" w:type="dxa"/>
          <w:cantSplit/>
        </w:trPr>
        <w:tc>
          <w:tcPr>
            <w:tcW w:w="2268" w:type="dxa"/>
            <w:gridSpan w:val="2"/>
          </w:tcPr>
          <w:p>
            <w:pPr>
              <w:pStyle w:val="nTable"/>
              <w:spacing w:after="40"/>
              <w:rPr>
                <w:sz w:val="19"/>
              </w:rPr>
            </w:pPr>
            <w:r>
              <w:rPr>
                <w:i/>
                <w:sz w:val="19"/>
              </w:rPr>
              <w:t>State Government Insurance Commission Act 1986</w:t>
            </w:r>
            <w:r>
              <w:rPr>
                <w:sz w:val="19"/>
              </w:rPr>
              <w:t xml:space="preserve"> s. 46(2)</w:t>
            </w:r>
          </w:p>
        </w:tc>
        <w:tc>
          <w:tcPr>
            <w:tcW w:w="1134" w:type="dxa"/>
            <w:gridSpan w:val="2"/>
          </w:tcPr>
          <w:p>
            <w:pPr>
              <w:pStyle w:val="nTable"/>
              <w:spacing w:after="40"/>
              <w:rPr>
                <w:sz w:val="19"/>
              </w:rPr>
            </w:pPr>
            <w:r>
              <w:rPr>
                <w:sz w:val="19"/>
              </w:rPr>
              <w:t>51 of 1986</w:t>
            </w:r>
          </w:p>
        </w:tc>
        <w:tc>
          <w:tcPr>
            <w:tcW w:w="1134" w:type="dxa"/>
            <w:gridSpan w:val="2"/>
          </w:tcPr>
          <w:p>
            <w:pPr>
              <w:pStyle w:val="nTable"/>
              <w:spacing w:after="40"/>
              <w:rPr>
                <w:sz w:val="19"/>
              </w:rPr>
            </w:pPr>
            <w:r>
              <w:rPr>
                <w:sz w:val="19"/>
              </w:rPr>
              <w:t>5 Aug 1986</w:t>
            </w:r>
          </w:p>
        </w:tc>
        <w:tc>
          <w:tcPr>
            <w:tcW w:w="2552"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wBefore w:w="8" w:type="dxa"/>
          <w:cantSplit/>
        </w:trPr>
        <w:tc>
          <w:tcPr>
            <w:tcW w:w="2268" w:type="dxa"/>
            <w:gridSpan w:val="2"/>
          </w:tcPr>
          <w:p>
            <w:pPr>
              <w:pStyle w:val="nTable"/>
              <w:spacing w:after="40"/>
              <w:rPr>
                <w:sz w:val="19"/>
              </w:rPr>
            </w:pPr>
            <w:r>
              <w:rPr>
                <w:i/>
                <w:sz w:val="19"/>
              </w:rPr>
              <w:t>Workers’ Compensation and Assistance Amendment Act (No. 2) 1986</w:t>
            </w:r>
          </w:p>
        </w:tc>
        <w:tc>
          <w:tcPr>
            <w:tcW w:w="1134" w:type="dxa"/>
            <w:gridSpan w:val="2"/>
          </w:tcPr>
          <w:p>
            <w:pPr>
              <w:pStyle w:val="nTable"/>
              <w:keepNext/>
              <w:spacing w:after="40"/>
              <w:rPr>
                <w:sz w:val="19"/>
              </w:rPr>
            </w:pPr>
            <w:r>
              <w:rPr>
                <w:sz w:val="19"/>
              </w:rPr>
              <w:t>85 of 1986</w:t>
            </w:r>
          </w:p>
        </w:tc>
        <w:tc>
          <w:tcPr>
            <w:tcW w:w="1134" w:type="dxa"/>
            <w:gridSpan w:val="2"/>
          </w:tcPr>
          <w:p>
            <w:pPr>
              <w:pStyle w:val="nTable"/>
              <w:keepNext/>
              <w:spacing w:after="40"/>
              <w:rPr>
                <w:sz w:val="19"/>
              </w:rPr>
            </w:pPr>
            <w:r>
              <w:rPr>
                <w:sz w:val="19"/>
              </w:rPr>
              <w:t>5 Dec 1986</w:t>
            </w:r>
          </w:p>
        </w:tc>
        <w:tc>
          <w:tcPr>
            <w:tcW w:w="2552"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wBefore w:w="8" w:type="dxa"/>
          <w:cantSplit/>
        </w:trPr>
        <w:tc>
          <w:tcPr>
            <w:tcW w:w="2268"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4" w:type="dxa"/>
            <w:gridSpan w:val="2"/>
          </w:tcPr>
          <w:p>
            <w:pPr>
              <w:pStyle w:val="nTable"/>
              <w:spacing w:after="40"/>
              <w:rPr>
                <w:sz w:val="19"/>
              </w:rPr>
            </w:pPr>
            <w:r>
              <w:rPr>
                <w:sz w:val="19"/>
              </w:rPr>
              <w:t>86 of 1986</w:t>
            </w:r>
          </w:p>
        </w:tc>
        <w:tc>
          <w:tcPr>
            <w:tcW w:w="1134" w:type="dxa"/>
            <w:gridSpan w:val="2"/>
          </w:tcPr>
          <w:p>
            <w:pPr>
              <w:pStyle w:val="nTable"/>
              <w:spacing w:after="40"/>
              <w:rPr>
                <w:sz w:val="19"/>
              </w:rPr>
            </w:pPr>
            <w:r>
              <w:rPr>
                <w:sz w:val="19"/>
              </w:rPr>
              <w:t>5 Dec 1986</w:t>
            </w:r>
          </w:p>
        </w:tc>
        <w:tc>
          <w:tcPr>
            <w:tcW w:w="2552" w:type="dxa"/>
            <w:gridSpan w:val="2"/>
          </w:tcPr>
          <w:p>
            <w:pPr>
              <w:pStyle w:val="nTable"/>
              <w:spacing w:after="40"/>
              <w:rPr>
                <w:sz w:val="19"/>
              </w:rPr>
            </w:pPr>
            <w:r>
              <w:rPr>
                <w:sz w:val="19"/>
              </w:rPr>
              <w:t>2 Jan 1987</w:t>
            </w:r>
          </w:p>
        </w:tc>
      </w:tr>
      <w:tr>
        <w:trPr>
          <w:gridBefore w:val="1"/>
          <w:wBefore w:w="8" w:type="dxa"/>
          <w:cantSplit/>
        </w:trPr>
        <w:tc>
          <w:tcPr>
            <w:tcW w:w="7088" w:type="dxa"/>
            <w:gridSpan w:val="8"/>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wBefore w:w="8" w:type="dxa"/>
          <w:cantSplit/>
        </w:trPr>
        <w:tc>
          <w:tcPr>
            <w:tcW w:w="2268" w:type="dxa"/>
            <w:gridSpan w:val="2"/>
          </w:tcPr>
          <w:p>
            <w:pPr>
              <w:pStyle w:val="nTable"/>
              <w:spacing w:after="40"/>
              <w:rPr>
                <w:sz w:val="19"/>
              </w:rPr>
            </w:pPr>
            <w:r>
              <w:rPr>
                <w:i/>
                <w:sz w:val="19"/>
              </w:rPr>
              <w:t>Workers’ Compensation and Assistance Amendment Act 1987</w:t>
            </w:r>
            <w:r>
              <w:rPr>
                <w:sz w:val="19"/>
              </w:rPr>
              <w:t> </w:t>
            </w:r>
            <w:r>
              <w:rPr>
                <w:sz w:val="19"/>
                <w:vertAlign w:val="superscript"/>
              </w:rPr>
              <w:t>19</w:t>
            </w:r>
          </w:p>
        </w:tc>
        <w:tc>
          <w:tcPr>
            <w:tcW w:w="1134" w:type="dxa"/>
            <w:gridSpan w:val="2"/>
          </w:tcPr>
          <w:p>
            <w:pPr>
              <w:pStyle w:val="nTable"/>
              <w:spacing w:after="40"/>
              <w:rPr>
                <w:sz w:val="19"/>
              </w:rPr>
            </w:pPr>
            <w:r>
              <w:rPr>
                <w:sz w:val="19"/>
              </w:rPr>
              <w:t>21 of 1987</w:t>
            </w:r>
          </w:p>
        </w:tc>
        <w:tc>
          <w:tcPr>
            <w:tcW w:w="1134" w:type="dxa"/>
            <w:gridSpan w:val="2"/>
          </w:tcPr>
          <w:p>
            <w:pPr>
              <w:pStyle w:val="nTable"/>
              <w:spacing w:after="40"/>
              <w:rPr>
                <w:sz w:val="19"/>
              </w:rPr>
            </w:pPr>
            <w:r>
              <w:rPr>
                <w:sz w:val="19"/>
              </w:rPr>
              <w:t>25 Jun 1987</w:t>
            </w:r>
          </w:p>
        </w:tc>
        <w:tc>
          <w:tcPr>
            <w:tcW w:w="2552" w:type="dxa"/>
            <w:gridSpan w:val="2"/>
          </w:tcPr>
          <w:p>
            <w:pPr>
              <w:pStyle w:val="nTable"/>
              <w:spacing w:after="40"/>
              <w:rPr>
                <w:sz w:val="19"/>
              </w:rPr>
            </w:pPr>
            <w:r>
              <w:rPr>
                <w:sz w:val="19"/>
              </w:rPr>
              <w:t>23 Jul 1987</w:t>
            </w:r>
          </w:p>
        </w:tc>
      </w:tr>
      <w:tr>
        <w:trPr>
          <w:gridBefore w:val="1"/>
          <w:wBefore w:w="8" w:type="dxa"/>
          <w:cantSplit/>
        </w:trPr>
        <w:tc>
          <w:tcPr>
            <w:tcW w:w="2268"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4" w:type="dxa"/>
            <w:gridSpan w:val="2"/>
          </w:tcPr>
          <w:p>
            <w:pPr>
              <w:pStyle w:val="nTable"/>
              <w:spacing w:after="40"/>
              <w:rPr>
                <w:sz w:val="19"/>
              </w:rPr>
            </w:pPr>
            <w:r>
              <w:rPr>
                <w:sz w:val="19"/>
              </w:rPr>
              <w:t>65 of 1987</w:t>
            </w:r>
          </w:p>
        </w:tc>
        <w:tc>
          <w:tcPr>
            <w:tcW w:w="1134" w:type="dxa"/>
            <w:gridSpan w:val="2"/>
          </w:tcPr>
          <w:p>
            <w:pPr>
              <w:pStyle w:val="nTable"/>
              <w:spacing w:after="40"/>
              <w:rPr>
                <w:sz w:val="19"/>
              </w:rPr>
            </w:pPr>
            <w:r>
              <w:rPr>
                <w:sz w:val="19"/>
              </w:rPr>
              <w:t>1 Dec 1987</w:t>
            </w:r>
          </w:p>
        </w:tc>
        <w:tc>
          <w:tcPr>
            <w:tcW w:w="2552"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wBefore w:w="8" w:type="dxa"/>
          <w:cantSplit/>
        </w:trPr>
        <w:tc>
          <w:tcPr>
            <w:tcW w:w="2268" w:type="dxa"/>
            <w:gridSpan w:val="2"/>
          </w:tcPr>
          <w:p>
            <w:pPr>
              <w:pStyle w:val="nTable"/>
              <w:spacing w:after="40"/>
              <w:rPr>
                <w:sz w:val="19"/>
              </w:rPr>
            </w:pPr>
            <w:r>
              <w:rPr>
                <w:sz w:val="19"/>
              </w:rPr>
              <w:fldChar w:fldCharType="begin"/>
            </w:r>
            <w:r>
              <w:rPr>
                <w:sz w:val="19"/>
              </w:rPr>
              <w:instrText>ADVANCE \D 4.25</w:instrText>
            </w:r>
            <w:r>
              <w:rPr>
                <w:sz w:val="19"/>
              </w:rPr>
              <w:fldChar w:fldCharType="end"/>
            </w:r>
            <w:r>
              <w:rPr>
                <w:i/>
                <w:sz w:val="19"/>
              </w:rPr>
              <w:t>Workers’ Compensation and Assistance Amendment Act 1988</w:t>
            </w:r>
            <w:r>
              <w:rPr>
                <w:sz w:val="19"/>
              </w:rPr>
              <w:t xml:space="preserve"> Pt. 2</w:t>
            </w:r>
          </w:p>
        </w:tc>
        <w:tc>
          <w:tcPr>
            <w:tcW w:w="1134" w:type="dxa"/>
            <w:gridSpan w:val="2"/>
          </w:tcPr>
          <w:p>
            <w:pPr>
              <w:pStyle w:val="nTable"/>
              <w:spacing w:after="40"/>
              <w:rPr>
                <w:sz w:val="19"/>
              </w:rPr>
            </w:pPr>
            <w:r>
              <w:rPr>
                <w:sz w:val="19"/>
              </w:rPr>
              <w:t>36 of 1988</w:t>
            </w:r>
          </w:p>
        </w:tc>
        <w:tc>
          <w:tcPr>
            <w:tcW w:w="1134" w:type="dxa"/>
            <w:gridSpan w:val="2"/>
          </w:tcPr>
          <w:p>
            <w:pPr>
              <w:pStyle w:val="nTable"/>
              <w:spacing w:after="40"/>
              <w:rPr>
                <w:sz w:val="19"/>
              </w:rPr>
            </w:pPr>
            <w:r>
              <w:rPr>
                <w:sz w:val="19"/>
              </w:rPr>
              <w:t>24 Nov 1988</w:t>
            </w:r>
          </w:p>
        </w:tc>
        <w:tc>
          <w:tcPr>
            <w:tcW w:w="2552"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wBefore w:w="8" w:type="dxa"/>
          <w:cantSplit/>
        </w:trPr>
        <w:tc>
          <w:tcPr>
            <w:tcW w:w="2268" w:type="dxa"/>
            <w:gridSpan w:val="2"/>
          </w:tcPr>
          <w:p>
            <w:pPr>
              <w:pStyle w:val="nTable"/>
              <w:spacing w:after="40"/>
              <w:rPr>
                <w:sz w:val="19"/>
              </w:rPr>
            </w:pPr>
            <w:r>
              <w:rPr>
                <w:i/>
                <w:sz w:val="19"/>
              </w:rPr>
              <w:t>Workers’ Compensation and Assistance Amendment Act 1990</w:t>
            </w:r>
            <w:r>
              <w:rPr>
                <w:sz w:val="19"/>
              </w:rPr>
              <w:t> </w:t>
            </w:r>
            <w:r>
              <w:rPr>
                <w:sz w:val="19"/>
                <w:vertAlign w:val="superscript"/>
              </w:rPr>
              <w:t>20-23</w:t>
            </w:r>
          </w:p>
        </w:tc>
        <w:tc>
          <w:tcPr>
            <w:tcW w:w="1134" w:type="dxa"/>
            <w:gridSpan w:val="2"/>
          </w:tcPr>
          <w:p>
            <w:pPr>
              <w:pStyle w:val="nTable"/>
              <w:spacing w:after="40"/>
              <w:rPr>
                <w:sz w:val="19"/>
              </w:rPr>
            </w:pPr>
            <w:r>
              <w:rPr>
                <w:sz w:val="19"/>
              </w:rPr>
              <w:t>96 of 1990</w:t>
            </w:r>
          </w:p>
        </w:tc>
        <w:tc>
          <w:tcPr>
            <w:tcW w:w="1134" w:type="dxa"/>
            <w:gridSpan w:val="2"/>
          </w:tcPr>
          <w:p>
            <w:pPr>
              <w:pStyle w:val="nTable"/>
              <w:spacing w:after="40"/>
              <w:rPr>
                <w:sz w:val="19"/>
              </w:rPr>
            </w:pPr>
            <w:r>
              <w:rPr>
                <w:sz w:val="19"/>
              </w:rPr>
              <w:t>22 Dec 1990</w:t>
            </w:r>
          </w:p>
        </w:tc>
        <w:tc>
          <w:tcPr>
            <w:tcW w:w="2552" w:type="dxa"/>
            <w:gridSpan w:val="2"/>
          </w:tcPr>
          <w:p>
            <w:pPr>
              <w:pStyle w:val="nTable"/>
              <w:spacing w:after="40"/>
              <w:rPr>
                <w:sz w:val="19"/>
              </w:rPr>
            </w:pPr>
            <w:r>
              <w:rPr>
                <w:sz w:val="19"/>
              </w:rPr>
              <w:t xml:space="preserve">8 Mar 1991 (see s. 2 and </w:t>
            </w:r>
            <w:r>
              <w:rPr>
                <w:i/>
                <w:sz w:val="19"/>
              </w:rPr>
              <w:t>Gazette</w:t>
            </w:r>
            <w:r>
              <w:rPr>
                <w:sz w:val="19"/>
              </w:rPr>
              <w:t xml:space="preserve"> 8 Mar 1991 p. 1030)</w:t>
            </w:r>
          </w:p>
        </w:tc>
      </w:tr>
      <w:tr>
        <w:trPr>
          <w:gridBefore w:val="1"/>
          <w:wBefore w:w="8" w:type="dxa"/>
          <w:cantSplit/>
        </w:trPr>
        <w:tc>
          <w:tcPr>
            <w:tcW w:w="7088" w:type="dxa"/>
            <w:gridSpan w:val="8"/>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wBefore w:w="8" w:type="dxa"/>
          <w:cantSplit/>
        </w:trPr>
        <w:tc>
          <w:tcPr>
            <w:tcW w:w="2268"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4" w:type="dxa"/>
            <w:gridSpan w:val="2"/>
          </w:tcPr>
          <w:p>
            <w:pPr>
              <w:pStyle w:val="nTable"/>
              <w:spacing w:after="40"/>
              <w:rPr>
                <w:sz w:val="19"/>
              </w:rPr>
            </w:pPr>
            <w:r>
              <w:rPr>
                <w:sz w:val="19"/>
              </w:rPr>
              <w:t>40 of 1992</w:t>
            </w:r>
          </w:p>
        </w:tc>
        <w:tc>
          <w:tcPr>
            <w:tcW w:w="1134" w:type="dxa"/>
            <w:gridSpan w:val="2"/>
          </w:tcPr>
          <w:p>
            <w:pPr>
              <w:pStyle w:val="nTable"/>
              <w:spacing w:after="40"/>
              <w:rPr>
                <w:sz w:val="19"/>
              </w:rPr>
            </w:pPr>
            <w:r>
              <w:rPr>
                <w:sz w:val="19"/>
              </w:rPr>
              <w:t>2 Oct 1992</w:t>
            </w:r>
          </w:p>
        </w:tc>
        <w:tc>
          <w:tcPr>
            <w:tcW w:w="2552"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8" w:type="dxa"/>
          <w:cantSplit/>
        </w:trPr>
        <w:tc>
          <w:tcPr>
            <w:tcW w:w="2268" w:type="dxa"/>
            <w:gridSpan w:val="2"/>
          </w:tcPr>
          <w:p>
            <w:pPr>
              <w:pStyle w:val="nTable"/>
              <w:spacing w:after="40"/>
              <w:rPr>
                <w:sz w:val="19"/>
              </w:rPr>
            </w:pPr>
            <w:r>
              <w:rPr>
                <w:i/>
                <w:sz w:val="19"/>
              </w:rPr>
              <w:t>Workers’ Compensation and Rehabilitation Amendment Act (No. 2) 1992</w:t>
            </w:r>
          </w:p>
        </w:tc>
        <w:tc>
          <w:tcPr>
            <w:tcW w:w="1134" w:type="dxa"/>
            <w:gridSpan w:val="2"/>
          </w:tcPr>
          <w:p>
            <w:pPr>
              <w:pStyle w:val="nTable"/>
              <w:spacing w:after="40"/>
              <w:rPr>
                <w:sz w:val="19"/>
              </w:rPr>
            </w:pPr>
            <w:r>
              <w:rPr>
                <w:sz w:val="19"/>
              </w:rPr>
              <w:t>72 of 1992</w:t>
            </w:r>
          </w:p>
        </w:tc>
        <w:tc>
          <w:tcPr>
            <w:tcW w:w="1134" w:type="dxa"/>
            <w:gridSpan w:val="2"/>
          </w:tcPr>
          <w:p>
            <w:pPr>
              <w:pStyle w:val="nTable"/>
              <w:spacing w:after="40"/>
              <w:rPr>
                <w:sz w:val="19"/>
              </w:rPr>
            </w:pPr>
            <w:r>
              <w:rPr>
                <w:sz w:val="19"/>
              </w:rPr>
              <w:t>15 Dec 1992</w:t>
            </w:r>
          </w:p>
        </w:tc>
        <w:tc>
          <w:tcPr>
            <w:tcW w:w="2552" w:type="dxa"/>
            <w:gridSpan w:val="2"/>
          </w:tcPr>
          <w:p>
            <w:pPr>
              <w:pStyle w:val="nTable"/>
              <w:spacing w:after="40"/>
              <w:rPr>
                <w:sz w:val="19"/>
              </w:rPr>
            </w:pPr>
            <w:r>
              <w:rPr>
                <w:sz w:val="19"/>
              </w:rPr>
              <w:t>Act other than s.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wBefore w:w="8" w:type="dxa"/>
          <w:cantSplit/>
        </w:trPr>
        <w:tc>
          <w:tcPr>
            <w:tcW w:w="2268" w:type="dxa"/>
            <w:gridSpan w:val="2"/>
          </w:tcPr>
          <w:p>
            <w:pPr>
              <w:pStyle w:val="nTable"/>
              <w:spacing w:after="40"/>
              <w:rPr>
                <w:sz w:val="19"/>
              </w:rPr>
            </w:pPr>
            <w:r>
              <w:rPr>
                <w:i/>
                <w:sz w:val="19"/>
              </w:rPr>
              <w:t>Employers’ Indemnity Supplementation Fund Amendment Act 1993</w:t>
            </w:r>
            <w:r>
              <w:rPr>
                <w:sz w:val="19"/>
              </w:rPr>
              <w:t xml:space="preserve"> s. 14</w:t>
            </w:r>
          </w:p>
        </w:tc>
        <w:tc>
          <w:tcPr>
            <w:tcW w:w="1134" w:type="dxa"/>
            <w:gridSpan w:val="2"/>
          </w:tcPr>
          <w:p>
            <w:pPr>
              <w:pStyle w:val="nTable"/>
              <w:spacing w:after="40"/>
              <w:rPr>
                <w:sz w:val="19"/>
              </w:rPr>
            </w:pPr>
            <w:r>
              <w:rPr>
                <w:sz w:val="19"/>
              </w:rPr>
              <w:t>1 of 1993</w:t>
            </w:r>
          </w:p>
        </w:tc>
        <w:tc>
          <w:tcPr>
            <w:tcW w:w="1134" w:type="dxa"/>
            <w:gridSpan w:val="2"/>
          </w:tcPr>
          <w:p>
            <w:pPr>
              <w:pStyle w:val="nTable"/>
              <w:spacing w:after="40"/>
              <w:rPr>
                <w:sz w:val="19"/>
              </w:rPr>
            </w:pPr>
            <w:r>
              <w:rPr>
                <w:sz w:val="19"/>
              </w:rPr>
              <w:t>19 Jul 1993</w:t>
            </w:r>
          </w:p>
        </w:tc>
        <w:tc>
          <w:tcPr>
            <w:tcW w:w="2552" w:type="dxa"/>
            <w:gridSpan w:val="2"/>
          </w:tcPr>
          <w:p>
            <w:pPr>
              <w:pStyle w:val="nTable"/>
              <w:spacing w:after="40"/>
              <w:rPr>
                <w:sz w:val="19"/>
              </w:rPr>
            </w:pPr>
            <w:r>
              <w:rPr>
                <w:sz w:val="19"/>
              </w:rPr>
              <w:t>19 Jul 1993 (see s. 2)</w:t>
            </w:r>
          </w:p>
        </w:tc>
      </w:tr>
      <w:tr>
        <w:trPr>
          <w:gridBefore w:val="1"/>
          <w:wBefore w:w="8" w:type="dxa"/>
          <w:cantSplit/>
        </w:trP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2" w:type="dxa"/>
            <w:gridSpan w:val="2"/>
          </w:tcPr>
          <w:p>
            <w:pPr>
              <w:pStyle w:val="nTable"/>
              <w:spacing w:after="40"/>
              <w:rPr>
                <w:sz w:val="19"/>
              </w:rPr>
            </w:pPr>
            <w:r>
              <w:rPr>
                <w:sz w:val="19"/>
              </w:rPr>
              <w:t>1 Jul 1993 (see s. 2(1))</w:t>
            </w:r>
          </w:p>
        </w:tc>
      </w:tr>
      <w:tr>
        <w:trPr>
          <w:gridBefore w:val="1"/>
          <w:wBefore w:w="8" w:type="dxa"/>
          <w:cantSplit/>
        </w:trPr>
        <w:tc>
          <w:tcPr>
            <w:tcW w:w="2268" w:type="dxa"/>
            <w:gridSpan w:val="2"/>
          </w:tcPr>
          <w:p>
            <w:pPr>
              <w:pStyle w:val="nTable"/>
              <w:spacing w:after="40"/>
              <w:rPr>
                <w:sz w:val="19"/>
              </w:rPr>
            </w:pPr>
            <w:r>
              <w:rPr>
                <w:i/>
                <w:sz w:val="19"/>
              </w:rPr>
              <w:t>Mines Regulation Amendment Act 1993</w:t>
            </w:r>
            <w:r>
              <w:rPr>
                <w:sz w:val="19"/>
              </w:rPr>
              <w:t xml:space="preserve"> s. 13</w:t>
            </w:r>
          </w:p>
        </w:tc>
        <w:tc>
          <w:tcPr>
            <w:tcW w:w="1134" w:type="dxa"/>
            <w:gridSpan w:val="2"/>
          </w:tcPr>
          <w:p>
            <w:pPr>
              <w:pStyle w:val="nTable"/>
              <w:spacing w:after="40"/>
              <w:rPr>
                <w:sz w:val="19"/>
              </w:rPr>
            </w:pPr>
            <w:r>
              <w:rPr>
                <w:sz w:val="19"/>
              </w:rPr>
              <w:t>30 of 1993</w:t>
            </w:r>
          </w:p>
        </w:tc>
        <w:tc>
          <w:tcPr>
            <w:tcW w:w="1134" w:type="dxa"/>
            <w:gridSpan w:val="2"/>
          </w:tcPr>
          <w:p>
            <w:pPr>
              <w:pStyle w:val="nTable"/>
              <w:spacing w:after="40"/>
              <w:rPr>
                <w:sz w:val="19"/>
              </w:rPr>
            </w:pPr>
            <w:r>
              <w:rPr>
                <w:sz w:val="19"/>
              </w:rPr>
              <w:t>16 Dec 1993</w:t>
            </w:r>
          </w:p>
        </w:tc>
        <w:tc>
          <w:tcPr>
            <w:tcW w:w="2552"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8" w:type="dxa"/>
          <w:cantSplit/>
        </w:trPr>
        <w:tc>
          <w:tcPr>
            <w:tcW w:w="2268" w:type="dxa"/>
            <w:gridSpan w:val="2"/>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24-32</w:t>
            </w:r>
          </w:p>
        </w:tc>
        <w:tc>
          <w:tcPr>
            <w:tcW w:w="1134" w:type="dxa"/>
            <w:gridSpan w:val="2"/>
          </w:tcPr>
          <w:p>
            <w:pPr>
              <w:pStyle w:val="nTable"/>
              <w:spacing w:after="40"/>
              <w:rPr>
                <w:sz w:val="19"/>
              </w:rPr>
            </w:pPr>
            <w:r>
              <w:rPr>
                <w:sz w:val="19"/>
              </w:rPr>
              <w:t>48 of 1993</w:t>
            </w:r>
            <w:r>
              <w:rPr>
                <w:sz w:val="19"/>
              </w:rPr>
              <w:br/>
              <w:t>(as amended by No. 34 of 1999 Pt. 3 and No. 42 of 2004 s. 172)</w:t>
            </w:r>
          </w:p>
        </w:tc>
        <w:tc>
          <w:tcPr>
            <w:tcW w:w="1134" w:type="dxa"/>
            <w:gridSpan w:val="2"/>
          </w:tcPr>
          <w:p>
            <w:pPr>
              <w:pStyle w:val="nTable"/>
              <w:spacing w:after="40"/>
              <w:rPr>
                <w:sz w:val="19"/>
              </w:rPr>
            </w:pPr>
            <w:r>
              <w:rPr>
                <w:sz w:val="19"/>
              </w:rPr>
              <w:t>20 Dec 1993</w:t>
            </w:r>
          </w:p>
        </w:tc>
        <w:tc>
          <w:tcPr>
            <w:tcW w:w="2552"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8" w:type="dxa"/>
          <w:cantSplit/>
        </w:trPr>
        <w:tc>
          <w:tcPr>
            <w:tcW w:w="7088" w:type="dxa"/>
            <w:gridSpan w:val="8"/>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wBefore w:w="8" w:type="dxa"/>
          <w:cantSplit/>
        </w:trPr>
        <w:tc>
          <w:tcPr>
            <w:tcW w:w="2268" w:type="dxa"/>
            <w:gridSpan w:val="2"/>
          </w:tcPr>
          <w:p>
            <w:pPr>
              <w:pStyle w:val="nTable"/>
              <w:spacing w:after="40"/>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8" w:type="dxa"/>
          <w:cantSplit/>
        </w:trPr>
        <w:tc>
          <w:tcPr>
            <w:tcW w:w="2268" w:type="dxa"/>
            <w:gridSpan w:val="2"/>
          </w:tcPr>
          <w:p>
            <w:pPr>
              <w:pStyle w:val="nTable"/>
              <w:spacing w:after="40"/>
              <w:rPr>
                <w:sz w:val="19"/>
              </w:rPr>
            </w:pPr>
            <w:r>
              <w:rPr>
                <w:i/>
                <w:sz w:val="19"/>
              </w:rPr>
              <w:t>Mines Safety and Inspection Act 1994</w:t>
            </w:r>
            <w:r>
              <w:rPr>
                <w:sz w:val="19"/>
              </w:rPr>
              <w:t xml:space="preserve"> s. 109</w:t>
            </w:r>
          </w:p>
        </w:tc>
        <w:tc>
          <w:tcPr>
            <w:tcW w:w="1134" w:type="dxa"/>
            <w:gridSpan w:val="2"/>
          </w:tcPr>
          <w:p>
            <w:pPr>
              <w:pStyle w:val="nTable"/>
              <w:spacing w:after="40"/>
              <w:rPr>
                <w:sz w:val="19"/>
              </w:rPr>
            </w:pPr>
            <w:r>
              <w:rPr>
                <w:sz w:val="19"/>
              </w:rPr>
              <w:t>62 of 1994</w:t>
            </w:r>
          </w:p>
        </w:tc>
        <w:tc>
          <w:tcPr>
            <w:tcW w:w="1134" w:type="dxa"/>
            <w:gridSpan w:val="2"/>
          </w:tcPr>
          <w:p>
            <w:pPr>
              <w:pStyle w:val="nTable"/>
              <w:spacing w:after="40"/>
              <w:rPr>
                <w:sz w:val="19"/>
              </w:rPr>
            </w:pPr>
            <w:r>
              <w:rPr>
                <w:sz w:val="19"/>
              </w:rPr>
              <w:t>7 Nov 1994</w:t>
            </w:r>
          </w:p>
        </w:tc>
        <w:tc>
          <w:tcPr>
            <w:tcW w:w="2552"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8" w:type="dxa"/>
          <w:cantSplit/>
        </w:trPr>
        <w:tc>
          <w:tcPr>
            <w:tcW w:w="2268" w:type="dxa"/>
            <w:gridSpan w:val="2"/>
          </w:tcPr>
          <w:p>
            <w:pPr>
              <w:pStyle w:val="nTable"/>
              <w:spacing w:after="40"/>
              <w:rPr>
                <w:sz w:val="19"/>
              </w:rPr>
            </w:pPr>
            <w:r>
              <w:rPr>
                <w:i/>
                <w:sz w:val="19"/>
              </w:rPr>
              <w:t>Hospitals Amendment Act 1994</w:t>
            </w:r>
            <w:r>
              <w:rPr>
                <w:sz w:val="19"/>
              </w:rPr>
              <w:t xml:space="preserve"> s. 18</w:t>
            </w:r>
          </w:p>
        </w:tc>
        <w:tc>
          <w:tcPr>
            <w:tcW w:w="1134" w:type="dxa"/>
            <w:gridSpan w:val="2"/>
          </w:tcPr>
          <w:p>
            <w:pPr>
              <w:pStyle w:val="nTable"/>
              <w:spacing w:after="40"/>
              <w:rPr>
                <w:sz w:val="19"/>
              </w:rPr>
            </w:pPr>
            <w:r>
              <w:rPr>
                <w:sz w:val="19"/>
              </w:rPr>
              <w:t>103 of 1994</w:t>
            </w:r>
          </w:p>
        </w:tc>
        <w:tc>
          <w:tcPr>
            <w:tcW w:w="1134" w:type="dxa"/>
            <w:gridSpan w:val="2"/>
          </w:tcPr>
          <w:p>
            <w:pPr>
              <w:pStyle w:val="nTable"/>
              <w:spacing w:after="40"/>
              <w:rPr>
                <w:sz w:val="19"/>
              </w:rPr>
            </w:pPr>
            <w:r>
              <w:rPr>
                <w:sz w:val="19"/>
              </w:rPr>
              <w:t>11 Jan 1995</w:t>
            </w:r>
          </w:p>
        </w:tc>
        <w:tc>
          <w:tcPr>
            <w:tcW w:w="2552"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8" w:type="dxa"/>
          <w:cantSplit/>
        </w:trPr>
        <w:tc>
          <w:tcPr>
            <w:tcW w:w="2268"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4" w:type="dxa"/>
            <w:gridSpan w:val="2"/>
          </w:tcPr>
          <w:p>
            <w:pPr>
              <w:pStyle w:val="nTable"/>
              <w:spacing w:after="40"/>
              <w:rPr>
                <w:sz w:val="19"/>
              </w:rPr>
            </w:pPr>
            <w:r>
              <w:rPr>
                <w:sz w:val="19"/>
              </w:rPr>
              <w:t>30 of 1995</w:t>
            </w:r>
          </w:p>
        </w:tc>
        <w:tc>
          <w:tcPr>
            <w:tcW w:w="1134" w:type="dxa"/>
            <w:gridSpan w:val="2"/>
          </w:tcPr>
          <w:p>
            <w:pPr>
              <w:pStyle w:val="nTable"/>
              <w:spacing w:after="40"/>
              <w:rPr>
                <w:sz w:val="19"/>
              </w:rPr>
            </w:pPr>
            <w:r>
              <w:rPr>
                <w:sz w:val="19"/>
              </w:rPr>
              <w:t>11 Sep 1995</w:t>
            </w:r>
          </w:p>
        </w:tc>
        <w:tc>
          <w:tcPr>
            <w:tcW w:w="2552"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wBefore w:w="8" w:type="dxa"/>
          <w:cantSplit/>
        </w:trPr>
        <w:tc>
          <w:tcPr>
            <w:tcW w:w="2268" w:type="dxa"/>
            <w:gridSpan w:val="2"/>
          </w:tcPr>
          <w:p>
            <w:pPr>
              <w:pStyle w:val="nTable"/>
              <w:spacing w:after="40"/>
              <w:rPr>
                <w:sz w:val="19"/>
              </w:rPr>
            </w:pPr>
            <w:r>
              <w:rPr>
                <w:i/>
                <w:sz w:val="19"/>
              </w:rPr>
              <w:t>Sentencing (Consequential Provisions) Act 1995</w:t>
            </w:r>
            <w:r>
              <w:rPr>
                <w:sz w:val="19"/>
              </w:rPr>
              <w:t xml:space="preserve"> Pt. 84</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8" w:type="dxa"/>
          <w:cantSplit/>
        </w:trPr>
        <w:tc>
          <w:tcPr>
            <w:tcW w:w="2268"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Before w:val="1"/>
          <w:wBefore w:w="8" w:type="dxa"/>
          <w:cantSplit/>
        </w:trP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2" w:type="dxa"/>
            <w:gridSpan w:val="2"/>
          </w:tcPr>
          <w:p>
            <w:pPr>
              <w:pStyle w:val="nTable"/>
              <w:spacing w:after="40"/>
              <w:rPr>
                <w:sz w:val="19"/>
              </w:rPr>
            </w:pPr>
            <w:r>
              <w:rPr>
                <w:sz w:val="19"/>
              </w:rPr>
              <w:t>25 Oct 1996 (see s. 2(1))</w:t>
            </w:r>
          </w:p>
        </w:tc>
      </w:tr>
      <w:tr>
        <w:trPr>
          <w:gridBefore w:val="1"/>
          <w:wBefore w:w="8" w:type="dxa"/>
          <w:cantSplit/>
        </w:trPr>
        <w:tc>
          <w:tcPr>
            <w:tcW w:w="7088" w:type="dxa"/>
            <w:gridSpan w:val="8"/>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gridBefore w:val="1"/>
          <w:wBefore w:w="8" w:type="dxa"/>
          <w:cantSplit/>
        </w:trPr>
        <w:tc>
          <w:tcPr>
            <w:tcW w:w="2268"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33</w:t>
            </w:r>
          </w:p>
        </w:tc>
        <w:tc>
          <w:tcPr>
            <w:tcW w:w="1134" w:type="dxa"/>
            <w:gridSpan w:val="2"/>
          </w:tcPr>
          <w:p>
            <w:pPr>
              <w:pStyle w:val="nTable"/>
              <w:spacing w:after="40"/>
              <w:rPr>
                <w:sz w:val="19"/>
              </w:rPr>
            </w:pPr>
            <w:r>
              <w:rPr>
                <w:sz w:val="19"/>
              </w:rPr>
              <w:t>33 of 1999</w:t>
            </w:r>
          </w:p>
        </w:tc>
        <w:tc>
          <w:tcPr>
            <w:tcW w:w="1134" w:type="dxa"/>
            <w:gridSpan w:val="2"/>
          </w:tcPr>
          <w:p>
            <w:pPr>
              <w:pStyle w:val="nTable"/>
              <w:spacing w:after="40"/>
              <w:rPr>
                <w:sz w:val="19"/>
              </w:rPr>
            </w:pPr>
            <w:r>
              <w:rPr>
                <w:sz w:val="19"/>
              </w:rPr>
              <w:t>5 Oct 1999</w:t>
            </w:r>
          </w:p>
        </w:tc>
        <w:tc>
          <w:tcPr>
            <w:tcW w:w="2552" w:type="dxa"/>
            <w:gridSpan w:val="2"/>
          </w:tcPr>
          <w:p>
            <w:pPr>
              <w:pStyle w:val="nTable"/>
              <w:spacing w:after="40"/>
              <w:rPr>
                <w:sz w:val="19"/>
              </w:rPr>
            </w:pPr>
            <w:r>
              <w:rPr>
                <w:sz w:val="19"/>
              </w:rPr>
              <w:t>5 Oct 1999 (see s. 2)</w:t>
            </w:r>
          </w:p>
        </w:tc>
      </w:tr>
      <w:tr>
        <w:trPr>
          <w:gridBefore w:val="1"/>
          <w:wBefore w:w="8" w:type="dxa"/>
          <w:cantSplit/>
        </w:trPr>
        <w:tc>
          <w:tcPr>
            <w:tcW w:w="2268" w:type="dxa"/>
            <w:gridSpan w:val="2"/>
          </w:tcPr>
          <w:p>
            <w:pPr>
              <w:pStyle w:val="nTable"/>
              <w:spacing w:after="40"/>
              <w:rPr>
                <w:sz w:val="19"/>
              </w:rPr>
            </w:pPr>
            <w:r>
              <w:rPr>
                <w:i/>
                <w:sz w:val="19"/>
              </w:rPr>
              <w:t>Workers’ Compensation and Rehabilitation Amendment Act 1999</w:t>
            </w:r>
            <w:r>
              <w:rPr>
                <w:sz w:val="19"/>
                <w:vertAlign w:val="superscript"/>
              </w:rPr>
              <w:t> 34-36</w:t>
            </w:r>
          </w:p>
        </w:tc>
        <w:tc>
          <w:tcPr>
            <w:tcW w:w="1134" w:type="dxa"/>
            <w:gridSpan w:val="2"/>
          </w:tcPr>
          <w:p>
            <w:pPr>
              <w:pStyle w:val="nTable"/>
              <w:spacing w:after="40"/>
              <w:rPr>
                <w:sz w:val="19"/>
              </w:rPr>
            </w:pPr>
            <w:r>
              <w:rPr>
                <w:sz w:val="19"/>
              </w:rPr>
              <w:t>34 of 1999</w:t>
            </w:r>
            <w:r>
              <w:rPr>
                <w:sz w:val="19"/>
              </w:rPr>
              <w:br/>
              <w:t>(as amended by No. 37 of 1999 s. 3) (as affected by No. 35 of 2004 Pt. 2)</w:t>
            </w:r>
          </w:p>
        </w:tc>
        <w:tc>
          <w:tcPr>
            <w:tcW w:w="1134" w:type="dxa"/>
            <w:gridSpan w:val="2"/>
          </w:tcPr>
          <w:p>
            <w:pPr>
              <w:pStyle w:val="nTable"/>
              <w:spacing w:after="40"/>
              <w:rPr>
                <w:sz w:val="19"/>
              </w:rPr>
            </w:pPr>
            <w:r>
              <w:rPr>
                <w:sz w:val="19"/>
              </w:rPr>
              <w:t>5 Oct 1999</w:t>
            </w:r>
          </w:p>
        </w:tc>
        <w:tc>
          <w:tcPr>
            <w:tcW w:w="2552"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wBefore w:w="8" w:type="dxa"/>
          <w:cantSplit/>
        </w:trPr>
        <w:tc>
          <w:tcPr>
            <w:tcW w:w="2268" w:type="dxa"/>
            <w:gridSpan w:val="2"/>
          </w:tcPr>
          <w:p>
            <w:pPr>
              <w:pStyle w:val="nTable"/>
              <w:spacing w:after="40"/>
              <w:rPr>
                <w:i/>
                <w:sz w:val="19"/>
              </w:rPr>
            </w:pPr>
            <w:r>
              <w:rPr>
                <w:i/>
                <w:sz w:val="19"/>
              </w:rPr>
              <w:t>Workers’ Compensation and Rehabilitation Amendment Act 2000</w:t>
            </w:r>
          </w:p>
        </w:tc>
        <w:tc>
          <w:tcPr>
            <w:tcW w:w="1134" w:type="dxa"/>
            <w:gridSpan w:val="2"/>
          </w:tcPr>
          <w:p>
            <w:pPr>
              <w:pStyle w:val="nTable"/>
              <w:spacing w:after="40"/>
              <w:rPr>
                <w:sz w:val="19"/>
              </w:rPr>
            </w:pPr>
            <w:r>
              <w:rPr>
                <w:sz w:val="19"/>
              </w:rPr>
              <w:t>44 of 2000</w:t>
            </w:r>
          </w:p>
        </w:tc>
        <w:tc>
          <w:tcPr>
            <w:tcW w:w="1134" w:type="dxa"/>
            <w:gridSpan w:val="2"/>
          </w:tcPr>
          <w:p>
            <w:pPr>
              <w:pStyle w:val="nTable"/>
              <w:spacing w:after="40"/>
              <w:rPr>
                <w:sz w:val="19"/>
              </w:rPr>
            </w:pPr>
            <w:r>
              <w:rPr>
                <w:sz w:val="19"/>
              </w:rPr>
              <w:t>17 Nov 2000</w:t>
            </w:r>
          </w:p>
        </w:tc>
        <w:tc>
          <w:tcPr>
            <w:tcW w:w="2552"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wBefore w:w="8" w:type="dxa"/>
          <w:cantSplit/>
        </w:trPr>
        <w:tc>
          <w:tcPr>
            <w:tcW w:w="2268" w:type="dxa"/>
            <w:gridSpan w:val="2"/>
          </w:tcPr>
          <w:p>
            <w:pPr>
              <w:pStyle w:val="nTable"/>
              <w:spacing w:after="40"/>
              <w:rPr>
                <w:i/>
                <w:sz w:val="19"/>
              </w:rPr>
            </w:pPr>
            <w:r>
              <w:rPr>
                <w:i/>
                <w:sz w:val="19"/>
              </w:rPr>
              <w:t>Corporations (Consequential Amendments) Act 2001</w:t>
            </w:r>
            <w:r>
              <w:rPr>
                <w:sz w:val="19"/>
              </w:rPr>
              <w:t xml:space="preserve"> Pt. 57</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8" w:type="dxa"/>
          <w:cantSplit/>
        </w:trPr>
        <w:tc>
          <w:tcPr>
            <w:tcW w:w="7088" w:type="dxa"/>
            <w:gridSpan w:val="8"/>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gridBefore w:val="1"/>
          <w:wBefore w:w="8" w:type="dxa"/>
          <w:cantSplit/>
        </w:trPr>
        <w:tc>
          <w:tcPr>
            <w:tcW w:w="2268" w:type="dxa"/>
            <w:gridSpan w:val="2"/>
          </w:tcPr>
          <w:p>
            <w:pPr>
              <w:pStyle w:val="nTable"/>
              <w:spacing w:after="40"/>
              <w:rPr>
                <w:sz w:val="19"/>
              </w:rPr>
            </w:pPr>
            <w:r>
              <w:rPr>
                <w:i/>
                <w:sz w:val="19"/>
              </w:rPr>
              <w:t>Acts Amendment (Equality of Status) Act 2003</w:t>
            </w:r>
            <w:r>
              <w:rPr>
                <w:sz w:val="19"/>
              </w:rPr>
              <w:t xml:space="preserve"> Pt. 63</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8" w:type="dxa"/>
          <w:cantSplit/>
        </w:trPr>
        <w:tc>
          <w:tcPr>
            <w:tcW w:w="2268"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37</w:t>
            </w:r>
          </w:p>
        </w:tc>
        <w:tc>
          <w:tcPr>
            <w:tcW w:w="1134" w:type="dxa"/>
            <w:gridSpan w:val="2"/>
          </w:tcPr>
          <w:p>
            <w:pPr>
              <w:pStyle w:val="nTable"/>
              <w:spacing w:after="40"/>
              <w:rPr>
                <w:sz w:val="19"/>
              </w:rPr>
            </w:pPr>
            <w:r>
              <w:rPr>
                <w:sz w:val="19"/>
              </w:rPr>
              <w:t>35 of 2003</w:t>
            </w:r>
          </w:p>
        </w:tc>
        <w:tc>
          <w:tcPr>
            <w:tcW w:w="1134" w:type="dxa"/>
            <w:gridSpan w:val="2"/>
          </w:tcPr>
          <w:p>
            <w:pPr>
              <w:pStyle w:val="nTable"/>
              <w:spacing w:after="40"/>
              <w:rPr>
                <w:sz w:val="19"/>
              </w:rPr>
            </w:pPr>
            <w:r>
              <w:rPr>
                <w:sz w:val="19"/>
              </w:rPr>
              <w:t>26 Jun 2003</w:t>
            </w:r>
          </w:p>
        </w:tc>
        <w:tc>
          <w:tcPr>
            <w:tcW w:w="2552"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wBefore w:w="8" w:type="dxa"/>
          <w:cantSplit/>
        </w:trPr>
        <w:tc>
          <w:tcPr>
            <w:tcW w:w="2268"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52"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8" w:type="dxa"/>
          <w:cantSplit/>
        </w:trPr>
        <w:tc>
          <w:tcPr>
            <w:tcW w:w="2268" w:type="dxa"/>
            <w:gridSpan w:val="2"/>
          </w:tcPr>
          <w:p>
            <w:pPr>
              <w:pStyle w:val="nTable"/>
              <w:spacing w:after="40"/>
              <w:rPr>
                <w:sz w:val="19"/>
              </w:rPr>
            </w:pPr>
            <w:r>
              <w:rPr>
                <w:i/>
                <w:sz w:val="19"/>
              </w:rPr>
              <w:t>Statutes (Repeals and Minor Amendments) Act 2003</w:t>
            </w:r>
            <w:r>
              <w:rPr>
                <w:sz w:val="19"/>
              </w:rPr>
              <w:t xml:space="preserve"> s. 134</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z w:val="19"/>
              </w:rPr>
              <w:t>15 Dec 2003 (see s. 2)</w:t>
            </w:r>
          </w:p>
        </w:tc>
      </w:tr>
      <w:tr>
        <w:trPr>
          <w:gridBefore w:val="1"/>
          <w:wBefore w:w="8" w:type="dxa"/>
          <w:cantSplit/>
        </w:trPr>
        <w:tc>
          <w:tcPr>
            <w:tcW w:w="2268" w:type="dxa"/>
            <w:gridSpan w:val="2"/>
          </w:tcPr>
          <w:p>
            <w:pPr>
              <w:pStyle w:val="nTable"/>
              <w:spacing w:after="40"/>
              <w:rPr>
                <w:i/>
                <w:sz w:val="19"/>
              </w:rPr>
            </w:pPr>
            <w:r>
              <w:rPr>
                <w:i/>
                <w:sz w:val="19"/>
              </w:rPr>
              <w:t xml:space="preserve">Workers’ Compensation (Common Law Proceedings) Act 2004 </w:t>
            </w:r>
          </w:p>
        </w:tc>
        <w:tc>
          <w:tcPr>
            <w:tcW w:w="1134" w:type="dxa"/>
            <w:gridSpan w:val="2"/>
          </w:tcPr>
          <w:p>
            <w:pPr>
              <w:pStyle w:val="nTable"/>
              <w:spacing w:after="40"/>
              <w:rPr>
                <w:sz w:val="19"/>
              </w:rPr>
            </w:pPr>
            <w:r>
              <w:rPr>
                <w:sz w:val="19"/>
              </w:rPr>
              <w:t>35 of 2004</w:t>
            </w:r>
          </w:p>
        </w:tc>
        <w:tc>
          <w:tcPr>
            <w:tcW w:w="1134" w:type="dxa"/>
            <w:gridSpan w:val="2"/>
          </w:tcPr>
          <w:p>
            <w:pPr>
              <w:pStyle w:val="nTable"/>
              <w:spacing w:after="40"/>
              <w:rPr>
                <w:sz w:val="19"/>
              </w:rPr>
            </w:pPr>
            <w:r>
              <w:rPr>
                <w:sz w:val="19"/>
              </w:rPr>
              <w:t>25 Oct 2004</w:t>
            </w:r>
          </w:p>
        </w:tc>
        <w:tc>
          <w:tcPr>
            <w:tcW w:w="2552" w:type="dxa"/>
            <w:gridSpan w:val="2"/>
          </w:tcPr>
          <w:p>
            <w:pPr>
              <w:pStyle w:val="nTable"/>
              <w:spacing w:after="40"/>
              <w:rPr>
                <w:sz w:val="19"/>
              </w:rPr>
            </w:pPr>
            <w:r>
              <w:rPr>
                <w:sz w:val="19"/>
              </w:rPr>
              <w:t>s. 5(1) and (2): 5 Oct 1999 (see s. 2(2));</w:t>
            </w:r>
            <w:r>
              <w:rPr>
                <w:sz w:val="19"/>
              </w:rPr>
              <w:br/>
              <w:t>balance: 25 Oct 2004 (see s. 2(1))</w:t>
            </w:r>
          </w:p>
        </w:tc>
      </w:tr>
      <w:tr>
        <w:trPr>
          <w:gridBefore w:val="1"/>
          <w:wBefore w:w="8" w:type="dxa"/>
          <w:cantSplit/>
        </w:trPr>
        <w:tc>
          <w:tcPr>
            <w:tcW w:w="2268" w:type="dxa"/>
            <w:gridSpan w:val="2"/>
          </w:tcPr>
          <w:p>
            <w:pPr>
              <w:pStyle w:val="nTable"/>
              <w:spacing w:after="40"/>
              <w:rPr>
                <w:sz w:val="19"/>
              </w:rPr>
            </w:pPr>
            <w:r>
              <w:rPr>
                <w:i/>
                <w:sz w:val="19"/>
              </w:rPr>
              <w:t>Workers’ Compensation (Common Law Proceedings) Act 2004</w:t>
            </w:r>
            <w:r>
              <w:rPr>
                <w:sz w:val="19"/>
              </w:rPr>
              <w:t xml:space="preserve"> s. 8</w:t>
            </w:r>
            <w:r>
              <w:rPr>
                <w:sz w:val="19"/>
              </w:rPr>
              <w:noBreakHyphen/>
              <w:t xml:space="preserve">11 </w:t>
            </w:r>
            <w:r>
              <w:rPr>
                <w:sz w:val="19"/>
                <w:vertAlign w:val="superscript"/>
              </w:rPr>
              <w:t>8</w:t>
            </w:r>
          </w:p>
        </w:tc>
        <w:tc>
          <w:tcPr>
            <w:tcW w:w="1134" w:type="dxa"/>
            <w:gridSpan w:val="2"/>
          </w:tcPr>
          <w:p>
            <w:pPr>
              <w:pStyle w:val="nTable"/>
              <w:spacing w:after="40"/>
              <w:rPr>
                <w:sz w:val="19"/>
              </w:rPr>
            </w:pPr>
            <w:r>
              <w:rPr>
                <w:sz w:val="19"/>
              </w:rPr>
              <w:t>35 of 2004</w:t>
            </w:r>
          </w:p>
        </w:tc>
        <w:tc>
          <w:tcPr>
            <w:tcW w:w="1134" w:type="dxa"/>
            <w:gridSpan w:val="2"/>
          </w:tcPr>
          <w:p>
            <w:pPr>
              <w:pStyle w:val="nTable"/>
              <w:spacing w:after="40"/>
              <w:rPr>
                <w:sz w:val="19"/>
              </w:rPr>
            </w:pPr>
            <w:r>
              <w:rPr>
                <w:sz w:val="19"/>
              </w:rPr>
              <w:t>25 Oct 2004</w:t>
            </w:r>
          </w:p>
        </w:tc>
        <w:tc>
          <w:tcPr>
            <w:tcW w:w="2552" w:type="dxa"/>
            <w:gridSpan w:val="2"/>
          </w:tcPr>
          <w:p>
            <w:pPr>
              <w:pStyle w:val="nTable"/>
              <w:spacing w:after="40"/>
              <w:rPr>
                <w:sz w:val="19"/>
              </w:rPr>
            </w:pPr>
            <w:r>
              <w:rPr>
                <w:sz w:val="19"/>
              </w:rPr>
              <w:t>s. 5(1) and (2): 5 Oct 1999 (see s. 2(2));</w:t>
            </w:r>
            <w:r>
              <w:rPr>
                <w:sz w:val="19"/>
              </w:rPr>
              <w:br/>
              <w:t>balance: 25 Oct 2004 (see s. 2(1))</w:t>
            </w:r>
          </w:p>
        </w:tc>
      </w:tr>
      <w:tr>
        <w:trPr>
          <w:gridBefore w:val="1"/>
          <w:wBefore w:w="8" w:type="dxa"/>
          <w:cantSplit/>
        </w:trPr>
        <w:tc>
          <w:tcPr>
            <w:tcW w:w="2268"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38</w:t>
            </w:r>
          </w:p>
        </w:tc>
        <w:tc>
          <w:tcPr>
            <w:tcW w:w="1134" w:type="dxa"/>
            <w:gridSpan w:val="2"/>
          </w:tcPr>
          <w:p>
            <w:pPr>
              <w:pStyle w:val="nTable"/>
              <w:spacing w:after="40"/>
              <w:rPr>
                <w:sz w:val="19"/>
              </w:rPr>
            </w:pPr>
            <w:r>
              <w:rPr>
                <w:sz w:val="19"/>
              </w:rPr>
              <w:t>36 of 2004 (as amended by this Act s. 16, 17(5) and 19)</w:t>
            </w:r>
          </w:p>
        </w:tc>
        <w:tc>
          <w:tcPr>
            <w:tcW w:w="1134" w:type="dxa"/>
            <w:gridSpan w:val="2"/>
          </w:tcPr>
          <w:p>
            <w:pPr>
              <w:pStyle w:val="nTable"/>
              <w:spacing w:after="40"/>
              <w:rPr>
                <w:sz w:val="19"/>
              </w:rPr>
            </w:pPr>
            <w:r>
              <w:rPr>
                <w:sz w:val="19"/>
              </w:rPr>
              <w:t>28 Oct 2004</w:t>
            </w:r>
          </w:p>
        </w:tc>
        <w:tc>
          <w:tcPr>
            <w:tcW w:w="2552" w:type="dxa"/>
            <w:gridSpan w:val="2"/>
          </w:tcPr>
          <w:p>
            <w:pPr>
              <w:pStyle w:val="nTable"/>
              <w:spacing w:after="40"/>
              <w:rPr>
                <w:sz w:val="19"/>
              </w:rPr>
            </w:pPr>
            <w:r>
              <w:rPr>
                <w:sz w:val="19"/>
              </w:rPr>
              <w:t xml:space="preserve">Act other than Pt. 3: 22 Dec 2004 (see s. 2 and </w:t>
            </w:r>
            <w:r>
              <w:rPr>
                <w:i/>
                <w:sz w:val="19"/>
              </w:rPr>
              <w:t>Gazette</w:t>
            </w:r>
            <w:r>
              <w:rPr>
                <w:sz w:val="19"/>
              </w:rPr>
              <w:t xml:space="preserve"> 21 Dec 2004 p. 6143);</w:t>
            </w:r>
            <w:r>
              <w:rPr>
                <w:sz w:val="19"/>
              </w:rPr>
              <w:br/>
              <w:t xml:space="preserve">Pt. 3: 14 Nov 2005 (see s. 2(2) and </w:t>
            </w:r>
            <w:r>
              <w:rPr>
                <w:i/>
                <w:sz w:val="19"/>
              </w:rPr>
              <w:t>Gazette</w:t>
            </w:r>
            <w:r>
              <w:rPr>
                <w:sz w:val="19"/>
              </w:rPr>
              <w:t xml:space="preserve"> 1 Nov 2005 p. 4975)</w:t>
            </w:r>
          </w:p>
        </w:tc>
      </w:tr>
      <w:tr>
        <w:trPr>
          <w:gridBefore w:val="1"/>
          <w:wBefore w:w="8" w:type="dxa"/>
          <w:cantSplit/>
        </w:trPr>
        <w:tc>
          <w:tcPr>
            <w:tcW w:w="2268" w:type="dxa"/>
            <w:gridSpan w:val="2"/>
          </w:tcPr>
          <w:p>
            <w:pPr>
              <w:pStyle w:val="nTable"/>
              <w:spacing w:after="40"/>
              <w:rPr>
                <w:i/>
                <w:sz w:val="19"/>
              </w:rPr>
            </w:pPr>
            <w:r>
              <w:rPr>
                <w:i/>
                <w:snapToGrid w:val="0"/>
                <w:sz w:val="19"/>
              </w:rPr>
              <w:t>Workers’ Compensation Reform Act 2004 </w:t>
            </w:r>
            <w:r>
              <w:rPr>
                <w:snapToGrid w:val="0"/>
                <w:sz w:val="19"/>
                <w:vertAlign w:val="superscript"/>
              </w:rPr>
              <w:t>39, 40</w:t>
            </w:r>
          </w:p>
        </w:tc>
        <w:tc>
          <w:tcPr>
            <w:tcW w:w="1134" w:type="dxa"/>
            <w:gridSpan w:val="2"/>
          </w:tcPr>
          <w:p>
            <w:pPr>
              <w:pStyle w:val="nTable"/>
              <w:spacing w:after="40"/>
              <w:rPr>
                <w:sz w:val="19"/>
              </w:rPr>
            </w:pPr>
            <w:r>
              <w:rPr>
                <w:sz w:val="19"/>
              </w:rPr>
              <w:t>42 of 2004</w:t>
            </w:r>
            <w:r>
              <w:rPr>
                <w:sz w:val="19"/>
              </w:rPr>
              <w:br/>
              <w:t>(as amended by No. 16 of 2005 s. 4</w:t>
            </w:r>
            <w:r>
              <w:rPr>
                <w:sz w:val="19"/>
              </w:rPr>
              <w:noBreakHyphen/>
              <w:t>7)</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z w:val="19"/>
              </w:rPr>
            </w:pPr>
            <w:r>
              <w:rPr>
                <w:sz w:val="19"/>
              </w:rPr>
              <w:t xml:space="preserve">s. 3, 4(b), 5, 8(1) in so far as it deletes the definitions of “Commission”, “Committee”, “Executive Director”, and “the Chairman of the Commission”, s. 8(2) in so far as it inserts the definitions of “chief executive officer”, “the Chairman of WorkCover WA”, and “WorkCover WA”, </w:t>
            </w:r>
            <w:r>
              <w:rPr>
                <w:sz w:val="19"/>
              </w:rPr>
              <w:br/>
              <w:t>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wBefore w:w="8" w:type="dxa"/>
          <w:cantSplit/>
        </w:trPr>
        <w:tc>
          <w:tcPr>
            <w:tcW w:w="2268" w:type="dxa"/>
            <w:gridSpan w:val="2"/>
          </w:tcPr>
          <w:p>
            <w:pPr>
              <w:pStyle w:val="nTable"/>
              <w:spacing w:after="40"/>
              <w:rPr>
                <w:i/>
                <w:sz w:val="19"/>
              </w:rPr>
            </w:pPr>
          </w:p>
        </w:tc>
        <w:tc>
          <w:tcPr>
            <w:tcW w:w="1134" w:type="dxa"/>
            <w:gridSpan w:val="2"/>
          </w:tcPr>
          <w:p>
            <w:pPr>
              <w:pStyle w:val="nTable"/>
              <w:spacing w:after="40"/>
              <w:rPr>
                <w:sz w:val="19"/>
              </w:rPr>
            </w:pPr>
          </w:p>
        </w:tc>
        <w:tc>
          <w:tcPr>
            <w:tcW w:w="1134" w:type="dxa"/>
            <w:gridSpan w:val="2"/>
          </w:tcPr>
          <w:p>
            <w:pPr>
              <w:pStyle w:val="nTable"/>
              <w:spacing w:after="40"/>
              <w:rPr>
                <w:sz w:val="19"/>
              </w:rPr>
            </w:pPr>
          </w:p>
        </w:tc>
        <w:tc>
          <w:tcPr>
            <w:tcW w:w="2552" w:type="dxa"/>
            <w:gridSpan w:val="2"/>
          </w:tcPr>
          <w:p>
            <w:pPr>
              <w:pStyle w:val="nTable"/>
              <w:spacing w:after="40"/>
              <w:rPr>
                <w:sz w:val="19"/>
              </w:rPr>
            </w:pPr>
            <w:r>
              <w:rPr>
                <w:sz w:val="19"/>
              </w:rPr>
              <w:t>s. 4(a) and (c), 6 and 7, 8(1) other than the definitions of “Commission”, “Committee”, “Executive Director”, and “the Chairman of the Commission”, s. 8(2) other than the definitions of “chief executive officer”, “the Chairman of WorkCover WA”, and “WorkCover WA”,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wBefore w:w="8" w:type="dxa"/>
          <w:cantSplit/>
        </w:trPr>
        <w:tc>
          <w:tcPr>
            <w:tcW w:w="2268" w:type="dxa"/>
            <w:gridSpan w:val="2"/>
          </w:tcPr>
          <w:p>
            <w:pPr>
              <w:pStyle w:val="nTable"/>
              <w:spacing w:after="40"/>
              <w:rPr>
                <w:i/>
                <w:snapToGrid w:val="0"/>
                <w:sz w:val="19"/>
              </w:rPr>
            </w:pPr>
            <w:r>
              <w:rPr>
                <w:i/>
                <w:snapToGrid w:val="0"/>
                <w:sz w:val="19"/>
              </w:rPr>
              <w:t>Acts Amendment (Court of Appeal) Act 2004</w:t>
            </w:r>
            <w:r>
              <w:rPr>
                <w:snapToGrid w:val="0"/>
                <w:sz w:val="19"/>
              </w:rPr>
              <w:t xml:space="preserve"> s. 37 (Sch. 1 cl. 28) </w:t>
            </w:r>
            <w:r>
              <w:rPr>
                <w:snapToGrid w:val="0"/>
                <w:sz w:val="19"/>
                <w:vertAlign w:val="superscript"/>
              </w:rPr>
              <w:t>41</w:t>
            </w:r>
          </w:p>
        </w:tc>
        <w:tc>
          <w:tcPr>
            <w:tcW w:w="1134" w:type="dxa"/>
            <w:gridSpan w:val="2"/>
          </w:tcPr>
          <w:p>
            <w:pPr>
              <w:pStyle w:val="nTable"/>
              <w:spacing w:after="40"/>
              <w:rPr>
                <w:sz w:val="19"/>
              </w:rPr>
            </w:pPr>
            <w:r>
              <w:rPr>
                <w:snapToGrid w:val="0"/>
                <w:sz w:val="19"/>
              </w:rPr>
              <w:t>45 of 2004</w:t>
            </w:r>
            <w:r>
              <w:rPr>
                <w:snapToGrid w:val="0"/>
                <w:sz w:val="19"/>
              </w:rPr>
              <w:br/>
              <w:t>(as amended by No. 16 of 2005 s. 31)</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Before w:val="1"/>
          <w:wBefore w:w="8" w:type="dxa"/>
          <w:cantSplit/>
        </w:trPr>
        <w:tc>
          <w:tcPr>
            <w:tcW w:w="2268" w:type="dxa"/>
            <w:gridSpan w:val="2"/>
          </w:tcPr>
          <w:p>
            <w:pPr>
              <w:pStyle w:val="nTable"/>
              <w:spacing w:after="40"/>
              <w:rPr>
                <w:i/>
                <w:snapToGrid w:val="0"/>
                <w:sz w:val="19"/>
              </w:rPr>
            </w:pPr>
            <w:r>
              <w:rPr>
                <w:i/>
                <w:sz w:val="19"/>
              </w:rPr>
              <w:t xml:space="preserve">Courts Legislation Amendment and Repeal Act 2004 </w:t>
            </w:r>
            <w:r>
              <w:rPr>
                <w:sz w:val="19"/>
              </w:rPr>
              <w:t>Pt. 19</w:t>
            </w:r>
          </w:p>
        </w:tc>
        <w:tc>
          <w:tcPr>
            <w:tcW w:w="1134" w:type="dxa"/>
            <w:gridSpan w:val="2"/>
          </w:tcPr>
          <w:p>
            <w:pPr>
              <w:pStyle w:val="nTable"/>
              <w:spacing w:after="40"/>
              <w:rPr>
                <w:snapToGrid w:val="0"/>
                <w:sz w:val="19"/>
              </w:rPr>
            </w:pPr>
            <w:r>
              <w:rPr>
                <w:sz w:val="19"/>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napToGrid w:val="0"/>
                <w:sz w:val="19"/>
              </w:rPr>
            </w:pPr>
            <w:r>
              <w:rPr>
                <w:sz w:val="19"/>
              </w:rPr>
              <w:t xml:space="preserve">1 May 2005 (see s. 2 and </w:t>
            </w:r>
            <w:r>
              <w:rPr>
                <w:i/>
                <w:sz w:val="19"/>
              </w:rPr>
              <w:t>Gazette</w:t>
            </w:r>
            <w:r>
              <w:rPr>
                <w:sz w:val="19"/>
              </w:rPr>
              <w:t xml:space="preserve"> 31 Dec 2004 p. 7128)</w:t>
            </w:r>
          </w:p>
        </w:tc>
      </w:tr>
      <w:tr>
        <w:trPr>
          <w:gridBefore w:val="1"/>
          <w:wBefore w:w="8" w:type="dxa"/>
          <w:cantSplit/>
        </w:trPr>
        <w:tc>
          <w:tcPr>
            <w:tcW w:w="2268" w:type="dxa"/>
            <w:gridSpan w:val="2"/>
          </w:tcPr>
          <w:p>
            <w:pPr>
              <w:pStyle w:val="nTable"/>
              <w:spacing w:after="40"/>
              <w:rPr>
                <w:i/>
                <w:sz w:val="19"/>
                <w:vertAlign w:val="superscript"/>
              </w:rPr>
            </w:pPr>
            <w:r>
              <w:rPr>
                <w:i/>
                <w:snapToGrid w:val="0"/>
                <w:sz w:val="19"/>
              </w:rPr>
              <w:t>Criminal Procedure and Appeals (Consequential and Other Provisions) Act 2004</w:t>
            </w:r>
            <w:r>
              <w:rPr>
                <w:snapToGrid w:val="0"/>
                <w:sz w:val="19"/>
              </w:rPr>
              <w:t xml:space="preserve"> s. 78 and 80 (Sch. 2 cl. 156 and 157) </w:t>
            </w:r>
            <w:r>
              <w:rPr>
                <w:snapToGrid w:val="0"/>
                <w:sz w:val="19"/>
                <w:vertAlign w:val="superscript"/>
              </w:rPr>
              <w:t>42</w:t>
            </w:r>
          </w:p>
        </w:tc>
        <w:tc>
          <w:tcPr>
            <w:tcW w:w="1134" w:type="dxa"/>
            <w:gridSpan w:val="2"/>
          </w:tcPr>
          <w:p>
            <w:pPr>
              <w:pStyle w:val="nTable"/>
              <w:spacing w:after="40"/>
              <w:rPr>
                <w:sz w:val="19"/>
              </w:rPr>
            </w:pPr>
            <w:r>
              <w:rPr>
                <w:sz w:val="19"/>
              </w:rPr>
              <w:t xml:space="preserve">84 of 2004 </w:t>
            </w:r>
            <w:r>
              <w:rPr>
                <w:snapToGrid w:val="0"/>
                <w:sz w:val="19"/>
              </w:rPr>
              <w:t>(as amended by No. 2 of 2008 s. 78(10))</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z w:val="19"/>
              </w:rPr>
              <w:t xml:space="preserve">s. 78 and 80 (Sch. 2 cl. 156 and 157 — the amendment to s. 188B(3)): </w:t>
            </w: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gridBefore w:val="1"/>
          <w:wBefore w:w="8" w:type="dxa"/>
          <w:cantSplit/>
        </w:trPr>
        <w:tc>
          <w:tcPr>
            <w:tcW w:w="7088" w:type="dxa"/>
            <w:gridSpan w:val="8"/>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wBefore w:w="8" w:type="dxa"/>
          <w:cantSplit/>
        </w:trPr>
        <w:tc>
          <w:tcPr>
            <w:tcW w:w="2268" w:type="dxa"/>
            <w:gridSpan w:val="2"/>
          </w:tcPr>
          <w:p>
            <w:pPr>
              <w:pStyle w:val="nTable"/>
              <w:spacing w:after="40"/>
              <w:rPr>
                <w:snapToGrid w:val="0"/>
                <w:sz w:val="19"/>
                <w:vertAlign w:val="superscript"/>
              </w:rPr>
            </w:pPr>
            <w:r>
              <w:rPr>
                <w:i/>
                <w:snapToGrid w:val="0"/>
                <w:sz w:val="19"/>
              </w:rPr>
              <w:t xml:space="preserve">Workers’ Compensation Legislation Amendment Act 2005 </w:t>
            </w:r>
            <w:r>
              <w:rPr>
                <w:snapToGrid w:val="0"/>
                <w:sz w:val="19"/>
              </w:rPr>
              <w:t>Pt. 3, 4 and s. 32 </w:t>
            </w:r>
            <w:r>
              <w:rPr>
                <w:snapToGrid w:val="0"/>
                <w:sz w:val="19"/>
                <w:vertAlign w:val="superscript"/>
              </w:rPr>
              <w:t>4, 43</w:t>
            </w:r>
          </w:p>
        </w:tc>
        <w:tc>
          <w:tcPr>
            <w:tcW w:w="1134" w:type="dxa"/>
            <w:gridSpan w:val="2"/>
          </w:tcPr>
          <w:p>
            <w:pPr>
              <w:pStyle w:val="nTable"/>
              <w:spacing w:after="40"/>
              <w:rPr>
                <w:snapToGrid w:val="0"/>
                <w:sz w:val="19"/>
              </w:rPr>
            </w:pPr>
            <w:r>
              <w:rPr>
                <w:snapToGrid w:val="0"/>
                <w:sz w:val="19"/>
              </w:rPr>
              <w:t>16 of 2005</w:t>
            </w:r>
          </w:p>
        </w:tc>
        <w:tc>
          <w:tcPr>
            <w:tcW w:w="1134" w:type="dxa"/>
            <w:gridSpan w:val="2"/>
          </w:tcPr>
          <w:p>
            <w:pPr>
              <w:pStyle w:val="nTable"/>
              <w:spacing w:after="40"/>
              <w:rPr>
                <w:sz w:val="19"/>
              </w:rPr>
            </w:pPr>
            <w:r>
              <w:rPr>
                <w:sz w:val="19"/>
              </w:rPr>
              <w:t>27 Sep 2005</w:t>
            </w:r>
          </w:p>
        </w:tc>
        <w:tc>
          <w:tcPr>
            <w:tcW w:w="2552" w:type="dxa"/>
            <w:gridSpan w:val="2"/>
          </w:tcPr>
          <w:p>
            <w:pPr>
              <w:pStyle w:val="nTable"/>
              <w:spacing w:after="40"/>
              <w:rPr>
                <w:snapToGrid w:val="0"/>
                <w:sz w:val="19"/>
              </w:rPr>
            </w:pPr>
            <w:r>
              <w:rPr>
                <w:sz w:val="19"/>
              </w:rPr>
              <w:t>s. 30(1) and (2): 1 Jul 2005 (see s. 2(2));</w:t>
            </w:r>
            <w:r>
              <w:rPr>
                <w:sz w:val="19"/>
              </w:rPr>
              <w:br/>
              <w:t>s. 30(3): 27 Sep 2005 (see s. 2(1));</w:t>
            </w:r>
            <w:r>
              <w:rPr>
                <w:sz w:val="19"/>
              </w:rPr>
              <w:br/>
              <w:t>Pt. 3 and s. 32: 14 Nov 2005 (see s. 2(3))</w:t>
            </w:r>
          </w:p>
        </w:tc>
      </w:tr>
      <w:tr>
        <w:trPr>
          <w:gridBefore w:val="1"/>
          <w:wBefore w:w="8" w:type="dxa"/>
        </w:trPr>
        <w:tc>
          <w:tcPr>
            <w:tcW w:w="2268" w:type="dxa"/>
            <w:gridSpan w:val="2"/>
          </w:tcPr>
          <w:p>
            <w:pPr>
              <w:pStyle w:val="nTable"/>
              <w:spacing w:after="40"/>
              <w:rPr>
                <w:snapToGrid w:val="0"/>
                <w:sz w:val="19"/>
                <w:vertAlign w:val="superscript"/>
              </w:rPr>
            </w:pPr>
            <w:r>
              <w:rPr>
                <w:i/>
                <w:snapToGrid w:val="0"/>
                <w:sz w:val="19"/>
              </w:rPr>
              <w:t>Limitation Legislation Amendment and Repeal Act 2005</w:t>
            </w:r>
            <w:r>
              <w:rPr>
                <w:snapToGrid w:val="0"/>
                <w:sz w:val="19"/>
              </w:rPr>
              <w:t xml:space="preserve"> Pt. 9</w:t>
            </w:r>
          </w:p>
        </w:tc>
        <w:tc>
          <w:tcPr>
            <w:tcW w:w="1134" w:type="dxa"/>
            <w:gridSpan w:val="2"/>
          </w:tcPr>
          <w:p>
            <w:pPr>
              <w:pStyle w:val="nTable"/>
              <w:spacing w:after="40"/>
              <w:rPr>
                <w:snapToGrid w:val="0"/>
                <w:sz w:val="19"/>
              </w:rPr>
            </w:pPr>
            <w:r>
              <w:rPr>
                <w:snapToGrid w:val="0"/>
                <w:sz w:val="19"/>
              </w:rPr>
              <w:t>20 of 2005</w:t>
            </w:r>
          </w:p>
        </w:tc>
        <w:tc>
          <w:tcPr>
            <w:tcW w:w="1134" w:type="dxa"/>
            <w:gridSpan w:val="2"/>
          </w:tcPr>
          <w:p>
            <w:pPr>
              <w:pStyle w:val="nTable"/>
              <w:spacing w:after="40"/>
              <w:rPr>
                <w:sz w:val="19"/>
              </w:rPr>
            </w:pPr>
            <w:r>
              <w:rPr>
                <w:sz w:val="19"/>
              </w:rPr>
              <w:t>15 Nov 2005</w:t>
            </w:r>
          </w:p>
        </w:tc>
        <w:tc>
          <w:tcPr>
            <w:tcW w:w="2552" w:type="dxa"/>
            <w:gridSpan w:val="2"/>
          </w:tcPr>
          <w:p>
            <w:pPr>
              <w:pStyle w:val="nTable"/>
              <w:spacing w:after="40"/>
              <w:rPr>
                <w:snapToGrid w:val="0"/>
                <w:sz w:val="19"/>
              </w:rPr>
            </w:pPr>
            <w:r>
              <w:rPr>
                <w:snapToGrid w:val="0"/>
                <w:sz w:val="19"/>
              </w:rPr>
              <w:t>15 Nov 2005 (see s. 2)</w:t>
            </w:r>
          </w:p>
        </w:tc>
      </w:tr>
      <w:tr>
        <w:trPr>
          <w:gridBefore w:val="1"/>
          <w:wBefore w:w="8" w:type="dxa"/>
        </w:trPr>
        <w:tc>
          <w:tcPr>
            <w:tcW w:w="2268" w:type="dxa"/>
            <w:gridSpan w:val="2"/>
          </w:tcPr>
          <w:p>
            <w:pPr>
              <w:pStyle w:val="nTable"/>
              <w:spacing w:after="40"/>
              <w:rPr>
                <w:i/>
                <w:snapToGrid w:val="0"/>
                <w:sz w:val="19"/>
              </w:rPr>
            </w:pPr>
            <w:r>
              <w:rPr>
                <w:rFonts w:ascii="Times" w:hAnsi="Times"/>
                <w:i/>
                <w:sz w:val="19"/>
              </w:rPr>
              <w:t xml:space="preserve">Chiropractors Act 2005 </w:t>
            </w:r>
            <w:r>
              <w:rPr>
                <w:rFonts w:ascii="Times" w:hAnsi="Times"/>
                <w:sz w:val="19"/>
              </w:rPr>
              <w:t>s. 109</w:t>
            </w:r>
            <w:r>
              <w:rPr>
                <w:rFonts w:ascii="Times" w:hAnsi="Times"/>
                <w:sz w:val="19"/>
                <w:vertAlign w:val="superscript"/>
              </w:rPr>
              <w:t> 45</w:t>
            </w:r>
          </w:p>
        </w:tc>
        <w:tc>
          <w:tcPr>
            <w:tcW w:w="1134" w:type="dxa"/>
            <w:gridSpan w:val="2"/>
          </w:tcPr>
          <w:p>
            <w:pPr>
              <w:pStyle w:val="nTable"/>
              <w:spacing w:after="40"/>
              <w:rPr>
                <w:snapToGrid w:val="0"/>
                <w:sz w:val="19"/>
              </w:rPr>
            </w:pPr>
            <w:r>
              <w:rPr>
                <w:snapToGrid w:val="0"/>
                <w:sz w:val="19"/>
              </w:rPr>
              <w:t>31 of 2005</w:t>
            </w:r>
          </w:p>
        </w:tc>
        <w:tc>
          <w:tcPr>
            <w:tcW w:w="1134" w:type="dxa"/>
            <w:gridSpan w:val="2"/>
          </w:tcPr>
          <w:p>
            <w:pPr>
              <w:pStyle w:val="nTable"/>
              <w:spacing w:after="40"/>
              <w:rPr>
                <w:sz w:val="19"/>
              </w:rPr>
            </w:pPr>
            <w:r>
              <w:rPr>
                <w:sz w:val="19"/>
              </w:rPr>
              <w:t>12 Dec 2005</w:t>
            </w:r>
          </w:p>
        </w:tc>
        <w:tc>
          <w:tcPr>
            <w:tcW w:w="2552" w:type="dxa"/>
            <w:gridSpan w:val="2"/>
          </w:tcPr>
          <w:p>
            <w:pPr>
              <w:pStyle w:val="nTable"/>
              <w:spacing w:after="40"/>
              <w:rPr>
                <w:snapToGrid w:val="0"/>
                <w:sz w:val="19"/>
              </w:rPr>
            </w:pPr>
            <w:r>
              <w:rPr>
                <w:snapToGrid w:val="0"/>
                <w:sz w:val="19"/>
              </w:rPr>
              <w:t xml:space="preserve">1 Aug 2007 (see s. 2 and </w:t>
            </w:r>
            <w:r>
              <w:rPr>
                <w:i/>
                <w:iCs/>
                <w:snapToGrid w:val="0"/>
                <w:sz w:val="19"/>
              </w:rPr>
              <w:t>Gazette</w:t>
            </w:r>
            <w:r>
              <w:rPr>
                <w:snapToGrid w:val="0"/>
                <w:sz w:val="19"/>
              </w:rPr>
              <w:t xml:space="preserve"> 31 Jul 2007 p. 3789)</w:t>
            </w:r>
          </w:p>
        </w:tc>
      </w:tr>
      <w:tr>
        <w:trPr>
          <w:gridBefore w:val="1"/>
          <w:wBefore w:w="8" w:type="dxa"/>
          <w:cantSplit/>
        </w:trPr>
        <w:tc>
          <w:tcPr>
            <w:tcW w:w="7088" w:type="dxa"/>
            <w:gridSpan w:val="8"/>
          </w:tcPr>
          <w:p>
            <w:pPr>
              <w:pStyle w:val="nTable"/>
              <w:spacing w:after="40"/>
              <w:rPr>
                <w:snapToGrid w:val="0"/>
                <w:sz w:val="19"/>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w:t>
            </w:r>
          </w:p>
        </w:tc>
      </w:tr>
      <w:tr>
        <w:trPr>
          <w:gridBefore w:val="1"/>
          <w:wBefore w:w="8" w:type="dxa"/>
        </w:trPr>
        <w:tc>
          <w:tcPr>
            <w:tcW w:w="2268" w:type="dxa"/>
            <w:gridSpan w:val="2"/>
          </w:tcPr>
          <w:p>
            <w:pPr>
              <w:pStyle w:val="nTable"/>
              <w:spacing w:after="40"/>
              <w:rPr>
                <w:snapToGrid w:val="0"/>
                <w:sz w:val="19"/>
              </w:rPr>
            </w:pPr>
            <w:r>
              <w:rPr>
                <w:i/>
                <w:snapToGrid w:val="0"/>
                <w:sz w:val="19"/>
              </w:rPr>
              <w:t xml:space="preserve">Financial Legislation Amendment and Repeal Act 2006 </w:t>
            </w:r>
            <w:r>
              <w:rPr>
                <w:snapToGrid w:val="0"/>
                <w:sz w:val="19"/>
              </w:rPr>
              <w:t>s. 4 and 17</w:t>
            </w:r>
          </w:p>
        </w:tc>
        <w:tc>
          <w:tcPr>
            <w:tcW w:w="1134" w:type="dxa"/>
            <w:gridSpan w:val="2"/>
          </w:tcPr>
          <w:p>
            <w:pPr>
              <w:pStyle w:val="nTable"/>
              <w:spacing w:after="40"/>
              <w:rPr>
                <w:snapToGrid w:val="0"/>
                <w:sz w:val="19"/>
              </w:rPr>
            </w:pPr>
            <w:r>
              <w:rPr>
                <w:snapToGrid w:val="0"/>
                <w:sz w:val="19"/>
              </w:rPr>
              <w:t>77 of 2006</w:t>
            </w:r>
          </w:p>
        </w:tc>
        <w:tc>
          <w:tcPr>
            <w:tcW w:w="1134" w:type="dxa"/>
            <w:gridSpan w:val="2"/>
          </w:tcPr>
          <w:p>
            <w:pPr>
              <w:pStyle w:val="nTable"/>
              <w:spacing w:after="40"/>
              <w:rPr>
                <w:sz w:val="19"/>
              </w:rPr>
            </w:pPr>
            <w:r>
              <w:rPr>
                <w:sz w:val="19"/>
              </w:rPr>
              <w:t>21 Dec 2006</w:t>
            </w:r>
          </w:p>
        </w:tc>
        <w:tc>
          <w:tcPr>
            <w:tcW w:w="2552" w:type="dxa"/>
            <w:gridSpan w:val="2"/>
          </w:tcPr>
          <w:p>
            <w:pPr>
              <w:pStyle w:val="nTable"/>
              <w:spacing w:after="40"/>
              <w:rPr>
                <w:snapToGrid w:val="0"/>
                <w:sz w:val="19"/>
              </w:rPr>
            </w:pPr>
            <w:r>
              <w:rPr>
                <w:snapToGrid w:val="0"/>
                <w:sz w:val="19"/>
              </w:rPr>
              <w:t xml:space="preserve">1 Feb 2007 (see s. 2 and </w:t>
            </w:r>
            <w:r>
              <w:rPr>
                <w:i/>
                <w:snapToGrid w:val="0"/>
                <w:sz w:val="19"/>
              </w:rPr>
              <w:t>Gazette</w:t>
            </w:r>
            <w:r>
              <w:rPr>
                <w:snapToGrid w:val="0"/>
                <w:sz w:val="19"/>
              </w:rPr>
              <w:t xml:space="preserve"> 19 Jan 2007 p. 137)</w:t>
            </w:r>
          </w:p>
        </w:tc>
      </w:tr>
      <w:tr>
        <w:trPr>
          <w:gridBefore w:val="1"/>
          <w:wBefore w:w="8" w:type="dxa"/>
        </w:trPr>
        <w:tc>
          <w:tcPr>
            <w:tcW w:w="2268" w:type="dxa"/>
            <w:gridSpan w:val="2"/>
          </w:tcPr>
          <w:p>
            <w:pPr>
              <w:pStyle w:val="nTable"/>
              <w:spacing w:after="40"/>
              <w:rPr>
                <w:i/>
                <w:snapToGrid w:val="0"/>
                <w:sz w:val="19"/>
              </w:rPr>
            </w:pPr>
            <w:r>
              <w:rPr>
                <w:i/>
                <w:snapToGrid w:val="0"/>
              </w:rPr>
              <w:t>Criminal Law and Evidence Amendment Act 2008</w:t>
            </w:r>
            <w:r>
              <w:rPr>
                <w:iCs/>
                <w:snapToGrid w:val="0"/>
              </w:rPr>
              <w:t xml:space="preserve"> s. 73</w:t>
            </w:r>
          </w:p>
        </w:tc>
        <w:tc>
          <w:tcPr>
            <w:tcW w:w="1134" w:type="dxa"/>
            <w:gridSpan w:val="2"/>
          </w:tcPr>
          <w:p>
            <w:pPr>
              <w:pStyle w:val="nTable"/>
              <w:spacing w:after="40"/>
              <w:rPr>
                <w:snapToGrid w:val="0"/>
                <w:sz w:val="19"/>
              </w:rPr>
            </w:pPr>
            <w:r>
              <w:rPr>
                <w:sz w:val="19"/>
              </w:rPr>
              <w:t>2 of 2008</w:t>
            </w:r>
          </w:p>
        </w:tc>
        <w:tc>
          <w:tcPr>
            <w:tcW w:w="1134" w:type="dxa"/>
            <w:gridSpan w:val="2"/>
          </w:tcPr>
          <w:p>
            <w:pPr>
              <w:pStyle w:val="nTable"/>
              <w:spacing w:after="40"/>
              <w:rPr>
                <w:sz w:val="19"/>
              </w:rPr>
            </w:pPr>
            <w:r>
              <w:rPr>
                <w:sz w:val="19"/>
              </w:rPr>
              <w:t>12 Mar 2008</w:t>
            </w:r>
          </w:p>
        </w:tc>
        <w:tc>
          <w:tcPr>
            <w:tcW w:w="2552" w:type="dxa"/>
            <w:gridSpan w:val="2"/>
          </w:tcPr>
          <w:p>
            <w:pPr>
              <w:pStyle w:val="nTable"/>
              <w:spacing w:after="40"/>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rPr>
          <w:gridAfter w:val="1"/>
          <w:wAfter w:w="8" w:type="dxa"/>
          <w:cantSplit/>
        </w:trPr>
        <w:tc>
          <w:tcPr>
            <w:tcW w:w="2268" w:type="dxa"/>
            <w:gridSpan w:val="2"/>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gridSpan w:val="2"/>
            <w:tcBorders>
              <w:bottom w:val="single" w:sz="4" w:space="0" w:color="auto"/>
            </w:tcBorders>
          </w:tcPr>
          <w:p>
            <w:pPr>
              <w:pStyle w:val="nTable"/>
              <w:spacing w:after="40"/>
              <w:rPr>
                <w:sz w:val="19"/>
              </w:rPr>
            </w:pPr>
            <w:r>
              <w:rPr>
                <w:sz w:val="19"/>
              </w:rPr>
              <w:t>12 of 2008</w:t>
            </w:r>
          </w:p>
        </w:tc>
        <w:tc>
          <w:tcPr>
            <w:tcW w:w="1134" w:type="dxa"/>
            <w:gridSpan w:val="2"/>
            <w:tcBorders>
              <w:bottom w:val="single" w:sz="4" w:space="0" w:color="auto"/>
            </w:tcBorders>
          </w:tcPr>
          <w:p>
            <w:pPr>
              <w:pStyle w:val="nTable"/>
              <w:spacing w:after="40"/>
              <w:rPr>
                <w:sz w:val="19"/>
              </w:rPr>
            </w:pPr>
            <w:r>
              <w:rPr>
                <w:sz w:val="19"/>
              </w:rPr>
              <w:t>14 Apr 2008</w:t>
            </w:r>
          </w:p>
        </w:tc>
        <w:tc>
          <w:tcPr>
            <w:tcW w:w="2552" w:type="dxa"/>
            <w:gridSpan w:val="2"/>
            <w:tcBorders>
              <w:bottom w:val="single" w:sz="4" w:space="0" w:color="auto"/>
            </w:tcBorders>
          </w:tcPr>
          <w:p>
            <w:pPr>
              <w:pStyle w:val="nTable"/>
              <w:spacing w:after="40"/>
              <w:rPr>
                <w:sz w:val="19"/>
              </w:rPr>
            </w:pPr>
            <w:r>
              <w:rPr>
                <w:sz w:val="19"/>
              </w:rPr>
              <w:t>1 Jul 2008 (see s. 2(d))</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66" w:name="_Toc390078784"/>
      <w:r>
        <w:t>Provisions that have not come into operation</w:t>
      </w:r>
      <w:bookmarkEnd w:id="5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44</w:t>
            </w:r>
          </w:p>
        </w:tc>
        <w:tc>
          <w:tcPr>
            <w:tcW w:w="1134"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4"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11</w:t>
            </w:r>
          </w:p>
        </w:tc>
        <w:tc>
          <w:tcPr>
            <w:tcW w:w="1134" w:type="dxa"/>
          </w:tcPr>
          <w:p>
            <w:pPr>
              <w:pStyle w:val="nTable"/>
              <w:keepNext/>
              <w:spacing w:after="40"/>
              <w:rPr>
                <w:sz w:val="19"/>
              </w:rPr>
            </w:pPr>
            <w:r>
              <w:rPr>
                <w:sz w:val="19"/>
              </w:rPr>
              <w:t>43 of 2000</w:t>
            </w:r>
            <w:r>
              <w:rPr>
                <w:sz w:val="19"/>
              </w:rPr>
              <w:br/>
              <w:t>(as amended by No. 42 of 2004 s. 174)</w:t>
            </w:r>
          </w:p>
        </w:tc>
        <w:tc>
          <w:tcPr>
            <w:tcW w:w="1134"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rPr>
          <w:cantSplit/>
        </w:trPr>
        <w:tc>
          <w:tcPr>
            <w:tcW w:w="2268" w:type="dxa"/>
          </w:tcPr>
          <w:p>
            <w:pPr>
              <w:pStyle w:val="nTable"/>
              <w:spacing w:after="40"/>
              <w:ind w:right="113"/>
              <w:rPr>
                <w:i/>
                <w:sz w:val="19"/>
              </w:rPr>
            </w:pPr>
            <w:r>
              <w:rPr>
                <w:i/>
                <w:iCs/>
                <w:snapToGrid w:val="0"/>
                <w:sz w:val="19"/>
              </w:rPr>
              <w:t>Legal Profession Act 2008</w:t>
            </w:r>
            <w:r>
              <w:rPr>
                <w:i/>
                <w:snapToGrid w:val="0"/>
                <w:sz w:val="19"/>
              </w:rPr>
              <w:t xml:space="preserve"> </w:t>
            </w:r>
            <w:r>
              <w:rPr>
                <w:iCs/>
                <w:snapToGrid w:val="0"/>
                <w:sz w:val="19"/>
              </w:rPr>
              <w:t xml:space="preserve">s. 713 </w:t>
            </w:r>
            <w:r>
              <w:rPr>
                <w:iCs/>
                <w:snapToGrid w:val="0"/>
                <w:sz w:val="19"/>
                <w:vertAlign w:val="superscript"/>
              </w:rPr>
              <w:t>47</w:t>
            </w:r>
          </w:p>
        </w:tc>
        <w:tc>
          <w:tcPr>
            <w:tcW w:w="1134" w:type="dxa"/>
          </w:tcPr>
          <w:p>
            <w:pPr>
              <w:pStyle w:val="nTable"/>
              <w:keepNext/>
              <w:spacing w:after="40"/>
              <w:rPr>
                <w:sz w:val="19"/>
              </w:rPr>
            </w:pPr>
            <w:r>
              <w:rPr>
                <w:snapToGrid w:val="0"/>
                <w:sz w:val="19"/>
              </w:rPr>
              <w:t>21 of 2008</w:t>
            </w:r>
          </w:p>
        </w:tc>
        <w:tc>
          <w:tcPr>
            <w:tcW w:w="1134" w:type="dxa"/>
          </w:tcPr>
          <w:p>
            <w:pPr>
              <w:pStyle w:val="nTable"/>
              <w:keepNext/>
              <w:spacing w:after="40"/>
              <w:rPr>
                <w:sz w:val="19"/>
              </w:rPr>
            </w:pPr>
            <w:r>
              <w:rPr>
                <w:snapToGrid w:val="0"/>
                <w:sz w:val="19"/>
              </w:rPr>
              <w:t>27 May 2008</w:t>
            </w:r>
          </w:p>
        </w:tc>
        <w:tc>
          <w:tcPr>
            <w:tcW w:w="2551" w:type="dxa"/>
          </w:tcPr>
          <w:p>
            <w:pPr>
              <w:pStyle w:val="nTable"/>
              <w:keepNext/>
              <w:spacing w:after="40"/>
              <w:rPr>
                <w:sz w:val="19"/>
              </w:rPr>
            </w:pPr>
            <w:r>
              <w:rPr>
                <w:snapToGrid w:val="0"/>
                <w:sz w:val="19"/>
              </w:rPr>
              <w:t>To be proclaimed (see s. 2(b))</w:t>
            </w:r>
          </w:p>
        </w:tc>
      </w:tr>
      <w:tr>
        <w:trPr>
          <w:cantSplit/>
        </w:trPr>
        <w:tc>
          <w:tcPr>
            <w:tcW w:w="2268" w:type="dxa"/>
            <w:tcBorders>
              <w:bottom w:val="single" w:sz="4" w:space="0" w:color="auto"/>
            </w:tcBorders>
          </w:tcPr>
          <w:p>
            <w:pPr>
              <w:pStyle w:val="nTable"/>
              <w:spacing w:after="40"/>
              <w:ind w:right="113"/>
              <w:rPr>
                <w:i/>
                <w:iCs/>
                <w:snapToGrid w:val="0"/>
                <w:sz w:val="19"/>
                <w:vertAlign w:val="superscript"/>
              </w:rPr>
            </w:pPr>
            <w:r>
              <w:rPr>
                <w:i/>
                <w:snapToGrid w:val="0"/>
              </w:rPr>
              <w:t>Medical Practitioners Act 2008</w:t>
            </w:r>
            <w:r>
              <w:rPr>
                <w:iCs/>
                <w:snapToGrid w:val="0"/>
              </w:rPr>
              <w:t xml:space="preserve"> s. 162 </w:t>
            </w:r>
            <w:r>
              <w:rPr>
                <w:iCs/>
                <w:snapToGrid w:val="0"/>
                <w:vertAlign w:val="superscript"/>
              </w:rPr>
              <w:t>48</w:t>
            </w:r>
          </w:p>
        </w:tc>
        <w:tc>
          <w:tcPr>
            <w:tcW w:w="1134" w:type="dxa"/>
            <w:tcBorders>
              <w:bottom w:val="single" w:sz="4" w:space="0" w:color="auto"/>
            </w:tcBorders>
          </w:tcPr>
          <w:p>
            <w:pPr>
              <w:pStyle w:val="nTable"/>
              <w:keepNext/>
              <w:spacing w:after="40"/>
              <w:rPr>
                <w:snapToGrid w:val="0"/>
                <w:sz w:val="19"/>
              </w:rPr>
            </w:pPr>
            <w:r>
              <w:rPr>
                <w:sz w:val="19"/>
              </w:rPr>
              <w:t>22 of 2008</w:t>
            </w:r>
          </w:p>
        </w:tc>
        <w:tc>
          <w:tcPr>
            <w:tcW w:w="1134" w:type="dxa"/>
            <w:tcBorders>
              <w:bottom w:val="single" w:sz="4" w:space="0" w:color="auto"/>
            </w:tcBorders>
          </w:tcPr>
          <w:p>
            <w:pPr>
              <w:pStyle w:val="nTable"/>
              <w:keepNext/>
              <w:spacing w:after="40"/>
              <w:rPr>
                <w:snapToGrid w:val="0"/>
                <w:sz w:val="19"/>
              </w:rPr>
            </w:pPr>
            <w:r>
              <w:rPr>
                <w:sz w:val="19"/>
              </w:rPr>
              <w:t>27 May 2008</w:t>
            </w:r>
          </w:p>
        </w:tc>
        <w:tc>
          <w:tcPr>
            <w:tcW w:w="2551" w:type="dxa"/>
            <w:tcBorders>
              <w:bottom w:val="single" w:sz="4" w:space="0" w:color="auto"/>
            </w:tcBorders>
          </w:tcPr>
          <w:p>
            <w:pPr>
              <w:pStyle w:val="nTable"/>
              <w:keepNext/>
              <w:spacing w:after="40"/>
              <w:rPr>
                <w:snapToGrid w:val="0"/>
                <w:sz w:val="19"/>
              </w:rPr>
            </w:pPr>
            <w:r>
              <w:rPr>
                <w:sz w:val="19"/>
              </w:rPr>
              <w:t>To be proclaimed (see s. 2)</w:t>
            </w:r>
          </w:p>
        </w:tc>
      </w:tr>
    </w:tbl>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44.)</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44). </w:t>
      </w:r>
    </w:p>
    <w:p>
      <w:pPr>
        <w:pStyle w:val="nSubsection"/>
        <w:rPr>
          <w:snapToGrid w:val="0"/>
        </w:rPr>
      </w:pPr>
      <w:r>
        <w:rPr>
          <w:vertAlign w:val="superscript"/>
        </w:rPr>
        <w:t>4</w:t>
      </w:r>
      <w:r>
        <w:tab/>
      </w:r>
      <w:r>
        <w:rPr>
          <w:snapToGrid w:val="0"/>
        </w:rPr>
        <w:t xml:space="preserve">The </w:t>
      </w:r>
      <w:r>
        <w:rPr>
          <w:i/>
          <w:snapToGrid w:val="0"/>
        </w:rPr>
        <w:t>Workers’ Compensation Legislation Amendment Act 2005</w:t>
      </w:r>
      <w:r>
        <w:rPr>
          <w:snapToGrid w:val="0"/>
        </w:rPr>
        <w:t xml:space="preserve"> s. 9(2) reads as follows:</w:t>
      </w:r>
    </w:p>
    <w:p>
      <w:pPr>
        <w:pStyle w:val="MiscOpen"/>
        <w:rPr>
          <w:snapToGrid w:val="0"/>
        </w:rPr>
      </w:pPr>
      <w:r>
        <w:rPr>
          <w:snapToGrid w:val="0"/>
        </w:rPr>
        <w:t>“</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See </w:t>
      </w:r>
      <w:r>
        <w:rPr>
          <w:i/>
          <w:snapToGrid w:val="0"/>
        </w:rPr>
        <w:t>Workplace Relations Act 1996</w:t>
      </w:r>
      <w:r>
        <w:rPr>
          <w:snapToGrid w:val="0"/>
        </w:rPr>
        <w:t xml:space="preserve"> of the Commonwealth.</w:t>
      </w:r>
    </w:p>
    <w:p>
      <w:pPr>
        <w:pStyle w:val="nSubsection"/>
        <w:rPr>
          <w:snapToGrid w:val="0"/>
        </w:rPr>
      </w:pPr>
      <w:r>
        <w:rPr>
          <w:snapToGrid w:val="0"/>
          <w:vertAlign w:val="superscript"/>
        </w:rPr>
        <w:t>6</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7</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rPr>
          <w:snapToGrid w:val="0"/>
        </w:rPr>
      </w:pPr>
      <w:r>
        <w:rPr>
          <w:snapToGrid w:val="0"/>
          <w:vertAlign w:val="superscript"/>
        </w:rPr>
        <w:t>9</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10</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keepNext/>
        <w:keepLines/>
        <w:rPr>
          <w:snapToGrid w:val="0"/>
        </w:rPr>
      </w:pPr>
      <w:r>
        <w:rPr>
          <w:snapToGrid w:val="0"/>
          <w:vertAlign w:val="superscript"/>
        </w:rPr>
        <w:t>11</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MiscOpen"/>
      </w:pPr>
      <w:r>
        <w:t>“</w:t>
      </w:r>
    </w:p>
    <w:p>
      <w:pPr>
        <w:pStyle w:val="nzHeading5"/>
        <w:spacing w:before="0"/>
      </w:pPr>
      <w:r>
        <w:rPr>
          <w:rStyle w:val="CharSectno"/>
        </w:rPr>
        <w:t>74</w:t>
      </w:r>
      <w:r>
        <w:t>.</w:t>
      </w:r>
      <w:r>
        <w:tab/>
      </w:r>
      <w:r>
        <w:rPr>
          <w:i/>
        </w:rPr>
        <w:t>Workers’ Compensation and Injury Management Act 1981</w:t>
      </w:r>
      <w:r>
        <w:t xml:space="preserve"> amended</w:t>
      </w:r>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MiscClose"/>
        <w:rPr>
          <w:snapToGrid w:val="0"/>
        </w:rPr>
      </w:pPr>
      <w:r>
        <w:t>”.</w:t>
      </w:r>
    </w:p>
    <w:p>
      <w:pPr>
        <w:pStyle w:val="nSubsection"/>
        <w:rPr>
          <w:snapToGrid w:val="0"/>
        </w:rPr>
      </w:pPr>
      <w:r>
        <w:rPr>
          <w:snapToGrid w:val="0"/>
          <w:vertAlign w:val="superscript"/>
        </w:rPr>
        <w:t>12</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13</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keepNext/>
        <w:spacing w:before="120"/>
        <w:rPr>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4(2) reads as follows: </w:t>
      </w:r>
    </w:p>
    <w:p>
      <w:pPr>
        <w:pStyle w:val="MiscOpen"/>
        <w:rPr>
          <w:snapToGrid w:val="0"/>
        </w:rPr>
      </w:pPr>
      <w:r>
        <w:rPr>
          <w:snapToGrid w:val="0"/>
        </w:rPr>
        <w:t>“</w:t>
      </w:r>
    </w:p>
    <w:p>
      <w:pPr>
        <w:pStyle w:val="nzSubsection"/>
        <w:keepLines/>
        <w:spacing w:before="0"/>
        <w:rPr>
          <w:snapToGrid w:val="0"/>
        </w:rPr>
      </w:pPr>
      <w:r>
        <w:rPr>
          <w:snapToGrid w:val="0"/>
        </w:rPr>
        <w:tab/>
        <w:t>(2)</w:t>
      </w:r>
      <w:r>
        <w:rPr>
          <w:snapToGrid w:val="0"/>
        </w:rPr>
        <w:tab/>
        <w:t>Nothing in this section in any way affects or limits the operation of the principal Act in relation to a disability to or the death of a person if that person, at any time before the coming into operation of this section, received compensation under the principal Act in respect of that disability or death and the principal Act shall continue to apply to the liability for and the right to compensation in respect of that disability or death as if this section had not been enacted.</w:t>
      </w:r>
    </w:p>
    <w:p>
      <w:pPr>
        <w:pStyle w:val="nSubsection"/>
        <w:keepNext/>
        <w:spacing w:before="120"/>
        <w:rPr>
          <w:snapToGrid w:val="0"/>
        </w:rPr>
      </w:pPr>
      <w:r>
        <w:rPr>
          <w:snapToGrid w:val="0"/>
          <w:vertAlign w:val="superscript"/>
        </w:rPr>
        <w:t>15</w:t>
      </w:r>
      <w:r>
        <w:rPr>
          <w:snapToGrid w:val="0"/>
        </w:rPr>
        <w:tab/>
        <w:t xml:space="preserve">The </w:t>
      </w:r>
      <w:r>
        <w:rPr>
          <w:i/>
          <w:snapToGrid w:val="0"/>
        </w:rPr>
        <w:t>Workers’ Compensation and Assistance Amendment Act 1985</w:t>
      </w:r>
      <w:r>
        <w:rPr>
          <w:snapToGrid w:val="0"/>
        </w:rPr>
        <w:t xml:space="preserve"> s. 23(2)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41(2)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MiscClose"/>
        <w:rPr>
          <w:snapToGrid w:val="0"/>
        </w:rPr>
      </w:pPr>
      <w:r>
        <w:rPr>
          <w:snapToGrid w:val="0"/>
        </w:rPr>
        <w:t>”.</w:t>
      </w:r>
    </w:p>
    <w:p>
      <w:pPr>
        <w:pStyle w:val="nSubsection"/>
        <w:spacing w:before="120"/>
        <w:rPr>
          <w:snapToGrid w:val="0"/>
        </w:rPr>
      </w:pPr>
      <w:r>
        <w:rPr>
          <w:snapToGrid w:val="0"/>
          <w:vertAlign w:val="superscript"/>
        </w:rPr>
        <w:t>17</w:t>
      </w:r>
      <w:r>
        <w:rPr>
          <w:snapToGrid w:val="0"/>
        </w:rPr>
        <w:tab/>
        <w:t xml:space="preserve">The </w:t>
      </w:r>
      <w:r>
        <w:rPr>
          <w:i/>
          <w:snapToGrid w:val="0"/>
        </w:rPr>
        <w:t>Workers’ Compensation and Assistance Amendment Act 1988</w:t>
      </w:r>
      <w:r>
        <w:rPr>
          <w:snapToGrid w:val="0"/>
        </w:rPr>
        <w:t xml:space="preserve"> repealed s. 10</w:t>
      </w:r>
      <w:r>
        <w:rPr>
          <w:snapToGrid w:val="0"/>
        </w:rPr>
        <w:noBreakHyphen/>
        <w:t xml:space="preserve">12, 19, 44 and 45 of the </w:t>
      </w:r>
      <w:r>
        <w:rPr>
          <w:i/>
          <w:snapToGrid w:val="0"/>
        </w:rPr>
        <w:t>Workers’ Compensation and Assistance Amendment Act 1985</w:t>
      </w:r>
      <w:r>
        <w:rPr>
          <w:snapToGrid w:val="0"/>
        </w:rPr>
        <w:t xml:space="preserve"> and the </w:t>
      </w:r>
      <w:r>
        <w:rPr>
          <w:i/>
          <w:snapToGrid w:val="0"/>
        </w:rPr>
        <w:t>Workers’ Compensation and Assistance Amendment Act 1990</w:t>
      </w:r>
      <w:r>
        <w:rPr>
          <w:snapToGrid w:val="0"/>
        </w:rPr>
        <w:t xml:space="preserve"> s. 30(2) repealed s. 30(2) of the 1985 Act.</w:t>
      </w:r>
    </w:p>
    <w:p>
      <w:pPr>
        <w:pStyle w:val="nSubsection"/>
        <w:rPr>
          <w:snapToGrid w:val="0"/>
        </w:rPr>
      </w:pPr>
      <w:r>
        <w:rPr>
          <w:snapToGrid w:val="0"/>
          <w:vertAlign w:val="superscript"/>
        </w:rPr>
        <w:t>18</w:t>
      </w:r>
      <w:r>
        <w:rPr>
          <w:snapToGrid w:val="0"/>
        </w:rPr>
        <w:tab/>
        <w:t xml:space="preserve">The </w:t>
      </w:r>
      <w:r>
        <w:rPr>
          <w:i/>
          <w:snapToGrid w:val="0"/>
        </w:rPr>
        <w:t>Workers’ Compensation and Assistance Amendment Act 1986</w:t>
      </w:r>
      <w:r>
        <w:rPr>
          <w:snapToGrid w:val="0"/>
        </w:rPr>
        <w:t xml:space="preserve"> s. 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rPr>
          <w:snapToGrid w:val="0"/>
        </w:rPr>
      </w:pPr>
      <w:r>
        <w:rPr>
          <w:snapToGrid w:val="0"/>
          <w:vertAlign w:val="superscript"/>
        </w:rPr>
        <w:t>20</w:t>
      </w:r>
      <w:r>
        <w:rPr>
          <w:snapToGrid w:val="0"/>
        </w:rPr>
        <w:tab/>
        <w:t xml:space="preserve">The </w:t>
      </w:r>
      <w:r>
        <w:rPr>
          <w:i/>
          <w:snapToGrid w:val="0"/>
        </w:rPr>
        <w:t>Workers’ Compensation and Assistance Amendment Act 1990</w:t>
      </w:r>
      <w:r>
        <w:rPr>
          <w:snapToGrid w:val="0"/>
        </w:rPr>
        <w:t xml:space="preserve"> s. 30(2)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 xml:space="preserve">The specification by the Committee of a category under section 151(c) of the principal Act as in force before the commencement of this section is of no further effect, and section 30(2) of the </w:t>
      </w:r>
      <w:r>
        <w:rPr>
          <w:i/>
          <w:snapToGrid w:val="0"/>
        </w:rPr>
        <w:t>Workers’ Compensation and Assistance Amendment Act 1985</w:t>
      </w:r>
      <w:r>
        <w:rPr>
          <w:snapToGrid w:val="0"/>
        </w:rPr>
        <w:t xml:space="preserve"> is repealed.</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The </w:t>
      </w:r>
      <w:r>
        <w:rPr>
          <w:i/>
          <w:snapToGrid w:val="0"/>
        </w:rPr>
        <w:t>Workers’ Compensation and Assistance Amendment Act 1990</w:t>
      </w:r>
      <w:r>
        <w:rPr>
          <w:snapToGrid w:val="0"/>
        </w:rPr>
        <w:t xml:space="preserve"> s. 48(2)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50 reads as follows: </w:t>
      </w:r>
    </w:p>
    <w:p>
      <w:pPr>
        <w:pStyle w:val="MiscOpen"/>
        <w:rPr>
          <w:snapToGrid w:val="0"/>
        </w:rPr>
      </w:pPr>
      <w:r>
        <w:rPr>
          <w:snapToGrid w:val="0"/>
        </w:rPr>
        <w:t>“</w:t>
      </w: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MiscClose"/>
        <w:rPr>
          <w:snapToGrid w:val="0"/>
        </w:rPr>
      </w:pPr>
      <w:r>
        <w:rPr>
          <w:snapToGrid w:val="0"/>
        </w:rPr>
        <w:t>”.</w:t>
      </w:r>
    </w:p>
    <w:p>
      <w:pPr>
        <w:pStyle w:val="nSubsection"/>
        <w:keepNext/>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51 reads as follows: </w:t>
      </w:r>
    </w:p>
    <w:p>
      <w:pPr>
        <w:pStyle w:val="MiscOpen"/>
        <w:rPr>
          <w:snapToGrid w:val="0"/>
          <w:highlight w:val="cyan"/>
        </w:rPr>
      </w:pPr>
      <w:r>
        <w:rPr>
          <w:snapToGrid w:val="0"/>
        </w:rPr>
        <w:t>“</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MiscClose"/>
        <w:rPr>
          <w:snapToGrid w:val="0"/>
        </w:rPr>
      </w:pPr>
      <w:r>
        <w:rPr>
          <w:snapToGrid w:val="0"/>
        </w:rPr>
        <w:t>”.</w:t>
      </w:r>
    </w:p>
    <w:p>
      <w:pPr>
        <w:pStyle w:val="nSubsection"/>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pStyle w:val="MiscOpen"/>
        <w:rPr>
          <w:snapToGrid w:val="0"/>
        </w:rPr>
      </w:pPr>
      <w:r>
        <w:rPr>
          <w:snapToGrid w:val="0"/>
        </w:rPr>
        <w:t>“</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pStyle w:val="MiscOpen"/>
        <w:rPr>
          <w:snapToGrid w:val="0"/>
        </w:rPr>
      </w:pPr>
      <w:r>
        <w:rPr>
          <w:snapToGrid w:val="0"/>
        </w:rPr>
        <w:t>“</w:t>
      </w:r>
    </w:p>
    <w:p>
      <w:pPr>
        <w:pStyle w:val="nzHeading3"/>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r>
      <w:r>
        <w:rPr>
          <w:rStyle w:val="CharDefText"/>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Next w:val="0"/>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keepNext/>
        <w:keepLines/>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keepNext/>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Lines w:val="0"/>
        <w:rPr>
          <w:snapToGrid w:val="0"/>
        </w:rPr>
      </w:pPr>
      <w:r>
        <w:rPr>
          <w:snapToGrid w:val="0"/>
        </w:rPr>
        <w:t>12.</w:t>
      </w:r>
      <w:r>
        <w:rPr>
          <w:snapToGrid w:val="0"/>
        </w:rPr>
        <w:tab/>
        <w:t xml:space="preserve">Offer to settle </w:t>
      </w:r>
    </w:p>
    <w:p>
      <w:pPr>
        <w:pStyle w:val="nzSubsection"/>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pStyle w:val="MiscOpen"/>
        <w:rPr>
          <w:snapToGrid w:val="0"/>
        </w:rPr>
      </w:pPr>
      <w:r>
        <w:rPr>
          <w:snapToGrid w:val="0"/>
        </w:rPr>
        <w:t>“</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MiscClose"/>
        <w:rPr>
          <w:snapToGrid w:val="0"/>
        </w:rPr>
      </w:pPr>
      <w:r>
        <w:rPr>
          <w:snapToGrid w:val="0"/>
        </w:rPr>
        <w:t>”.</w:t>
      </w:r>
    </w:p>
    <w:p>
      <w:pPr>
        <w:pStyle w:val="nSubsection"/>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pStyle w:val="MiscOpen"/>
        <w:rPr>
          <w:snapToGrid w:val="0"/>
          <w:highlight w:val="cyan"/>
        </w:rPr>
      </w:pPr>
      <w:r>
        <w:rPr>
          <w:snapToGrid w:val="0"/>
        </w:rPr>
        <w:t>“</w:t>
      </w:r>
    </w:p>
    <w:p>
      <w:pPr>
        <w:pStyle w:val="nzSubsection"/>
        <w:rPr>
          <w:snapToGrid w:val="0"/>
        </w:rPr>
      </w:pPr>
      <w:r>
        <w:rPr>
          <w:snapToGrid w:val="0"/>
        </w:rPr>
        <w:tab/>
        <w:t>(2)</w:t>
      </w:r>
      <w:r>
        <w:rPr>
          <w:snapToGrid w:val="0"/>
        </w:rPr>
        <w:tab/>
        <w:t>The amendments made by subsection (1) have effect on and from 1 July 1993.</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pStyle w:val="MiscOpen"/>
        <w:keepNext w:val="0"/>
        <w:keepLines w:val="0"/>
        <w:rPr>
          <w:snapToGrid w:val="0"/>
        </w:rPr>
      </w:pPr>
      <w:r>
        <w:rPr>
          <w:snapToGrid w:val="0"/>
        </w:rPr>
        <w:t>“</w:t>
      </w:r>
    </w:p>
    <w:p>
      <w:pPr>
        <w:pStyle w:val="nzSubsection"/>
        <w:rPr>
          <w:snapToGrid w:val="0"/>
        </w:rPr>
      </w:pPr>
      <w:r>
        <w:rPr>
          <w:snapToGrid w:val="0"/>
        </w:rPr>
        <w:tab/>
        <w:t>(2)</w:t>
      </w:r>
      <w:r>
        <w:rPr>
          <w:snapToGrid w:val="0"/>
        </w:rPr>
        <w:tab/>
        <w:t>The amendments made by subsection (1) have effect on and from 1 July 1993.</w:t>
      </w:r>
    </w:p>
    <w:p>
      <w:pPr>
        <w:pStyle w:val="MiscClose"/>
        <w:keepLines w:val="0"/>
        <w:rPr>
          <w:snapToGrid w:val="0"/>
        </w:rPr>
      </w:pPr>
      <w:r>
        <w:rPr>
          <w:snapToGrid w:val="0"/>
        </w:rPr>
        <w:t>”.</w:t>
      </w:r>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pStyle w:val="MiscOpen"/>
        <w:spacing w:before="60"/>
        <w:rPr>
          <w:snapToGrid w:val="0"/>
        </w:rPr>
      </w:pPr>
      <w:r>
        <w:rPr>
          <w:snapToGrid w:val="0"/>
        </w:rPr>
        <w:t>“</w:t>
      </w: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r>
      <w:r>
        <w:rPr>
          <w:rStyle w:val="CharDefText"/>
        </w:rPr>
        <w:t>Board</w:t>
      </w:r>
      <w:r>
        <w:rPr>
          <w:b/>
        </w:rPr>
        <w:t xml:space="preserve"> </w:t>
      </w:r>
      <w:r>
        <w:t>has the meaning given to that expression by the principal Act as in force immediately before the commencement of section 24;</w:t>
      </w:r>
    </w:p>
    <w:p>
      <w:pPr>
        <w:pStyle w:val="nzDefstart"/>
      </w:pPr>
      <w:r>
        <w:rPr>
          <w:b/>
        </w:rPr>
        <w:tab/>
      </w:r>
      <w:r>
        <w:rPr>
          <w:rStyle w:val="CharDefText"/>
        </w:rPr>
        <w:t>Director</w:t>
      </w:r>
      <w:r>
        <w:rPr>
          <w:b/>
        </w:rPr>
        <w:t xml:space="preserve"> </w:t>
      </w:r>
      <w:r>
        <w:t>has the meaning given to that expression by the principal Act as amended by section 21.</w:t>
      </w:r>
    </w:p>
    <w:p>
      <w:pPr>
        <w:pStyle w:val="MiscClose"/>
        <w:rPr>
          <w:snapToGrid w:val="0"/>
        </w:rPr>
      </w:pPr>
      <w:r>
        <w:rPr>
          <w:snapToGrid w:val="0"/>
        </w:rPr>
        <w:t>”.</w:t>
      </w:r>
    </w:p>
    <w:p>
      <w:pPr>
        <w:pStyle w:val="nSubsection"/>
        <w:keepNext/>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MiscClose"/>
        <w:rPr>
          <w:snapToGrid w:val="0"/>
        </w:rPr>
      </w:pPr>
      <w:r>
        <w:rPr>
          <w:snapToGrid w:val="0"/>
        </w:rPr>
        <w:t>”.</w:t>
      </w:r>
    </w:p>
    <w:p>
      <w:pPr>
        <w:pStyle w:val="nSubsection"/>
        <w:rPr>
          <w:snapToGrid w:val="0"/>
        </w:rPr>
      </w:pPr>
      <w:r>
        <w:rPr>
          <w:snapToGrid w:val="0"/>
          <w:vertAlign w:val="superscript"/>
        </w:rPr>
        <w:t>31</w:t>
      </w:r>
      <w:r>
        <w:rPr>
          <w:snapToGrid w:val="0"/>
        </w:rPr>
        <w:tab/>
        <w:t xml:space="preserve">The </w:t>
      </w:r>
      <w:r>
        <w:rPr>
          <w:i/>
          <w:snapToGrid w:val="0"/>
        </w:rPr>
        <w:t>Workers’ Compensation and Rehabilitation Amendment Act 1993</w:t>
      </w:r>
      <w:r>
        <w:rPr>
          <w:snapToGrid w:val="0"/>
        </w:rPr>
        <w:t xml:space="preserve"> Sch. 1 cl. 30 amended section 73(1), (4) and (6), however those amendments were made redundant by the amendments effected by clause 16 of that Schedule.</w:t>
      </w:r>
    </w:p>
    <w:p>
      <w:pPr>
        <w:pStyle w:val="nSubsection"/>
        <w:rPr>
          <w:snapToGrid w:val="0"/>
        </w:rPr>
      </w:pPr>
      <w:r>
        <w:rPr>
          <w:snapToGrid w:val="0"/>
          <w:vertAlign w:val="superscript"/>
        </w:rPr>
        <w:t>32</w:t>
      </w:r>
      <w:r>
        <w:rPr>
          <w:snapToGrid w:val="0"/>
        </w:rPr>
        <w:tab/>
        <w:t xml:space="preserve">The </w:t>
      </w:r>
      <w:r>
        <w:rPr>
          <w:i/>
          <w:snapToGrid w:val="0"/>
        </w:rPr>
        <w:t>Workers’ Compensation and Rehabilitation Amendment Act 1993</w:t>
      </w:r>
      <w:r>
        <w:rPr>
          <w:snapToGrid w:val="0"/>
        </w:rPr>
        <w:t xml:space="preserve"> Sch. 1 cl. 30 amended Schedule 7 clauses 6(1)(a), 6(2)(a) and 8(3), however those amendments were made redundant by the amendments effected by clause 27 of the first</w:t>
      </w:r>
      <w:r>
        <w:rPr>
          <w:snapToGrid w:val="0"/>
        </w:rPr>
        <w:noBreakHyphen/>
        <w:t>mentioned Schedule.</w:t>
      </w:r>
    </w:p>
    <w:p>
      <w:pPr>
        <w:pStyle w:val="nSubsection"/>
      </w:pPr>
      <w:r>
        <w:rPr>
          <w:snapToGrid w:val="0"/>
          <w:vertAlign w:val="superscript"/>
        </w:rPr>
        <w:t>33</w:t>
      </w:r>
      <w:r>
        <w:rPr>
          <w:snapToGrid w:val="0"/>
        </w:rPr>
        <w:tab/>
      </w:r>
      <w:r>
        <w:t xml:space="preserve">The </w:t>
      </w:r>
      <w:r>
        <w:rPr>
          <w:i/>
        </w:rPr>
        <w:t>Workers’ Compensation and Rehabilitation Amendment Act (No. 2) 1999</w:t>
      </w:r>
      <w:r>
        <w:t xml:space="preserve"> s. 7(3) reads as follows:</w:t>
      </w:r>
    </w:p>
    <w:p>
      <w:pPr>
        <w:pStyle w:val="MiscOpen"/>
        <w:spacing w:before="60"/>
      </w:pPr>
      <w:r>
        <w:t>“</w:t>
      </w:r>
    </w:p>
    <w:p>
      <w:pPr>
        <w:pStyle w:val="nzSubsection"/>
        <w:spacing w:before="0"/>
      </w:pPr>
      <w:r>
        <w:tab/>
        <w:t>(3)</w:t>
      </w:r>
      <w:r>
        <w:tab/>
        <w:t xml:space="preserve">For the purposes of section 84E(1)(aa) of the </w:t>
      </w:r>
      <w:r>
        <w:rPr>
          <w:i/>
        </w:rPr>
        <w:t>Workers’ Compensation and Rehabilitation Act 1981</w:t>
      </w:r>
      <w:r>
        <w:t xml:space="preserve"> as inserted by subsection (2), the making of an order under section 67(2) or (3) of that Act as in force before the commencement of this Act is to be regarded as constituting the recording of a memorandum of agreement under section 76 of that Act.</w:t>
      </w:r>
    </w:p>
    <w:p>
      <w:pPr>
        <w:pStyle w:val="MiscClose"/>
        <w:rPr>
          <w:snapToGrid w:val="0"/>
        </w:rPr>
      </w:pPr>
      <w:r>
        <w:t>”.</w:t>
      </w:r>
    </w:p>
    <w:p>
      <w:pPr>
        <w:pStyle w:val="nSubsection"/>
      </w:pPr>
      <w:r>
        <w:rPr>
          <w:snapToGrid w:val="0"/>
          <w:vertAlign w:val="superscript"/>
        </w:rPr>
        <w:t>34</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MiscOpen"/>
      </w:pPr>
      <w:r>
        <w:t>“</w:t>
      </w:r>
    </w:p>
    <w:p>
      <w:pPr>
        <w:pStyle w:val="nzSubsection"/>
        <w:spacing w:before="0"/>
      </w:pPr>
      <w:r>
        <w:tab/>
        <w:t>(6)</w:t>
      </w:r>
      <w:r>
        <w:tab/>
        <w:t xml:space="preserve">In subsections (7) and (8) — </w:t>
      </w:r>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pPr>
      <w:r>
        <w:tab/>
        <w:t>(b)</w:t>
      </w:r>
      <w:r>
        <w:tab/>
        <w:t>were ordered by a dispute resolution body to commence before the assent day,</w:t>
      </w:r>
    </w:p>
    <w:p>
      <w:pPr>
        <w:pStyle w:val="nzSubsection"/>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MiscClose"/>
      </w:pPr>
      <w:r>
        <w:t>”.</w:t>
      </w:r>
    </w:p>
    <w:p>
      <w:pPr>
        <w:pStyle w:val="nSubsection"/>
        <w:keepNext/>
      </w:pPr>
      <w:r>
        <w:rPr>
          <w:snapToGrid w:val="0"/>
          <w:vertAlign w:val="superscript"/>
        </w:rPr>
        <w:t>35</w:t>
      </w:r>
      <w:r>
        <w:rPr>
          <w:snapToGrid w:val="0"/>
        </w:rPr>
        <w:tab/>
      </w:r>
      <w:r>
        <w:t xml:space="preserve">The </w:t>
      </w:r>
      <w:r>
        <w:rPr>
          <w:i/>
        </w:rPr>
        <w:t>Workers’ Compensation and Rehabilitation Amendment Act 1999</w:t>
      </w:r>
      <w:r>
        <w:t xml:space="preserve"> s. 46(2), (3) and (4) read as follows:</w:t>
      </w:r>
    </w:p>
    <w:p>
      <w:pPr>
        <w:pStyle w:val="MiscOpen"/>
      </w:pPr>
      <w:r>
        <w:t>“</w:t>
      </w:r>
    </w:p>
    <w:p>
      <w:pPr>
        <w:pStyle w:val="nzSubsection"/>
        <w:keepNext/>
        <w:spacing w:before="0"/>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pPr>
      <w:r>
        <w:tab/>
        <w:t>(3)</w:t>
      </w:r>
      <w:r>
        <w:tab/>
        <w:t>If —</w:t>
      </w:r>
    </w:p>
    <w:p>
      <w:pPr>
        <w:pStyle w:val="nzIndenta"/>
      </w:pPr>
      <w:r>
        <w:tab/>
        <w:t>(a)</w:t>
      </w:r>
      <w:r>
        <w:tab/>
        <w:t>a requirement made under the former section 103 by a person referred to in subsection (2)(a); or</w:t>
      </w:r>
    </w:p>
    <w:p>
      <w:pPr>
        <w:pStyle w:val="nzIndenta"/>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pStyle w:val="MiscClose"/>
        <w:rPr>
          <w:snapToGrid w:val="0"/>
        </w:rPr>
      </w:pPr>
      <w:r>
        <w:t>”.</w:t>
      </w:r>
    </w:p>
    <w:p>
      <w:pPr>
        <w:pStyle w:val="nSubsection"/>
        <w:keepNext/>
      </w:pPr>
      <w:r>
        <w:rPr>
          <w:vertAlign w:val="superscript"/>
        </w:rPr>
        <w:t>36</w:t>
      </w:r>
      <w:r>
        <w:tab/>
        <w:t xml:space="preserve">The </w:t>
      </w:r>
      <w:r>
        <w:rPr>
          <w:i/>
        </w:rPr>
        <w:t>Workers’ Compensation and Rehabilitation Amendment Act 1999</w:t>
      </w:r>
      <w:r>
        <w:t xml:space="preserve"> s. 56(2) reads as follows:</w:t>
      </w:r>
    </w:p>
    <w:p>
      <w:pPr>
        <w:pStyle w:val="MiscOpen"/>
      </w:pPr>
      <w:r>
        <w:t>“</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MiscClose"/>
        <w:rPr>
          <w:snapToGrid w:val="0"/>
          <w:vertAlign w:val="superscript"/>
        </w:rPr>
      </w:pPr>
      <w:r>
        <w:t>”.</w:t>
      </w:r>
    </w:p>
    <w:p>
      <w:pPr>
        <w:pStyle w:val="nSubsection"/>
        <w:keepNext/>
      </w:pPr>
      <w:r>
        <w:rPr>
          <w:vertAlign w:val="superscript"/>
        </w:rPr>
        <w:t>37</w:t>
      </w:r>
      <w:r>
        <w:tab/>
        <w:t xml:space="preserve">The </w:t>
      </w:r>
      <w:r>
        <w:rPr>
          <w:i/>
        </w:rPr>
        <w:t>Racing and Gambling Legislation Amendment and Repeal Act 2003</w:t>
      </w:r>
      <w:r>
        <w:t xml:space="preserve"> s. 19 reads as follows:</w:t>
      </w:r>
    </w:p>
    <w:p>
      <w:pPr>
        <w:pStyle w:val="MiscOpen"/>
      </w:pPr>
      <w:r>
        <w:t>“</w:t>
      </w:r>
    </w:p>
    <w:p>
      <w:pPr>
        <w:pStyle w:val="nzHeading5"/>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pStyle w:val="MiscClose"/>
      </w:pPr>
      <w:r>
        <w:t>”.</w:t>
      </w:r>
    </w:p>
    <w:p>
      <w:pPr>
        <w:pStyle w:val="nSubsection"/>
      </w:pPr>
      <w:r>
        <w:rPr>
          <w:vertAlign w:val="superscript"/>
        </w:rPr>
        <w:t>38</w:t>
      </w:r>
      <w:r>
        <w:tab/>
        <w:t xml:space="preserve">The </w:t>
      </w:r>
      <w:r>
        <w:rPr>
          <w:i/>
        </w:rPr>
        <w:t>Workers’ Compensation and Rehabilitation Amendment (Cross Border) Act 2004</w:t>
      </w:r>
      <w:r>
        <w:t xml:space="preserve"> Pt. 2 Div. 2 (as amended by this Act s. 16, 17(5) and 19) reads as follows:</w:t>
      </w:r>
    </w:p>
    <w:p>
      <w:pPr>
        <w:pStyle w:val="MiscOpen"/>
        <w:rPr>
          <w:highlight w:val="cyan"/>
        </w:rPr>
      </w:pPr>
      <w:r>
        <w:t>“</w:t>
      </w: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pPr>
      <w:r>
        <w:tab/>
        <w:t>(2)</w:t>
      </w:r>
      <w:r>
        <w:tab/>
        <w:t>The amendments do not apply in respect of an injury that occurred before the commencement day, and the principal Act applies in respect of such an injury as if the amendments had not been made.</w:t>
      </w:r>
    </w:p>
    <w:p>
      <w:pPr>
        <w:pStyle w:val="nzSubsection"/>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MiscClose"/>
      </w:pPr>
      <w:r>
        <w:t>”.</w:t>
      </w:r>
    </w:p>
    <w:p>
      <w:pPr>
        <w:pStyle w:val="nSubsection"/>
        <w:rPr>
          <w:i/>
        </w:rPr>
      </w:pPr>
      <w:r>
        <w:rPr>
          <w:vertAlign w:val="superscript"/>
        </w:rPr>
        <w:t>39</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MiscOpen"/>
      </w:pPr>
      <w:r>
        <w:t>“</w:t>
      </w: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“Director” in the amended Act;</w:t>
      </w:r>
    </w:p>
    <w:p>
      <w:pPr>
        <w:pStyle w:val="nzDefstart"/>
        <w:spacing w:before="100"/>
      </w:pPr>
      <w:r>
        <w:tab/>
      </w:r>
      <w:r>
        <w:rPr>
          <w:rStyle w:val="CharDefText"/>
        </w:rPr>
        <w:t>Director of Conciliation and Review</w:t>
      </w:r>
      <w:r>
        <w:t xml:space="preserve"> has the meaning given to “Director” in the principal Act;</w:t>
      </w:r>
    </w:p>
    <w:p>
      <w:pPr>
        <w:pStyle w:val="nzDefstart"/>
        <w:keepNext/>
        <w:keepLines/>
        <w:spacing w:before="100"/>
      </w:pPr>
      <w:r>
        <w:rPr>
          <w:b/>
        </w:rPr>
        <w:tab/>
      </w:r>
      <w:r>
        <w:rPr>
          <w:rStyle w:val="CharDefText"/>
        </w:rPr>
        <w:t>pending proceeding</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pPr>
      <w:r>
        <w:tab/>
        <w:t>(1)</w:t>
      </w:r>
      <w:r>
        <w:tab/>
        <w:t xml:space="preserve">In this section — </w:t>
      </w:r>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rStyle w:val="CharDefText"/>
          <w:snapToGrid w:val="0"/>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r>
      <w:r>
        <w:rPr>
          <w:rStyle w:val="CharDefText"/>
        </w:rPr>
        <w:t>WorkCover WA</w:t>
      </w:r>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pStyle w:val="MiscClose"/>
      </w:pPr>
      <w:r>
        <w:t>”.</w:t>
      </w:r>
    </w:p>
    <w:p>
      <w:pPr>
        <w:pStyle w:val="nSubsection"/>
      </w:pPr>
      <w:r>
        <w:rPr>
          <w:vertAlign w:val="superscript"/>
        </w:rPr>
        <w:t>40</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r>
        <w:rPr>
          <w:vertAlign w:val="superscript"/>
        </w:rPr>
        <w:t>41</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42</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by the </w:t>
      </w:r>
      <w:r>
        <w:rPr>
          <w:i/>
          <w:iCs/>
        </w:rPr>
        <w:t xml:space="preserve">Criminal Law and Evidence Amendment Act 2008 </w:t>
      </w:r>
      <w:r>
        <w:t>s. 78(10).</w:t>
      </w:r>
    </w:p>
    <w:p>
      <w:pPr>
        <w:pStyle w:val="nSubsection"/>
      </w:pPr>
      <w:r>
        <w:rPr>
          <w:vertAlign w:val="superscript"/>
        </w:rPr>
        <w:t>43</w:t>
      </w:r>
      <w:r>
        <w:tab/>
        <w:t xml:space="preserve">The </w:t>
      </w:r>
      <w:r>
        <w:rPr>
          <w:i/>
        </w:rPr>
        <w:t xml:space="preserve">Workers’ Compensation Legislation Amendment Act 2005 </w:t>
      </w:r>
      <w:r>
        <w:t>s. 30(3) reads as follows:</w:t>
      </w:r>
    </w:p>
    <w:p>
      <w:pPr>
        <w:pStyle w:val="MiscOpen"/>
      </w:pPr>
      <w:r>
        <w:t>“</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MiscClose"/>
      </w:pPr>
      <w:r>
        <w:t>”.</w:t>
      </w:r>
    </w:p>
    <w:p>
      <w:pPr>
        <w:pStyle w:val="nSubsection"/>
        <w:keepNext/>
        <w:spacing w:before="120"/>
        <w:rPr>
          <w:snapToGrid w:val="0"/>
        </w:rPr>
      </w:pPr>
      <w:r>
        <w:rPr>
          <w:snapToGrid w:val="0"/>
          <w:vertAlign w:val="superscript"/>
        </w:rPr>
        <w:t>44</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pStyle w:val="MiscOpen"/>
      </w:pPr>
      <w:r>
        <w:t>“</w:t>
      </w: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93"/>
                <w:tab w:val="left" w:pos="1418"/>
              </w:tabs>
              <w:ind w:left="1418" w:right="567" w:hanging="1134"/>
            </w:pPr>
            <w:r>
              <w:tab/>
            </w:r>
            <w:r>
              <w:rPr>
                <w:b/>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MiscClose"/>
      </w:pPr>
      <w:r>
        <w:t>”.</w:t>
      </w:r>
    </w:p>
    <w:p>
      <w:pPr>
        <w:pStyle w:val="nSubsection"/>
        <w:rPr>
          <w:iCs/>
          <w:snapToGrid w:val="0"/>
        </w:rPr>
      </w:pPr>
      <w:r>
        <w:rPr>
          <w:vertAlign w:val="superscript"/>
        </w:rPr>
        <w:t>45</w:t>
      </w:r>
      <w:r>
        <w:rPr>
          <w:snapToGrid w:val="0"/>
        </w:rPr>
        <w:tab/>
        <w:t xml:space="preserve">The amendment in the </w:t>
      </w:r>
      <w:r>
        <w:rPr>
          <w:i/>
          <w:iCs/>
          <w:snapToGrid w:val="0"/>
        </w:rPr>
        <w:t>Chiropractors Act 2005</w:t>
      </w:r>
      <w:r>
        <w:rPr>
          <w:snapToGrid w:val="0"/>
        </w:rPr>
        <w:t xml:space="preserve"> s. 109 relating to s. 176(1b)(d) is not included because the section it sought to amend had been replaced by the </w:t>
      </w:r>
      <w:r>
        <w:rPr>
          <w:i/>
          <w:snapToGrid w:val="0"/>
        </w:rPr>
        <w:t>Workers’ Compensation Reform Act 2004</w:t>
      </w:r>
      <w:r>
        <w:rPr>
          <w:iCs/>
          <w:snapToGrid w:val="0"/>
        </w:rPr>
        <w:t xml:space="preserve"> s. 130 before the amendment purported to come into operation.</w:t>
      </w:r>
    </w:p>
    <w:p>
      <w:pPr>
        <w:pStyle w:val="nSubsection"/>
        <w:keepLines/>
        <w:rPr>
          <w:snapToGrid w:val="0"/>
        </w:rPr>
      </w:pPr>
      <w:r>
        <w:rPr>
          <w:snapToGrid w:val="0"/>
          <w:vertAlign w:val="superscript"/>
        </w:rPr>
        <w:t>46</w:t>
      </w:r>
      <w:r>
        <w:rPr>
          <w:snapToGrid w:val="0"/>
          <w:vertAlign w:val="superscript"/>
        </w:rPr>
        <w:tab/>
      </w:r>
      <w:r>
        <w:rPr>
          <w:snapToGrid w:val="0"/>
        </w:rPr>
        <w:t>Footnote no longer applicable.</w:t>
      </w:r>
    </w:p>
    <w:p>
      <w:pPr>
        <w:pStyle w:val="nSubsection"/>
        <w:rPr>
          <w:snapToGrid w:val="0"/>
        </w:rPr>
      </w:pPr>
      <w:bookmarkStart w:id="567" w:name="AutoSch"/>
      <w:bookmarkEnd w:id="567"/>
      <w:r>
        <w:rPr>
          <w:snapToGrid w:val="0"/>
          <w:vertAlign w:val="superscript"/>
        </w:rPr>
        <w:t>47</w:t>
      </w:r>
      <w:r>
        <w:rPr>
          <w:snapToGrid w:val="0"/>
        </w:rPr>
        <w:tab/>
        <w:t xml:space="preserve">On the date as at which this compilation was prepared, the </w:t>
      </w:r>
      <w:r>
        <w:rPr>
          <w:i/>
          <w:iCs/>
          <w:snapToGrid w:val="0"/>
          <w:sz w:val="19"/>
        </w:rPr>
        <w:t>Legal Profession Act 2008</w:t>
      </w:r>
      <w:r>
        <w:rPr>
          <w:snapToGrid w:val="0"/>
          <w:sz w:val="19"/>
        </w:rPr>
        <w:t xml:space="preserve"> s. 713</w:t>
      </w:r>
      <w:r>
        <w:rPr>
          <w:snapToGrid w:val="0"/>
        </w:rPr>
        <w:t xml:space="preserve"> had not come into operation.  It reads as follows:</w:t>
      </w:r>
    </w:p>
    <w:p>
      <w:pPr>
        <w:pStyle w:val="MiscOpen"/>
        <w:rPr>
          <w:snapToGrid w:val="0"/>
        </w:rPr>
      </w:pPr>
      <w:r>
        <w:rPr>
          <w:snapToGrid w:val="0"/>
        </w:rPr>
        <w:t>“</w:t>
      </w:r>
    </w:p>
    <w:p>
      <w:pPr>
        <w:pStyle w:val="nzHeading5"/>
      </w:pPr>
      <w:r>
        <w:rPr>
          <w:rStyle w:val="CharSectno"/>
        </w:rPr>
        <w:t>713</w:t>
      </w:r>
      <w:r>
        <w:t>.</w:t>
      </w:r>
      <w:r>
        <w:tab/>
      </w:r>
      <w:r>
        <w:rPr>
          <w:i/>
          <w:iCs/>
        </w:rPr>
        <w:t>Workers’ Compensation and Injury Management Act 1981</w:t>
      </w:r>
      <w:r>
        <w:t xml:space="preserve"> amended</w:t>
      </w:r>
    </w:p>
    <w:p>
      <w:pPr>
        <w:pStyle w:val="nzSubsection"/>
      </w:pPr>
      <w:r>
        <w:tab/>
        <w:t>(1)</w:t>
      </w:r>
      <w:r>
        <w:tab/>
        <w:t xml:space="preserve">The amendments in this section are to the </w:t>
      </w:r>
      <w:r>
        <w:rPr>
          <w:i/>
          <w:iCs/>
        </w:rPr>
        <w:t>Workers’ Compensation and Injury Management Act 1981</w:t>
      </w:r>
      <w:r>
        <w:t>.</w:t>
      </w:r>
    </w:p>
    <w:p>
      <w:pPr>
        <w:pStyle w:val="nzSubsection"/>
      </w:pPr>
      <w:r>
        <w:tab/>
        <w:t>(2)</w:t>
      </w:r>
      <w:r>
        <w:tab/>
        <w:t xml:space="preserve">Section 87(2)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nzSubsection"/>
      </w:pPr>
      <w:r>
        <w:tab/>
      </w:r>
      <w:r>
        <w:tab/>
        <w:t>costs determination (as defined in the</w:t>
      </w:r>
      <w:r>
        <w:rPr>
          <w:i/>
          <w:iCs/>
        </w:rPr>
        <w:t xml:space="preserve"> Legal Profession Act 2008 </w:t>
      </w:r>
      <w:r>
        <w:t>section 252).</w:t>
      </w:r>
    </w:p>
    <w:p>
      <w:pPr>
        <w:pStyle w:val="MiscClose"/>
      </w:pPr>
      <w:r>
        <w:t xml:space="preserve">    ”.</w:t>
      </w:r>
    </w:p>
    <w:p>
      <w:pPr>
        <w:pStyle w:val="nzSubsection"/>
      </w:pPr>
      <w:r>
        <w:tab/>
        <w:t>(3)</w:t>
      </w:r>
      <w:r>
        <w:tab/>
        <w:t>Section 263 is amended by deleting “</w:t>
      </w:r>
      <w:r>
        <w:rPr>
          <w:i/>
          <w:iCs/>
        </w:rPr>
        <w:t>Legal Practice Act 2003</w:t>
      </w:r>
      <w:r>
        <w:t xml:space="preserve">, and in particular Part 13” and inserting instead — </w:t>
      </w:r>
    </w:p>
    <w:p>
      <w:pPr>
        <w:pStyle w:val="nzSubsection"/>
      </w:pPr>
      <w:r>
        <w:tab/>
      </w:r>
      <w:r>
        <w:tab/>
        <w:t xml:space="preserve">“    </w:t>
      </w:r>
      <w:r>
        <w:rPr>
          <w:i/>
          <w:iCs/>
        </w:rPr>
        <w:t>Legal Profession Act 2008</w:t>
      </w:r>
      <w:r>
        <w:t>, and in particular Part 10    ”.</w:t>
      </w:r>
    </w:p>
    <w:p>
      <w:pPr>
        <w:pStyle w:val="nzSubsection"/>
      </w:pPr>
      <w:r>
        <w:tab/>
        <w:t>(4)</w:t>
      </w:r>
      <w:r>
        <w:tab/>
        <w:t xml:space="preserve">Section 264(3) is amended by deleting “Part 13 Division 3 of the </w:t>
      </w:r>
      <w:r>
        <w:rPr>
          <w:i/>
          <w:iCs/>
        </w:rPr>
        <w:t>Legal Practice Act 2003</w:t>
      </w:r>
      <w:r>
        <w:t xml:space="preserve">” and inserting instead — </w:t>
      </w:r>
    </w:p>
    <w:p>
      <w:pPr>
        <w:pStyle w:val="nzSubsection"/>
      </w:pPr>
      <w:r>
        <w:tab/>
      </w:r>
      <w:r>
        <w:tab/>
        <w:t xml:space="preserve">“    the </w:t>
      </w:r>
      <w:r>
        <w:rPr>
          <w:i/>
          <w:iCs/>
        </w:rPr>
        <w:t>Legal Profession Act 2008</w:t>
      </w:r>
      <w:r>
        <w:t xml:space="preserve"> Part 10 Division 8    ”.</w:t>
      </w:r>
    </w:p>
    <w:p>
      <w:pPr>
        <w:pStyle w:val="nzSubsection"/>
      </w:pPr>
      <w:r>
        <w:tab/>
        <w:t>(5)</w:t>
      </w:r>
      <w:r>
        <w:tab/>
        <w:t>Section 268(2) is amended as follows:</w:t>
      </w:r>
    </w:p>
    <w:p>
      <w:pPr>
        <w:pStyle w:val="nzIndenta"/>
      </w:pPr>
      <w:r>
        <w:tab/>
        <w:t>(a)</w:t>
      </w:r>
      <w:r>
        <w:tab/>
        <w:t xml:space="preserve">in paragraph (a) by deleting “Part 13 Division 3 of the </w:t>
      </w:r>
      <w:r>
        <w:rPr>
          <w:i/>
          <w:iCs/>
        </w:rPr>
        <w:t>Legal Practice Act 2003</w:t>
      </w:r>
      <w:r>
        <w:t xml:space="preserve">;” and inserting instead — </w:t>
      </w:r>
    </w:p>
    <w:p>
      <w:pPr>
        <w:pStyle w:val="MiscOpen"/>
        <w:ind w:left="1620"/>
      </w:pPr>
      <w:r>
        <w:t xml:space="preserve">“    </w:t>
      </w:r>
    </w:p>
    <w:p>
      <w:pPr>
        <w:pStyle w:val="nzIndenta"/>
      </w:pPr>
      <w:r>
        <w:tab/>
      </w:r>
      <w:r>
        <w:tab/>
        <w:t xml:space="preserve">the </w:t>
      </w:r>
      <w:r>
        <w:rPr>
          <w:i/>
          <w:iCs/>
        </w:rPr>
        <w:t>Legal Profession Act 2008</w:t>
      </w:r>
      <w:r>
        <w:t xml:space="preserve"> Part 10 Division 8;</w:t>
      </w:r>
    </w:p>
    <w:p>
      <w:pPr>
        <w:pStyle w:val="MiscClose"/>
      </w:pPr>
      <w:r>
        <w:t xml:space="preserve">    ”;</w:t>
      </w:r>
    </w:p>
    <w:p>
      <w:pPr>
        <w:pStyle w:val="nzIndenta"/>
      </w:pPr>
      <w:r>
        <w:tab/>
        <w:t>(b)</w:t>
      </w:r>
      <w:r>
        <w:tab/>
        <w:t xml:space="preserve">in paragraph (b) by deleting “Part 13 Division 3 of the </w:t>
      </w:r>
      <w:r>
        <w:rPr>
          <w:i/>
          <w:iCs/>
        </w:rPr>
        <w:t>Legal Practice Act 2003</w:t>
      </w:r>
      <w:r>
        <w:t xml:space="preserve">” and inserting instead — </w:t>
      </w:r>
    </w:p>
    <w:p>
      <w:pPr>
        <w:pStyle w:val="MiscOpen"/>
        <w:ind w:left="1620"/>
      </w:pPr>
      <w:r>
        <w:t xml:space="preserve">“    </w:t>
      </w:r>
    </w:p>
    <w:p>
      <w:pPr>
        <w:pStyle w:val="nzIndenta"/>
      </w:pPr>
      <w:r>
        <w:tab/>
      </w:r>
      <w:r>
        <w:tab/>
        <w:t xml:space="preserve">the </w:t>
      </w:r>
      <w:r>
        <w:rPr>
          <w:i/>
          <w:iCs/>
        </w:rPr>
        <w:t>Legal Profession Act 2008</w:t>
      </w:r>
      <w:r>
        <w:t xml:space="preserve"> Part 10 Division 8</w:t>
      </w:r>
    </w:p>
    <w:p>
      <w:pPr>
        <w:pStyle w:val="MiscClose"/>
      </w:pPr>
      <w:r>
        <w:t xml:space="preserve">    ”.</w:t>
      </w:r>
    </w:p>
    <w:p>
      <w:pPr>
        <w:pStyle w:val="nzSubsection"/>
      </w:pPr>
      <w:r>
        <w:tab/>
        <w:t>(6)</w:t>
      </w:r>
      <w:r>
        <w:tab/>
        <w:t>Section 268(3)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w:t>
      </w:r>
    </w:p>
    <w:p>
      <w:pPr>
        <w:pStyle w:val="nzSubsection"/>
      </w:pPr>
      <w:r>
        <w:tab/>
        <w:t>(7)</w:t>
      </w:r>
      <w:r>
        <w:tab/>
        <w:t>Section 269(1) is amended in the definition of “Legal Costs Committee” by deleting “</w:t>
      </w:r>
      <w:r>
        <w:rPr>
          <w:i/>
          <w:iCs/>
        </w:rPr>
        <w:t>Legal Practice Act 2003</w:t>
      </w:r>
      <w:r>
        <w:t xml:space="preserve">.” and inserting instead — </w:t>
      </w:r>
    </w:p>
    <w:p>
      <w:pPr>
        <w:pStyle w:val="nzSubsection"/>
      </w:pPr>
      <w:r>
        <w:tab/>
      </w:r>
      <w:r>
        <w:tab/>
        <w:t xml:space="preserve">“    </w:t>
      </w:r>
      <w:r>
        <w:rPr>
          <w:i/>
          <w:iCs/>
        </w:rPr>
        <w:t>Legal Profession Act 2008</w:t>
      </w:r>
      <w:r>
        <w:t>.    ”.</w:t>
      </w:r>
    </w:p>
    <w:p>
      <w:pPr>
        <w:pStyle w:val="nzSubsection"/>
      </w:pPr>
      <w:r>
        <w:tab/>
        <w:t>(8)</w:t>
      </w:r>
      <w:r>
        <w:tab/>
        <w:t xml:space="preserve">Section 271(2)(b) is amended by deleting “legal costs determination under the </w:t>
      </w:r>
      <w:r>
        <w:rPr>
          <w:i/>
          <w:iCs/>
        </w:rPr>
        <w:t>Legal Practice Act 2003</w:t>
      </w:r>
      <w:r>
        <w:t xml:space="preserve">.” and inserting instead — </w:t>
      </w:r>
    </w:p>
    <w:p>
      <w:pPr>
        <w:pStyle w:val="MiscOpen"/>
        <w:ind w:left="1620"/>
      </w:pPr>
      <w:r>
        <w:t xml:space="preserve">“    </w:t>
      </w:r>
    </w:p>
    <w:p>
      <w:pPr>
        <w:pStyle w:val="nzIndenta"/>
      </w:pPr>
      <w:r>
        <w:tab/>
      </w:r>
      <w:r>
        <w:tab/>
        <w:t>costs determination (as defined in the</w:t>
      </w:r>
      <w:r>
        <w:rPr>
          <w:i/>
          <w:iCs/>
        </w:rPr>
        <w:t xml:space="preserve"> Legal Profession Act 2008 </w:t>
      </w:r>
      <w:r>
        <w:t>section 252).</w:t>
      </w:r>
    </w:p>
    <w:p>
      <w:pPr>
        <w:pStyle w:val="MiscClose"/>
      </w:pPr>
      <w:r>
        <w:t xml:space="preserve">    ”.</w:t>
      </w:r>
    </w:p>
    <w:p>
      <w:pPr>
        <w:pStyle w:val="MiscClose"/>
        <w:rPr>
          <w:snapToGrid w:val="0"/>
        </w:rPr>
      </w:pPr>
      <w:r>
        <w:rPr>
          <w:snapToGrid w:val="0"/>
        </w:rPr>
        <w:t>”.</w:t>
      </w:r>
    </w:p>
    <w:p>
      <w:pPr>
        <w:pStyle w:val="nSubsection"/>
        <w:keepLines/>
        <w:rPr>
          <w:snapToGrid w:val="0"/>
        </w:rPr>
      </w:pPr>
      <w:r>
        <w:rPr>
          <w:snapToGrid w:val="0"/>
          <w:vertAlign w:val="superscript"/>
        </w:rPr>
        <w:t>48</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54, </w:t>
      </w:r>
      <w:r>
        <w:rPr>
          <w:snapToGrid w:val="0"/>
        </w:rPr>
        <w:t>had not come into operation.  It reads as follows:</w:t>
      </w:r>
    </w:p>
    <w:p>
      <w:pPr>
        <w:pStyle w:val="MiscOpen"/>
      </w:pPr>
      <w:r>
        <w:t>“</w:t>
      </w:r>
    </w:p>
    <w:p>
      <w:pPr>
        <w:pStyle w:val="nzHeading5"/>
      </w:pPr>
      <w:r>
        <w:rPr>
          <w:rStyle w:val="CharSectno"/>
        </w:rPr>
        <w:t>162</w:t>
      </w:r>
      <w:r>
        <w:t>.</w:t>
      </w:r>
      <w:r>
        <w:tab/>
        <w:t>Consequential amendments</w:t>
      </w:r>
    </w:p>
    <w:p>
      <w:pPr>
        <w:pStyle w:val="nzSubsection"/>
      </w:pPr>
      <w:r>
        <w:tab/>
      </w:r>
      <w:r>
        <w:tab/>
        <w:t>Schedule 3 sets out consequential amendments.</w:t>
      </w:r>
    </w:p>
    <w:p>
      <w:pPr>
        <w:pStyle w:val="MiscClose"/>
      </w:pPr>
      <w:r>
        <w:t>”.</w:t>
      </w:r>
    </w:p>
    <w:p>
      <w:pPr>
        <w:pStyle w:val="nzSubsection"/>
      </w:pPr>
      <w:r>
        <w:t>Schedule 3 cl. 54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r>
        <w:rPr>
          <w:rStyle w:val="CharSClsNo"/>
        </w:rPr>
        <w:t>54</w:t>
      </w:r>
      <w:r>
        <w:t>.</w:t>
      </w:r>
      <w:r>
        <w:tab/>
      </w:r>
      <w:r>
        <w:rPr>
          <w:i/>
          <w:iCs/>
        </w:rPr>
        <w:t>Workers’ Compensation and Injury Management Act 1981</w:t>
      </w:r>
      <w:r>
        <w:t xml:space="preserve"> amended</w:t>
      </w:r>
    </w:p>
    <w:p>
      <w:pPr>
        <w:pStyle w:val="nzSubsection"/>
      </w:pPr>
      <w:r>
        <w:tab/>
        <w:t>(1)</w:t>
      </w:r>
      <w:r>
        <w:tab/>
        <w:t xml:space="preserve">The amendments in this clause are to the </w:t>
      </w:r>
      <w:r>
        <w:rPr>
          <w:i/>
        </w:rPr>
        <w:t>Workers’ Compensation and Injury Management Act </w:t>
      </w:r>
      <w:r>
        <w:rPr>
          <w:i/>
          <w:iCs/>
        </w:rPr>
        <w:t>1981</w:t>
      </w:r>
      <w:r>
        <w:t>.</w:t>
      </w:r>
    </w:p>
    <w:p>
      <w:pPr>
        <w:pStyle w:val="nzSubsection"/>
      </w:pPr>
      <w:r>
        <w:tab/>
        <w:t>(2)</w:t>
      </w:r>
      <w:r>
        <w:tab/>
        <w:t xml:space="preserve">Section 5(1) is amended by deleting paragraph (a) of the definition of “specialist” and “or” after it and inserting instead — </w:t>
      </w:r>
    </w:p>
    <w:p>
      <w:pPr>
        <w:pStyle w:val="MiscOpen"/>
        <w:ind w:left="1580"/>
      </w:pPr>
      <w:r>
        <w:t xml:space="preserve">“    </w:t>
      </w:r>
    </w:p>
    <w:p>
      <w:pPr>
        <w:pStyle w:val="zDefpara"/>
        <w:spacing w:before="0"/>
        <w:rPr>
          <w:sz w:val="20"/>
        </w:rPr>
      </w:pPr>
      <w:r>
        <w:rPr>
          <w:sz w:val="20"/>
        </w:rPr>
        <w:tab/>
        <w:t>(a)</w:t>
      </w:r>
      <w:r>
        <w:rPr>
          <w:sz w:val="20"/>
        </w:rPr>
        <w:tab/>
        <w:t xml:space="preserve">who is resident in the State and who is registered as a specialist under the </w:t>
      </w:r>
      <w:r>
        <w:rPr>
          <w:i/>
          <w:sz w:val="20"/>
        </w:rPr>
        <w:t>Medical Practitioners Act 2008</w:t>
      </w:r>
      <w:r>
        <w:rPr>
          <w:sz w:val="20"/>
        </w:rPr>
        <w:t xml:space="preserve"> section 38; or</w:t>
      </w:r>
    </w:p>
    <w:p>
      <w:pPr>
        <w:pStyle w:val="MiscClose"/>
      </w:pPr>
      <w:r>
        <w:t xml:space="preserve">    ”.</w:t>
      </w:r>
    </w:p>
    <w:p>
      <w:pPr>
        <w:pStyle w:val="MiscClose"/>
      </w:pPr>
      <w:r>
        <w:t>”.</w:t>
      </w:r>
    </w:p>
    <w:p/>
    <w:p>
      <w:pPr>
        <w:sectPr>
          <w:headerReference w:type="even" r:id="rId43"/>
          <w:headerReference w:type="default" r:id="rId44"/>
          <w:headerReference w:type="first" r:id="rId45"/>
          <w:pgSz w:w="11906" w:h="16838" w:code="9"/>
          <w:pgMar w:top="2376" w:right="2405" w:bottom="3542" w:left="2405" w:header="706" w:footer="3380" w:gutter="0"/>
          <w:cols w:space="720"/>
          <w:noEndnote/>
          <w:docGrid w:linePitch="326"/>
        </w:sectPr>
      </w:pPr>
    </w:p>
    <w:p/>
    <w:sectPr>
      <w:headerReference w:type="even" r:id="rId46"/>
      <w:headerReference w:type="default" r:id="rId47"/>
      <w:headerReference w:type="first" r:id="rId4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07-h0-06</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07-h0-06</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07-h0-06</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07-h0-06</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07-h0-06</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07-h0-06</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07-h0-06</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07-h0-06</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423</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07-h0-06</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18C</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9112249"/>
    <w:docVar w:name="WAFER_20140609112249" w:val="RemoveTocBookmarks,RemoveUnusedBookmarks,RemoveLanguageTags,UsedStyles,ResetPageSize"/>
    <w:docVar w:name="WAFER_20140609112249_GUID" w:val="f5071189-49b6-4a51-bde6-e861601ae4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0.xml"/><Relationship Id="rId42" Type="http://schemas.openxmlformats.org/officeDocument/2006/relationships/header" Target="header18.xml"/><Relationship Id="rId47" Type="http://schemas.openxmlformats.org/officeDocument/2006/relationships/header" Target="header23.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header" Target="header9.xml"/><Relationship Id="rId38" Type="http://schemas.openxmlformats.org/officeDocument/2006/relationships/header" Target="header14.xml"/><Relationship Id="rId46"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footer" Target="footer7.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footer" Target="footer9.xml"/><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header" Target="header7.xml"/><Relationship Id="rId36" Type="http://schemas.openxmlformats.org/officeDocument/2006/relationships/header" Target="header12.xm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8.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header" Target="header19.xml"/><Relationship Id="rId48" Type="http://schemas.openxmlformats.org/officeDocument/2006/relationships/header" Target="header2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446</Pages>
  <Words>120216</Words>
  <Characters>575840</Characters>
  <Application>Microsoft Office Word</Application>
  <DocSecurity>0</DocSecurity>
  <Lines>15153</Lines>
  <Paragraphs>7404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688652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1981 - 07-h0-06</dc:title>
  <dc:subject/>
  <dc:creator/>
  <cp:keywords/>
  <dc:description/>
  <cp:lastModifiedBy>svcMRProcess</cp:lastModifiedBy>
  <cp:revision>4</cp:revision>
  <cp:lastPrinted>2007-07-31T04:29:00Z</cp:lastPrinted>
  <dcterms:created xsi:type="dcterms:W3CDTF">2020-02-21T15:22:00Z</dcterms:created>
  <dcterms:modified xsi:type="dcterms:W3CDTF">2020-02-21T15:22:00Z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915</vt:i4>
  </property>
  <property fmtid="{D5CDD505-2E9C-101B-9397-08002B2CF9AE}" pid="6" name="ReprintNo">
    <vt:lpwstr>7</vt:lpwstr>
  </property>
  <property fmtid="{D5CDD505-2E9C-101B-9397-08002B2CF9AE}" pid="7" name="AsAtDate">
    <vt:lpwstr>01 Jul 2008</vt:lpwstr>
  </property>
  <property fmtid="{D5CDD505-2E9C-101B-9397-08002B2CF9AE}" pid="8" name="Suffix">
    <vt:lpwstr>07-h0-06</vt:lpwstr>
  </property>
</Properties>
</file>