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Road Traffic Act 1974</w:t>
      </w:r>
    </w:p>
    <w:p>
      <w:pPr>
        <w:pStyle w:val="NameofActRegPage1"/>
        <w:spacing w:before="1800" w:after="4200"/>
      </w:pPr>
      <w:r>
        <w:fldChar w:fldCharType="begin"/>
      </w:r>
      <w:r>
        <w:instrText xml:space="preserve"> STYLEREF "Name Of Act/Reg"</w:instrText>
      </w:r>
      <w:r>
        <w:fldChar w:fldCharType="separate"/>
      </w:r>
      <w:r>
        <w:rPr>
          <w:noProof/>
        </w:rPr>
        <w:t>Road Traffic (Infringements) Regulations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856"/>
      </w:pPr>
      <w:r>
        <w:fldChar w:fldCharType="begin"/>
      </w:r>
      <w:r>
        <w:instrText xml:space="preserve"> STYLEREF "Name Of Act/Reg"</w:instrText>
      </w:r>
      <w:r>
        <w:fldChar w:fldCharType="separate"/>
      </w:r>
      <w:r>
        <w:rPr>
          <w:noProof/>
        </w:rPr>
        <w:t>Road Traffic (Infringements) Regulations 1975</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_Toc202518242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_Toc202518243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Offences and penalties</w:t>
      </w:r>
      <w:r>
        <w:tab/>
      </w:r>
      <w:r>
        <w:fldChar w:fldCharType="begin"/>
      </w:r>
      <w:r>
        <w:instrText xml:space="preserve"> PAGEREF _Toc202518244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officers</w:t>
      </w:r>
      <w:r>
        <w:tab/>
      </w:r>
      <w:r>
        <w:fldChar w:fldCharType="begin"/>
      </w:r>
      <w:r>
        <w:instrText xml:space="preserve"> PAGEREF _Toc202518245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Offence of altering infringement notice</w:t>
      </w:r>
      <w:r>
        <w:tab/>
      </w:r>
      <w:r>
        <w:fldChar w:fldCharType="begin"/>
      </w:r>
      <w:r>
        <w:instrText xml:space="preserve"> PAGEREF _Toc202518246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Prescribed forms</w:t>
      </w:r>
      <w:r>
        <w:tab/>
      </w:r>
      <w:r>
        <w:fldChar w:fldCharType="begin"/>
      </w:r>
      <w:r>
        <w:instrText xml:space="preserve"> PAGEREF _Toc202518247 \h </w:instrText>
      </w:r>
      <w:r>
        <w:fldChar w:fldCharType="separate"/>
      </w:r>
      <w:r>
        <w:t>3</w:t>
      </w:r>
      <w:r>
        <w:fldChar w:fldCharType="end"/>
      </w:r>
    </w:p>
    <w:p>
      <w:pPr>
        <w:pStyle w:val="TOC2"/>
        <w:tabs>
          <w:tab w:val="right" w:leader="dot" w:pos="7083"/>
        </w:tabs>
        <w:rPr>
          <w:b w:val="0"/>
          <w:sz w:val="24"/>
          <w:szCs w:val="24"/>
        </w:rPr>
      </w:pPr>
      <w:r>
        <w:rPr>
          <w:szCs w:val="28"/>
        </w:rPr>
        <w:t>Schedule 1 — Prescribed offences and modified penalties</w:t>
      </w:r>
    </w:p>
    <w:p>
      <w:pPr>
        <w:pStyle w:val="TOC2"/>
        <w:tabs>
          <w:tab w:val="right" w:leader="dot" w:pos="7083"/>
        </w:tabs>
        <w:rPr>
          <w:b w:val="0"/>
          <w:sz w:val="24"/>
          <w:szCs w:val="24"/>
        </w:rPr>
      </w:pPr>
      <w:r>
        <w:rPr>
          <w:szCs w:val="28"/>
        </w:rPr>
        <w:t>Schedule 2 — Forms</w:t>
      </w:r>
    </w:p>
    <w:p>
      <w:pPr>
        <w:pStyle w:val="TOC2"/>
        <w:tabs>
          <w:tab w:val="right" w:leader="dot" w:pos="7083"/>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_Toc202518251 \h </w:instrText>
      </w:r>
      <w:r>
        <w:fldChar w:fldCharType="separate"/>
      </w:r>
      <w:r>
        <w:t>16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8"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1" w:name="_Toc457275129"/>
      <w:bookmarkStart w:id="2" w:name="_Toc473349884"/>
      <w:bookmarkStart w:id="3" w:name="_Toc23914752"/>
      <w:bookmarkStart w:id="4" w:name="_Toc124150215"/>
      <w:bookmarkStart w:id="5" w:name="_Toc202515985"/>
      <w:bookmarkStart w:id="6" w:name="_Toc202518242"/>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pPr>
      <w:bookmarkStart w:id="7" w:name="_Toc201995741"/>
      <w:bookmarkStart w:id="8" w:name="_Toc202515986"/>
      <w:bookmarkStart w:id="9" w:name="_Toc202518243"/>
      <w:bookmarkStart w:id="10" w:name="_Toc457275130"/>
      <w:bookmarkStart w:id="11" w:name="_Toc473349885"/>
      <w:bookmarkStart w:id="12" w:name="_Toc23914753"/>
      <w:bookmarkStart w:id="13" w:name="_Toc124150216"/>
      <w:r>
        <w:rPr>
          <w:rStyle w:val="CharSectno"/>
        </w:rPr>
        <w:t>2</w:t>
      </w:r>
      <w:r>
        <w:t>.</w:t>
      </w:r>
      <w:r>
        <w:tab/>
        <w:t>Terms used in these regulations</w:t>
      </w:r>
      <w:bookmarkEnd w:id="7"/>
      <w:bookmarkEnd w:id="8"/>
      <w:bookmarkEnd w:id="9"/>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rPr>
          <w:snapToGrid w:val="0"/>
        </w:rPr>
      </w:pPr>
      <w:bookmarkStart w:id="14" w:name="_Toc202515987"/>
      <w:bookmarkStart w:id="15" w:name="_Toc202518244"/>
      <w:r>
        <w:rPr>
          <w:rStyle w:val="CharSectno"/>
        </w:rPr>
        <w:t>3</w:t>
      </w:r>
      <w:r>
        <w:rPr>
          <w:snapToGrid w:val="0"/>
        </w:rPr>
        <w:t>.</w:t>
      </w:r>
      <w:r>
        <w:rPr>
          <w:snapToGrid w:val="0"/>
        </w:rPr>
        <w:tab/>
        <w:t>Offences and penalties</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rPr>
          <w:snapToGrid w:val="0"/>
        </w:rPr>
      </w:pPr>
      <w:r>
        <w:rPr>
          <w:snapToGrid w:val="0"/>
        </w:rPr>
        <w:tab/>
        <w:t>[(a)-(c)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 xml:space="preserve">5; 1 Dec 2000 p. 6759; 1 Nov 2002 p. 5390; 23 Dec 2005 p. 6285; 1 Aug 2006 p. 2835; 10 Jun 2008 p. 2462-3.] </w:t>
      </w:r>
    </w:p>
    <w:p>
      <w:pPr>
        <w:pStyle w:val="Heading5"/>
        <w:rPr>
          <w:snapToGrid w:val="0"/>
        </w:rPr>
      </w:pPr>
      <w:bookmarkStart w:id="16" w:name="_Toc457275131"/>
      <w:bookmarkStart w:id="17" w:name="_Toc473349886"/>
      <w:bookmarkStart w:id="18" w:name="_Toc23914754"/>
      <w:bookmarkStart w:id="19" w:name="_Toc124150217"/>
      <w:bookmarkStart w:id="20" w:name="_Toc202515988"/>
      <w:bookmarkStart w:id="21" w:name="_Toc202518245"/>
      <w:r>
        <w:rPr>
          <w:rStyle w:val="CharSectno"/>
        </w:rPr>
        <w:t>4</w:t>
      </w:r>
      <w:r>
        <w:rPr>
          <w:snapToGrid w:val="0"/>
        </w:rPr>
        <w:t>.</w:t>
      </w:r>
      <w:r>
        <w:rPr>
          <w:snapToGrid w:val="0"/>
        </w:rPr>
        <w:tab/>
        <w:t>Prescribed officers</w:t>
      </w:r>
      <w:bookmarkEnd w:id="16"/>
      <w:bookmarkEnd w:id="17"/>
      <w:bookmarkEnd w:id="18"/>
      <w:bookmarkEnd w:id="19"/>
      <w:bookmarkEnd w:id="20"/>
      <w:bookmarkEnd w:id="21"/>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rPr>
          <w:snapToGrid w:val="0"/>
        </w:rPr>
      </w:pPr>
      <w:r>
        <w:rPr>
          <w:snapToGrid w:val="0"/>
        </w:rPr>
        <w:tab/>
        <w:t>(a)</w:t>
      </w:r>
      <w:r>
        <w:rPr>
          <w:snapToGrid w:val="0"/>
        </w:rPr>
        <w:tab/>
        <w:t xml:space="preserve">the Prosecutions Officer, </w:t>
      </w:r>
      <w:r>
        <w:t xml:space="preserve">Legislative and Legal Services, Department for Planning and Infrastructure; </w:t>
      </w:r>
      <w:r>
        <w:rPr>
          <w:snapToGrid w:val="0"/>
        </w:rPr>
        <w:t>or</w:t>
      </w:r>
    </w:p>
    <w:p>
      <w:pPr>
        <w:pStyle w:val="Indenta"/>
        <w:rPr>
          <w:snapToGrid w:val="0"/>
        </w:rPr>
      </w:pPr>
      <w:r>
        <w:rPr>
          <w:snapToGrid w:val="0"/>
        </w:rPr>
        <w:tab/>
        <w:t>(b)</w:t>
      </w:r>
      <w:r>
        <w:rPr>
          <w:snapToGrid w:val="0"/>
        </w:rPr>
        <w:tab/>
        <w:t xml:space="preserve">the Manager, Legislative and Legal Services, </w:t>
      </w:r>
      <w:r>
        <w:t>Department for Planning and Infrastructure.</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w:t>
      </w:r>
    </w:p>
    <w:p>
      <w:pPr>
        <w:pStyle w:val="Ednotesection"/>
      </w:pPr>
      <w:r>
        <w:t>[</w:t>
      </w:r>
      <w:r>
        <w:rPr>
          <w:b/>
        </w:rPr>
        <w:t>5.</w:t>
      </w:r>
      <w:r>
        <w:tab/>
        <w:t xml:space="preserve">Repealed in Gazette 21 Dec 1990 p. 6288.] </w:t>
      </w:r>
    </w:p>
    <w:p>
      <w:pPr>
        <w:pStyle w:val="Heading5"/>
        <w:rPr>
          <w:snapToGrid w:val="0"/>
        </w:rPr>
      </w:pPr>
      <w:bookmarkStart w:id="22" w:name="_Toc457275132"/>
      <w:bookmarkStart w:id="23" w:name="_Toc473349887"/>
      <w:bookmarkStart w:id="24" w:name="_Toc23914755"/>
      <w:bookmarkStart w:id="25" w:name="_Toc124150218"/>
      <w:bookmarkStart w:id="26" w:name="_Toc202515989"/>
      <w:bookmarkStart w:id="27" w:name="_Toc202518246"/>
      <w:r>
        <w:rPr>
          <w:rStyle w:val="CharSectno"/>
        </w:rPr>
        <w:t>6</w:t>
      </w:r>
      <w:r>
        <w:rPr>
          <w:snapToGrid w:val="0"/>
        </w:rPr>
        <w:t>.</w:t>
      </w:r>
      <w:r>
        <w:rPr>
          <w:snapToGrid w:val="0"/>
        </w:rPr>
        <w:tab/>
        <w:t>Offence of altering infringement notice</w:t>
      </w:r>
      <w:bookmarkEnd w:id="22"/>
      <w:bookmarkEnd w:id="23"/>
      <w:bookmarkEnd w:id="24"/>
      <w:bookmarkEnd w:id="25"/>
      <w:bookmarkEnd w:id="26"/>
      <w:bookmarkEnd w:id="27"/>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28" w:name="_Toc457275133"/>
      <w:bookmarkStart w:id="29" w:name="_Toc473349888"/>
      <w:bookmarkStart w:id="30" w:name="_Toc23914756"/>
      <w:bookmarkStart w:id="31" w:name="_Toc124150219"/>
      <w:bookmarkStart w:id="32" w:name="_Toc202515990"/>
      <w:bookmarkStart w:id="33" w:name="_Toc202518247"/>
      <w:r>
        <w:rPr>
          <w:rStyle w:val="CharSectno"/>
        </w:rPr>
        <w:t>7</w:t>
      </w:r>
      <w:r>
        <w:rPr>
          <w:snapToGrid w:val="0"/>
        </w:rPr>
        <w:t>.</w:t>
      </w:r>
      <w:r>
        <w:rPr>
          <w:snapToGrid w:val="0"/>
        </w:rPr>
        <w:tab/>
        <w:t>Prescribed forms</w:t>
      </w:r>
      <w:bookmarkEnd w:id="28"/>
      <w:bookmarkEnd w:id="29"/>
      <w:bookmarkEnd w:id="30"/>
      <w:bookmarkEnd w:id="31"/>
      <w:bookmarkEnd w:id="32"/>
      <w:bookmarkEnd w:id="33"/>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4" w:name="_Toc124150221"/>
      <w:bookmarkStart w:id="35" w:name="_Toc124150281"/>
      <w:bookmarkStart w:id="36" w:name="_Toc128536952"/>
      <w:bookmarkStart w:id="37" w:name="_Toc139876548"/>
      <w:bookmarkStart w:id="38" w:name="_Toc139949193"/>
      <w:bookmarkStart w:id="39" w:name="_Toc143057355"/>
      <w:bookmarkStart w:id="40" w:name="_Toc143057517"/>
      <w:bookmarkStart w:id="41" w:name="_Toc143057558"/>
      <w:bookmarkStart w:id="42" w:name="_Toc144780368"/>
      <w:bookmarkStart w:id="43" w:name="_Toc152737141"/>
      <w:bookmarkStart w:id="44" w:name="_Toc200956515"/>
      <w:bookmarkStart w:id="45" w:name="_Toc200963339"/>
      <w:bookmarkStart w:id="46" w:name="_Toc202069502"/>
      <w:bookmarkStart w:id="47" w:name="_Toc202515991"/>
      <w:bookmarkStart w:id="48" w:name="_Toc202518248"/>
      <w:r>
        <w:rPr>
          <w:rStyle w:val="CharSchNo"/>
        </w:rPr>
        <w:t>Schedule 1</w:t>
      </w:r>
      <w:r>
        <w:t> — </w:t>
      </w:r>
      <w:r>
        <w:rPr>
          <w:rStyle w:val="CharSchText"/>
        </w:rPr>
        <w:t>Prescribed offences and modified penalties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yShoulderClause"/>
        <w:rPr>
          <w:snapToGrid w:val="0"/>
        </w:rPr>
      </w:pPr>
      <w:r>
        <w:rPr>
          <w:snapToGrid w:val="0"/>
        </w:rPr>
        <w:t>[Reg. 3]</w:t>
      </w:r>
    </w:p>
    <w:p>
      <w:pPr>
        <w:pStyle w:val="yFootnoteheading"/>
        <w:spacing w:after="6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i/>
                <w:iCs/>
                <w:sz w:val="19"/>
              </w:rPr>
              <w:t>[4.</w:t>
            </w:r>
            <w:r>
              <w:rPr>
                <w:i/>
                <w:iCs/>
                <w:sz w:val="19"/>
              </w:rPr>
              <w:tab/>
              <w:t>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while not authorised, other than if s. 49(3) of the Act or item 5A applies ......</w:t>
            </w:r>
          </w:p>
        </w:tc>
        <w:tc>
          <w:tcPr>
            <w:tcW w:w="723" w:type="dxa"/>
          </w:tcPr>
          <w:p>
            <w:pPr>
              <w:pStyle w:val="yTable"/>
              <w:ind w:right="114"/>
              <w:jc w:val="right"/>
              <w:rPr>
                <w:sz w:val="19"/>
              </w:rPr>
            </w:pPr>
            <w:r>
              <w:rPr>
                <w:sz w:val="19"/>
              </w:rPr>
              <w:br/>
              <w:t>2</w:t>
            </w:r>
          </w:p>
        </w:tc>
      </w:tr>
      <w:tr>
        <w:trPr>
          <w:cantSplit/>
        </w:trPr>
        <w:tc>
          <w:tcPr>
            <w:tcW w:w="2977" w:type="dxa"/>
          </w:tcPr>
          <w:p>
            <w:pPr>
              <w:pStyle w:val="yTable"/>
              <w:tabs>
                <w:tab w:val="left" w:pos="567"/>
              </w:tabs>
              <w:ind w:left="567" w:hanging="567"/>
              <w:rPr>
                <w:sz w:val="19"/>
              </w:rPr>
            </w:pPr>
            <w:r>
              <w:rPr>
                <w:sz w:val="19"/>
              </w:rPr>
              <w:t>5A.</w:t>
            </w:r>
            <w:r>
              <w:rPr>
                <w:sz w:val="19"/>
              </w:rPr>
              <w:tab/>
              <w:t>Section 49(1)</w:t>
            </w:r>
          </w:p>
        </w:tc>
        <w:tc>
          <w:tcPr>
            <w:tcW w:w="3544" w:type="dxa"/>
          </w:tcPr>
          <w:p>
            <w:pPr>
              <w:pStyle w:val="yTable"/>
              <w:tabs>
                <w:tab w:val="right" w:leader="dot" w:pos="3575"/>
              </w:tabs>
              <w:rPr>
                <w:sz w:val="19"/>
              </w:rPr>
            </w:pPr>
            <w:r>
              <w:rPr>
                <w:sz w:val="19"/>
              </w:rPr>
              <w:t>Driving while not authorised if the driving is by a novice driver (type 1A) and between midnight and the following 5 a.m., other than if s. 49(3) of the Act applies ..........................</w:t>
            </w:r>
          </w:p>
        </w:tc>
        <w:tc>
          <w:tcPr>
            <w:tcW w:w="723" w:type="dxa"/>
          </w:tcPr>
          <w:p>
            <w:pPr>
              <w:pStyle w:val="yTable"/>
              <w:ind w:right="114"/>
              <w:jc w:val="right"/>
              <w:rPr>
                <w:sz w:val="19"/>
              </w:rPr>
            </w:pPr>
            <w:r>
              <w:rPr>
                <w:sz w:val="19"/>
              </w:rPr>
              <w:br/>
            </w:r>
            <w:r>
              <w:rPr>
                <w:sz w:val="19"/>
              </w:rPr>
              <w:br/>
            </w:r>
            <w:r>
              <w:rPr>
                <w:sz w:val="19"/>
              </w:rPr>
              <w:br/>
              <w:t>4</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to carry or produce documents to do with authorisation other than Australian driver licence ................................................</w:t>
            </w:r>
          </w:p>
        </w:tc>
        <w:tc>
          <w:tcPr>
            <w:tcW w:w="723" w:type="dxa"/>
          </w:tcPr>
          <w:p>
            <w:pPr>
              <w:pStyle w:val="yTable"/>
              <w:ind w:right="114"/>
              <w:jc w:val="right"/>
              <w:rPr>
                <w:sz w:val="19"/>
              </w:rPr>
            </w:pPr>
            <w:r>
              <w:rPr>
                <w:sz w:val="19"/>
              </w:rPr>
              <w:br/>
            </w:r>
            <w:r>
              <w:rPr>
                <w:sz w:val="19"/>
              </w:rPr>
              <w:b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spacing w:before="0"/>
              <w:ind w:left="567" w:hanging="567"/>
              <w:rPr>
                <w:sz w:val="19"/>
              </w:rPr>
            </w:pPr>
            <w:r>
              <w:rPr>
                <w:sz w:val="19"/>
              </w:rPr>
              <w:t>9.</w:t>
            </w:r>
            <w:r>
              <w:rPr>
                <w:sz w:val="19"/>
              </w:rPr>
              <w:tab/>
              <w:t>Section 64AA</w:t>
            </w:r>
          </w:p>
        </w:tc>
        <w:tc>
          <w:tcPr>
            <w:tcW w:w="3544" w:type="dxa"/>
          </w:tcPr>
          <w:p>
            <w:pPr>
              <w:pStyle w:val="yTable"/>
              <w:tabs>
                <w:tab w:val="right" w:leader="dot" w:pos="3575"/>
              </w:tabs>
              <w:spacing w:before="0"/>
              <w:rPr>
                <w:sz w:val="19"/>
              </w:rPr>
            </w:pPr>
            <w:r>
              <w:rPr>
                <w:sz w:val="19"/>
              </w:rPr>
              <w:t>Driving or attempting to drive a motor vehicle while having a blood alcohol content of or above 0.05 g of alcohol per 100 mL of blood.........</w:t>
            </w:r>
          </w:p>
        </w:tc>
        <w:tc>
          <w:tcPr>
            <w:tcW w:w="723" w:type="dxa"/>
          </w:tcPr>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spacing w:before="0"/>
              <w:ind w:left="567" w:hanging="567"/>
              <w:rPr>
                <w:sz w:val="19"/>
              </w:rPr>
            </w:pPr>
            <w:r>
              <w:rPr>
                <w:sz w:val="19"/>
              </w:rPr>
              <w:t>9A.</w:t>
            </w:r>
            <w:r>
              <w:rPr>
                <w:sz w:val="19"/>
              </w:rPr>
              <w:tab/>
              <w:t>Section 64AAA</w:t>
            </w:r>
          </w:p>
        </w:tc>
        <w:tc>
          <w:tcPr>
            <w:tcW w:w="3544" w:type="dxa"/>
          </w:tcPr>
          <w:p>
            <w:pPr>
              <w:pStyle w:val="yTable"/>
              <w:tabs>
                <w:tab w:val="right" w:leader="dot" w:pos="3575"/>
              </w:tabs>
              <w:spacing w:before="0"/>
              <w:rPr>
                <w:sz w:val="19"/>
              </w:rPr>
            </w:pPr>
            <w:r>
              <w:rPr>
                <w:sz w:val="19"/>
              </w:rPr>
              <w:t>Driving or attempting to drive a motor vehicle while being a novice driver and having any blood alcohol content .................</w:t>
            </w:r>
          </w:p>
        </w:tc>
        <w:tc>
          <w:tcPr>
            <w:tcW w:w="723" w:type="dxa"/>
          </w:tcPr>
          <w:p>
            <w:pPr>
              <w:pStyle w:val="yTable"/>
              <w:spacing w:before="0"/>
              <w:ind w:right="114"/>
              <w:jc w:val="right"/>
              <w:rPr>
                <w:sz w:val="19"/>
              </w:rPr>
            </w:pPr>
            <w:r>
              <w:rPr>
                <w:sz w:val="19"/>
              </w:rPr>
              <w:br/>
            </w:r>
            <w:r>
              <w:rPr>
                <w:sz w:val="19"/>
              </w:rPr>
              <w:br/>
              <w:t>1.5</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 and items 12</w:t>
            </w:r>
            <w:r>
              <w:rPr>
                <w:i/>
                <w:sz w:val="19"/>
              </w:rPr>
              <w:noBreakHyphen/>
              <w:t>86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i/>
                <w:sz w:val="19"/>
              </w:rPr>
            </w:pPr>
            <w:r>
              <w:rPr>
                <w:i/>
                <w:sz w:val="19"/>
              </w:rPr>
              <w:t>[Heading and items 87</w:t>
            </w:r>
            <w:r>
              <w:rPr>
                <w:i/>
                <w:sz w:val="19"/>
              </w:rPr>
              <w:noBreakHyphen/>
              <w:t>106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ind w:right="114"/>
              <w:rPr>
                <w:i/>
                <w:sz w:val="19"/>
              </w:rPr>
            </w:pPr>
            <w:r>
              <w:rPr>
                <w:i/>
                <w:sz w:val="19"/>
              </w:rPr>
              <w:t>[Heading and item 107 deleted]</w:t>
            </w:r>
          </w:p>
        </w:tc>
      </w:tr>
      <w:tr>
        <w:trPr>
          <w:cantSplit/>
        </w:trPr>
        <w:tc>
          <w:tcPr>
            <w:tcW w:w="7244" w:type="dxa"/>
            <w:gridSpan w:val="3"/>
          </w:tcPr>
          <w:p>
            <w:pPr>
              <w:pStyle w:val="yTable"/>
              <w:ind w:right="114"/>
              <w:rPr>
                <w:i/>
                <w:sz w:val="19"/>
              </w:rPr>
            </w:pPr>
            <w:r>
              <w:rPr>
                <w:i/>
                <w:sz w:val="19"/>
              </w:rPr>
              <w:t>Road Traffic (Licensing) Regulations 1975</w:t>
            </w:r>
          </w:p>
        </w:tc>
      </w:tr>
      <w:tr>
        <w:trPr>
          <w:cantSplit/>
        </w:trPr>
        <w:tc>
          <w:tcPr>
            <w:tcW w:w="2977" w:type="dxa"/>
          </w:tcPr>
          <w:p>
            <w:pPr>
              <w:pStyle w:val="yTable"/>
              <w:tabs>
                <w:tab w:val="left" w:pos="567"/>
              </w:tabs>
              <w:ind w:left="567" w:hanging="567"/>
              <w:rPr>
                <w:sz w:val="19"/>
              </w:rPr>
            </w:pPr>
            <w:r>
              <w:rPr>
                <w:sz w:val="19"/>
              </w:rPr>
              <w:t>108.</w:t>
            </w:r>
            <w:r>
              <w:rPr>
                <w:sz w:val="19"/>
              </w:rPr>
              <w:tab/>
              <w:t>Regulation 15(2)</w:t>
            </w:r>
          </w:p>
        </w:tc>
        <w:tc>
          <w:tcPr>
            <w:tcW w:w="3544" w:type="dxa"/>
          </w:tcPr>
          <w:p>
            <w:pPr>
              <w:pStyle w:val="yTable"/>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 34</w:t>
            </w:r>
          </w:p>
        </w:tc>
        <w:tc>
          <w:tcPr>
            <w:tcW w:w="3544" w:type="dxa"/>
          </w:tcPr>
          <w:p>
            <w:pPr>
              <w:pStyle w:val="yTable"/>
              <w:tabs>
                <w:tab w:val="right" w:leader="dot" w:pos="3575"/>
              </w:tabs>
              <w:rPr>
                <w:sz w:val="19"/>
              </w:rPr>
            </w:pPr>
            <w:r>
              <w:rPr>
                <w:sz w:val="19"/>
              </w:rPr>
              <w:t>Failure to hand over vehicle licence when disposing of used vehicle...............................</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bl>
    <w:p>
      <w:pPr>
        <w:pStyle w:val="Footnotesection"/>
      </w:pPr>
      <w:r>
        <w:tab/>
        <w:t>[Schedule 1, formerly First Schedule, inserted in Gazette 23 Dec 1997 p. 7445</w:t>
      </w:r>
      <w:r>
        <w:noBreakHyphen/>
        <w:t>51; amended in Gazette 23 Jun 1998 p. 3340</w:t>
      </w:r>
      <w:r>
        <w:noBreakHyphen/>
        <w:t xml:space="preserve">2; 20 Jul 1999 p. 3249; 30 Nov 1999 p. 5955; 1 Dec 2000 p. 6759; 1 Nov 2002 p. 5390; 23 Dec 2005 p. 6276 and 6286; 28 Nov 2006 p. 4912; 14 Mar 2008 p. 834; 10 Jun 2008 p. 2463; 27 Jun 2008 p. 3123.] </w:t>
      </w:r>
    </w:p>
    <w:p>
      <w:pPr>
        <w:pStyle w:val="yScheduleHeading"/>
      </w:pPr>
      <w:bookmarkStart w:id="49" w:name="_Toc128536953"/>
      <w:bookmarkStart w:id="50" w:name="_Toc139876549"/>
      <w:bookmarkStart w:id="51" w:name="_Toc139949194"/>
      <w:bookmarkStart w:id="52" w:name="_Toc143057356"/>
      <w:bookmarkStart w:id="53" w:name="_Toc143057518"/>
      <w:bookmarkStart w:id="54" w:name="_Toc143057559"/>
      <w:bookmarkStart w:id="55" w:name="_Toc144780369"/>
      <w:bookmarkStart w:id="56" w:name="_Toc152737142"/>
      <w:bookmarkStart w:id="57" w:name="_Toc200956516"/>
      <w:bookmarkStart w:id="58" w:name="_Toc200963340"/>
      <w:bookmarkStart w:id="59" w:name="_Toc202069503"/>
      <w:bookmarkStart w:id="60" w:name="_Toc202515992"/>
      <w:bookmarkStart w:id="61" w:name="_Toc202518249"/>
      <w:r>
        <w:rPr>
          <w:rStyle w:val="CharSchNo"/>
        </w:rPr>
        <w:t>Schedule 2</w:t>
      </w:r>
      <w:r>
        <w:t> — </w:t>
      </w:r>
      <w:r>
        <w:rPr>
          <w:rStyle w:val="CharSchText"/>
        </w:rPr>
        <w:t>Forms</w:t>
      </w:r>
      <w:bookmarkEnd w:id="49"/>
      <w:bookmarkEnd w:id="50"/>
      <w:bookmarkEnd w:id="51"/>
      <w:bookmarkEnd w:id="52"/>
      <w:bookmarkEnd w:id="53"/>
      <w:bookmarkEnd w:id="54"/>
      <w:bookmarkEnd w:id="55"/>
      <w:bookmarkEnd w:id="56"/>
      <w:bookmarkEnd w:id="57"/>
      <w:bookmarkEnd w:id="58"/>
      <w:bookmarkEnd w:id="59"/>
      <w:bookmarkEnd w:id="60"/>
      <w:bookmarkEnd w:id="61"/>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sz w:val="16"/>
              </w:rPr>
              <w:t>Road Traffic Act,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27"/>
                <w:tab w:val="left" w:pos="2268"/>
              </w:tabs>
              <w:ind w:left="459" w:hanging="459"/>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27"/>
                <w:tab w:val="left" w:pos="2268"/>
              </w:tabs>
              <w:ind w:left="459" w:hanging="459"/>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27"/>
                <w:tab w:val="left" w:pos="2268"/>
              </w:tabs>
              <w:ind w:left="459" w:hanging="459"/>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w:t>
      </w:r>
      <w:r>
        <w:noBreakHyphen/>
        <w:t>9.]</w:t>
      </w:r>
    </w:p>
    <w:p>
      <w:pPr>
        <w:pStyle w:val="yMiscellaneousHeading"/>
        <w:keepNext w:val="0"/>
        <w:pageBreakBefore/>
        <w:spacing w:before="0" w:after="80"/>
        <w:rPr>
          <w:b/>
          <w:sz w:val="18"/>
        </w:rPr>
      </w:pPr>
      <w:r>
        <w:rPr>
          <w:b/>
          <w:sz w:val="18"/>
        </w:rPr>
        <w:t>Form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4"/>
        <w:gridCol w:w="412"/>
        <w:gridCol w:w="1301"/>
        <w:gridCol w:w="404"/>
        <w:gridCol w:w="99"/>
        <w:gridCol w:w="346"/>
        <w:gridCol w:w="147"/>
        <w:gridCol w:w="1029"/>
        <w:gridCol w:w="105"/>
        <w:gridCol w:w="684"/>
        <w:gridCol w:w="19"/>
        <w:gridCol w:w="1282"/>
      </w:tblGrid>
      <w:tr>
        <w:trPr>
          <w:cantSplit/>
          <w:trHeight w:val="282"/>
        </w:trPr>
        <w:tc>
          <w:tcPr>
            <w:tcW w:w="7088" w:type="dxa"/>
            <w:gridSpan w:val="1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NOTICE REQUESTING INFORMATION / TRAFFIC INFRINGEMENT NOTICE — PHOTOGRAPHIC EVIDENCE</w:t>
            </w:r>
          </w:p>
        </w:tc>
      </w:tr>
      <w:tr>
        <w:trPr>
          <w:cantSplit/>
          <w:trHeight w:val="282"/>
        </w:trPr>
        <w:tc>
          <w:tcPr>
            <w:tcW w:w="7088" w:type="dxa"/>
            <w:gridSpan w:val="1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102C(1)</w:t>
            </w:r>
          </w:p>
        </w:tc>
      </w:tr>
      <w:tr>
        <w:trPr>
          <w:cantSplit/>
          <w:trHeight w:val="282"/>
        </w:trPr>
        <w:tc>
          <w:tcPr>
            <w:tcW w:w="2973"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5"/>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73" w:type="dxa"/>
            <w:gridSpan w:val="4"/>
            <w:vMerge/>
            <w:tcBorders>
              <w:left w:val="single" w:sz="4" w:space="0" w:color="auto"/>
            </w:tcBorders>
          </w:tcPr>
          <w:p>
            <w:pPr>
              <w:pStyle w:val="yTable"/>
              <w:rPr>
                <w:rFonts w:ascii="Arial Narrow" w:hAnsi="Arial Narrow"/>
                <w:spacing w:val="-2"/>
                <w:sz w:val="2"/>
              </w:rPr>
            </w:pPr>
          </w:p>
        </w:tc>
        <w:tc>
          <w:tcPr>
            <w:tcW w:w="4115" w:type="dxa"/>
            <w:gridSpan w:val="9"/>
            <w:tcBorders>
              <w:top w:val="nil"/>
              <w:bottom w:val="nil"/>
              <w:right w:val="nil"/>
            </w:tcBorders>
          </w:tcPr>
          <w:p>
            <w:pPr>
              <w:pStyle w:val="yTable"/>
              <w:spacing w:before="0"/>
              <w:rPr>
                <w:rFonts w:ascii="Arial Narrow" w:hAnsi="Arial Narrow"/>
                <w:spacing w:val="-2"/>
                <w:sz w:val="2"/>
              </w:rPr>
            </w:pPr>
          </w:p>
        </w:tc>
      </w:tr>
      <w:tr>
        <w:trPr>
          <w:cantSplit/>
          <w:trHeight w:val="282"/>
        </w:trPr>
        <w:tc>
          <w:tcPr>
            <w:tcW w:w="2973"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996" w:type="dxa"/>
            <w:gridSpan w:val="4"/>
            <w:tcBorders>
              <w:top w:val="nil"/>
              <w:left w:val="nil"/>
              <w:bottom w:val="nil"/>
              <w:right w:val="single" w:sz="4" w:space="0" w:color="auto"/>
            </w:tcBorders>
          </w:tcPr>
          <w:p>
            <w:pPr>
              <w:pStyle w:val="yTable"/>
              <w:jc w:val="right"/>
              <w:rPr>
                <w:rFonts w:ascii="Arial Narrow" w:hAnsi="Arial Narrow"/>
                <w:b/>
                <w:spacing w:val="-4"/>
                <w:sz w:val="14"/>
              </w:rPr>
            </w:pPr>
            <w:r>
              <w:rPr>
                <w:rFonts w:ascii="Arial Narrow" w:hAnsi="Arial Narrow"/>
                <w:b/>
                <w:spacing w:val="-4"/>
                <w:sz w:val="14"/>
              </w:rPr>
              <w:t>Specified Day:</w:t>
            </w:r>
          </w:p>
        </w:tc>
        <w:tc>
          <w:tcPr>
            <w:tcW w:w="1029" w:type="dxa"/>
            <w:tcBorders>
              <w:top w:val="single" w:sz="4" w:space="0" w:color="auto"/>
              <w:left w:val="single" w:sz="4" w:space="0" w:color="auto"/>
              <w:bottom w:val="single" w:sz="4" w:space="0" w:color="auto"/>
              <w:right w:val="single" w:sz="4" w:space="0" w:color="auto"/>
            </w:tcBorders>
          </w:tcPr>
          <w:p>
            <w:pPr>
              <w:pStyle w:val="yTable"/>
              <w:rPr>
                <w:rFonts w:ascii="Arial Narrow" w:hAnsi="Arial Narrow"/>
                <w:sz w:val="14"/>
              </w:rPr>
            </w:pPr>
          </w:p>
        </w:tc>
        <w:tc>
          <w:tcPr>
            <w:tcW w:w="808" w:type="dxa"/>
            <w:gridSpan w:val="3"/>
            <w:tcBorders>
              <w:top w:val="nil"/>
              <w:left w:val="single" w:sz="4" w:space="0" w:color="auto"/>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3"/>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primary purpose of this notice is for you to advise the WA Police who was driving or in charge of the vehicle at the time of the offence alleged in Part A.  To do this you may complete and return one of the Divisions of Part F of this notice within 14 days of the specified day (specified at the top of this form) to avoid the modified penalty below.</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photographic evidence of the offence was enclosed with this notice and you failed to comply with s.102C(3) of the Act within 14 days after the specified day shown above, you commit an offence which may be dealt with in the Magistrates Court or by paying the modified penalty shown in this Part to the officer specified in Part E within 28 days after the specified day shown above.</w:t>
            </w:r>
          </w:p>
          <w:p>
            <w:pPr>
              <w:pStyle w:val="yTable"/>
              <w:tabs>
                <w:tab w:val="left" w:pos="2268"/>
              </w:tabs>
              <w:rPr>
                <w:rFonts w:ascii="Arial Narrow" w:hAnsi="Arial Narrow"/>
                <w:sz w:val="14"/>
              </w:rPr>
            </w:pPr>
            <w:r>
              <w:rPr>
                <w:rFonts w:ascii="Arial Narrow" w:hAnsi="Arial Narrow"/>
                <w:b/>
                <w:i/>
                <w:sz w:val="14"/>
              </w:rPr>
              <w:t>Please note that there is further information in Part E (overleaf).</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72"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180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985"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PHOTOGRAPHIC EVIDENCE</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images below are a representation of the original photographic evidence.  Due to the limitations of printing photographs in this format they are not intended or expected to duplicate the quality of the original images.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jc w:val="center"/>
              <w:rPr>
                <w:rFonts w:ascii="Arial Narrow" w:hAnsi="Arial Narrow"/>
                <w:sz w:val="14"/>
              </w:rPr>
            </w:pPr>
            <w:r>
              <w:rPr>
                <w:rFonts w:ascii="Arial Narrow" w:hAnsi="Arial Narrow"/>
                <w:sz w:val="14"/>
              </w:rPr>
              <w:t>[Photographs of vehicle]</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rPr>
                <w:rFonts w:ascii="Arial Narrow" w:hAnsi="Arial Narrow"/>
                <w:b/>
                <w:sz w:val="14"/>
              </w:rPr>
            </w:pPr>
            <w:r>
              <w:rPr>
                <w:rFonts w:ascii="Arial Narrow" w:hAnsi="Arial Narrow"/>
                <w:sz w:val="14"/>
              </w:rPr>
              <w:t xml:space="preserve">These images identify the vehicle.  There is no legal requirement for them to identify the driver of the vehicle.  You,  as the “responsible person” for this vehicle, are required to identify the driver at the time.  These images may assist you in this identification. </w:t>
            </w:r>
            <w:r>
              <w:rPr>
                <w:rFonts w:ascii="Arial Narrow" w:hAnsi="Arial Narrow"/>
                <w:b/>
                <w:sz w:val="14"/>
              </w:rPr>
              <w:t>[Does not apply if photographic evidence not enclosed]</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PAYMENT DETAILS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are to be included with this form and the officer to whom payment may be made is to be specified here ]</w:t>
            </w:r>
          </w:p>
          <w:p>
            <w:pPr>
              <w:pStyle w:val="yTable"/>
              <w:tabs>
                <w:tab w:val="left" w:pos="2268"/>
              </w:tabs>
              <w:rPr>
                <w:rFonts w:ascii="Arial Narrow" w:hAnsi="Arial Narrow"/>
                <w:spacing w:val="-2"/>
                <w:sz w:val="14"/>
              </w:rPr>
            </w:pPr>
          </w:p>
        </w:tc>
      </w:tr>
    </w:tbl>
    <w:p/>
    <w:p>
      <w:pPr>
        <w:pStyle w:val="yTable"/>
        <w:pageBreakBefore/>
        <w:spacing w:before="0"/>
        <w:jc w:val="center"/>
        <w:rPr>
          <w:i/>
          <w:sz w:val="18"/>
        </w:rPr>
      </w:pPr>
      <w:r>
        <w:rPr>
          <w:i/>
          <w:sz w:val="18"/>
        </w:rPr>
        <w:t>Reverse of Form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9"/>
        <w:gridCol w:w="142"/>
        <w:gridCol w:w="1142"/>
        <w:gridCol w:w="139"/>
        <w:gridCol w:w="547"/>
        <w:gridCol w:w="419"/>
        <w:gridCol w:w="306"/>
        <w:gridCol w:w="647"/>
        <w:gridCol w:w="207"/>
        <w:gridCol w:w="566"/>
        <w:gridCol w:w="548"/>
        <w:gridCol w:w="162"/>
        <w:gridCol w:w="274"/>
        <w:gridCol w:w="294"/>
        <w:gridCol w:w="36"/>
        <w:gridCol w:w="958"/>
      </w:tblGrid>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YOUR OPTIONS — FURTHER DETAILS</w:t>
            </w:r>
          </w:p>
        </w:tc>
      </w:tr>
      <w:tr>
        <w:trPr>
          <w:cantSplit/>
          <w:trHeight w:val="282"/>
        </w:trPr>
        <w:tc>
          <w:tcPr>
            <w:tcW w:w="7196" w:type="dxa"/>
            <w:gridSpan w:val="16"/>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r>
              <w:rPr>
                <w:rFonts w:ascii="Arial Narrow" w:hAnsi="Arial Narrow"/>
                <w:sz w:val="14"/>
              </w:rPr>
              <w:t xml:space="preserve">  If you fail to comply with s.102C(3) of the Act, then —</w:t>
            </w:r>
          </w:p>
          <w:p>
            <w:pPr>
              <w:pStyle w:val="yTable"/>
              <w:tabs>
                <w:tab w:val="left" w:pos="284"/>
                <w:tab w:val="left" w:pos="2268"/>
              </w:tabs>
              <w:spacing w:before="20"/>
              <w:rPr>
                <w:rFonts w:ascii="Arial Narrow" w:hAnsi="Arial Narrow"/>
                <w:sz w:val="14"/>
              </w:rPr>
            </w:pPr>
            <w:r>
              <w:rPr>
                <w:rFonts w:ascii="Arial Narrow" w:hAnsi="Arial Narrow"/>
                <w:sz w:val="14"/>
              </w:rPr>
              <w:tab/>
              <w:t>this notice is to be regarded as an infringement notice for your failure to comply;</w:t>
            </w:r>
          </w:p>
          <w:p>
            <w:pPr>
              <w:pStyle w:val="yTable"/>
              <w:tabs>
                <w:tab w:val="left" w:pos="284"/>
                <w:tab w:val="left" w:pos="2268"/>
              </w:tabs>
              <w:spacing w:before="20"/>
              <w:rPr>
                <w:rFonts w:ascii="Arial Narrow" w:hAnsi="Arial Narrow"/>
                <w:sz w:val="14"/>
              </w:rPr>
            </w:pPr>
            <w:r>
              <w:rPr>
                <w:rFonts w:ascii="Arial Narrow" w:hAnsi="Arial Narrow"/>
                <w:sz w:val="14"/>
              </w:rPr>
              <w:tab/>
              <w:t>the amount due under Part B is the modified penalty for that failure to comply; and</w:t>
            </w:r>
          </w:p>
          <w:p>
            <w:pPr>
              <w:pStyle w:val="yTable"/>
              <w:tabs>
                <w:tab w:val="left" w:pos="284"/>
                <w:tab w:val="left" w:pos="2268"/>
              </w:tabs>
              <w:spacing w:before="20"/>
              <w:rPr>
                <w:rFonts w:ascii="Arial Narrow" w:hAnsi="Arial Narrow"/>
                <w:sz w:val="14"/>
              </w:rPr>
            </w:pPr>
            <w:r>
              <w:rPr>
                <w:rFonts w:ascii="Arial Narrow" w:hAnsi="Arial Narrow"/>
                <w:sz w:val="14"/>
              </w:rPr>
              <w:tab/>
              <w:t>unless you, by .............................., either (1) pay the modified penalty within the time specified or (2) elect to have the matter dealt with in court; you may be liable for extra costs.</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284"/>
                <w:tab w:val="left" w:pos="2268"/>
              </w:tabs>
              <w:spacing w:before="20"/>
              <w:rPr>
                <w:rFonts w:ascii="Arial Narrow" w:hAnsi="Arial Narrow"/>
                <w:sz w:val="14"/>
              </w:rPr>
            </w:pPr>
            <w:r>
              <w:rPr>
                <w:rFonts w:ascii="Arial Narrow" w:hAnsi="Arial Narrow"/>
                <w:sz w:val="14"/>
              </w:rPr>
              <w:tab/>
              <w:t>the payment is received on or before .............................. ;</w:t>
            </w:r>
          </w:p>
          <w:p>
            <w:pPr>
              <w:pStyle w:val="yTable"/>
              <w:tabs>
                <w:tab w:val="left" w:pos="284"/>
                <w:tab w:val="left" w:pos="2268"/>
              </w:tabs>
              <w:spacing w:before="20"/>
              <w:rPr>
                <w:rFonts w:ascii="Arial Narrow" w:hAnsi="Arial Narrow"/>
                <w:sz w:val="14"/>
              </w:rPr>
            </w:pPr>
            <w:r>
              <w:rPr>
                <w:rFonts w:ascii="Arial Narrow" w:hAnsi="Arial Narrow"/>
                <w:sz w:val="14"/>
              </w:rPr>
              <w:tab/>
              <w:t>the payment is made in full; and</w:t>
            </w:r>
          </w:p>
          <w:p>
            <w:pPr>
              <w:pStyle w:val="yTable"/>
              <w:tabs>
                <w:tab w:val="left" w:pos="284"/>
                <w:tab w:val="left" w:pos="2268"/>
              </w:tabs>
              <w:spacing w:before="20"/>
              <w:rPr>
                <w:rFonts w:ascii="Arial Narrow" w:hAnsi="Arial Narrow"/>
                <w:b/>
                <w:spacing w:val="-2"/>
                <w:sz w:val="14"/>
              </w:rPr>
            </w:pPr>
            <w:r>
              <w:rPr>
                <w:rFonts w:ascii="Arial Narrow" w:hAnsi="Arial Narrow"/>
                <w:sz w:val="14"/>
              </w:rPr>
              <w:tab/>
              <w:t>the payment is made as specified in this notice.</w:t>
            </w:r>
          </w:p>
        </w:tc>
      </w:tr>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DRIVING OR IN CHARGE OF THE VEHICLE</w:t>
            </w:r>
          </w:p>
        </w:tc>
      </w:tr>
      <w:tr>
        <w:trPr>
          <w:cantSplit/>
          <w:trHeight w:val="40"/>
        </w:trPr>
        <w:tc>
          <w:tcPr>
            <w:tcW w:w="7196" w:type="dxa"/>
            <w:gridSpan w:val="16"/>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Please complete Division 1 OR 2 or, if photographic evidence was enclosed, Division 3.</w:t>
            </w: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Division 1:</w:t>
            </w:r>
            <w:r>
              <w:rPr>
                <w:rFonts w:ascii="Arial Narrow" w:hAnsi="Arial Narrow"/>
                <w:sz w:val="14"/>
              </w:rPr>
              <w:t xml:space="preserve">  The person who was driving / in charge of (delete whichever is inapplicable) the vehicle was —</w:t>
            </w: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389"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88" w:type="dxa"/>
            <w:gridSpan w:val="3"/>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695" w:type="dxa"/>
            <w:gridSpan w:val="6"/>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7"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3"/>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4"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 xml:space="preserve">Division 2: </w:t>
            </w:r>
            <w:r>
              <w:rPr>
                <w:rFonts w:ascii="Arial Narrow" w:hAnsi="Arial Narrow"/>
                <w:sz w:val="14"/>
              </w:rPr>
              <w:t xml:space="preserve"> At the time of the offence the vehicle was stolen / unlawfully taken or used (delete whichever is inapplicable).  </w:t>
            </w:r>
          </w:p>
        </w:tc>
      </w:tr>
      <w:tr>
        <w:trPr>
          <w:cantSplit/>
          <w:trHeight w:val="282"/>
        </w:trPr>
        <w:tc>
          <w:tcPr>
            <w:tcW w:w="7196" w:type="dxa"/>
            <w:gridSpan w:val="16"/>
            <w:tcBorders>
              <w:top w:val="nil"/>
              <w:left w:val="single" w:sz="4" w:space="0" w:color="auto"/>
              <w:bottom w:val="nil"/>
              <w:right w:val="single" w:sz="4" w:space="0" w:color="auto"/>
            </w:tcBorders>
            <w:vAlign w:val="bottom"/>
          </w:tcPr>
          <w:p>
            <w:pPr>
              <w:pStyle w:val="yTable"/>
              <w:tabs>
                <w:tab w:val="left" w:pos="2268"/>
              </w:tabs>
              <w:rPr>
                <w:rFonts w:ascii="Arial Narrow" w:hAnsi="Arial Narrow"/>
                <w:sz w:val="14"/>
              </w:rPr>
            </w:pPr>
            <w:r>
              <w:rPr>
                <w:rFonts w:ascii="Arial Narrow" w:hAnsi="Arial Narrow"/>
                <w:sz w:val="14"/>
              </w:rPr>
              <w:t>Date, time and circumstances in which you discovered vehicle had been stolen / taken / unlawfully used:</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_____________________________________________________________________________________________________________</w:t>
            </w: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b/>
                <w:sz w:val="14"/>
              </w:rPr>
              <w:t>Division 3:  Statutory Declaration</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I ............................................................................. [name], of ........................................................................................ [address], being authorised to make statements for ....................................................., do solemnly and sincerely declare that I do not know and cannot reasonably ascertain the name and address of the driver or person in charge of the vehicle at the time of the offence alleged in Part A,</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 xml:space="preserve">and I make this solemn declaration by virtue of section 106 of the </w:t>
            </w:r>
            <w:r>
              <w:rPr>
                <w:rFonts w:ascii="Arial Narrow" w:hAnsi="Arial Narrow"/>
                <w:i/>
                <w:sz w:val="14"/>
              </w:rPr>
              <w:t>Evidence Act 1906</w:t>
            </w:r>
            <w:r>
              <w:rPr>
                <w:rFonts w:ascii="Arial Narrow" w:hAnsi="Arial Narrow"/>
                <w:sz w:val="14"/>
              </w:rPr>
              <w:t>.</w:t>
            </w: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Declared at:</w:t>
            </w:r>
          </w:p>
        </w:tc>
        <w:tc>
          <w:tcPr>
            <w:tcW w:w="128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272"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Before:</w:t>
            </w:r>
          </w:p>
        </w:tc>
        <w:tc>
          <w:tcPr>
            <w:tcW w:w="3692" w:type="dxa"/>
            <w:gridSpan w:val="9"/>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1281" w:type="dxa"/>
            <w:gridSpan w:val="2"/>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547" w:type="dxa"/>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725"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854"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Signature:</w:t>
            </w:r>
          </w:p>
        </w:tc>
        <w:tc>
          <w:tcPr>
            <w:tcW w:w="1276"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04"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95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Pr>
        <w:tc>
          <w:tcPr>
            <w:tcW w:w="951" w:type="dxa"/>
            <w:gridSpan w:val="2"/>
            <w:tcBorders>
              <w:top w:val="nil"/>
              <w:left w:val="single" w:sz="4" w:space="0" w:color="auto"/>
              <w:bottom w:val="single" w:sz="4" w:space="0" w:color="auto"/>
              <w:right w:val="nil"/>
            </w:tcBorders>
          </w:tcPr>
          <w:p>
            <w:pPr>
              <w:pStyle w:val="yTable"/>
              <w:tabs>
                <w:tab w:val="left" w:pos="2268"/>
              </w:tabs>
              <w:spacing w:before="0"/>
              <w:rPr>
                <w:rFonts w:ascii="Arial Narrow" w:hAnsi="Arial Narrow"/>
                <w:sz w:val="14"/>
              </w:rPr>
            </w:pPr>
          </w:p>
        </w:tc>
        <w:tc>
          <w:tcPr>
            <w:tcW w:w="1281" w:type="dxa"/>
            <w:gridSpan w:val="2"/>
            <w:tcBorders>
              <w:top w:val="single" w:sz="4" w:space="0" w:color="auto"/>
              <w:left w:val="nil"/>
              <w:bottom w:val="single" w:sz="4" w:space="0" w:color="auto"/>
              <w:right w:val="nil"/>
            </w:tcBorders>
          </w:tcPr>
          <w:p>
            <w:pPr>
              <w:pStyle w:val="yTable"/>
              <w:tabs>
                <w:tab w:val="left" w:pos="2268"/>
              </w:tabs>
              <w:spacing w:before="0"/>
              <w:rPr>
                <w:rFonts w:ascii="Arial Narrow" w:hAnsi="Arial Narrow"/>
                <w:sz w:val="14"/>
              </w:rPr>
            </w:pPr>
          </w:p>
        </w:tc>
        <w:tc>
          <w:tcPr>
            <w:tcW w:w="547" w:type="dxa"/>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725"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854"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2838" w:type="dxa"/>
            <w:gridSpan w:val="7"/>
            <w:tcBorders>
              <w:top w:val="nil"/>
              <w:left w:val="nil"/>
              <w:bottom w:val="single" w:sz="4" w:space="0" w:color="auto"/>
              <w:right w:val="single" w:sz="4" w:space="0" w:color="auto"/>
            </w:tcBorders>
          </w:tcPr>
          <w:p>
            <w:pPr>
              <w:pStyle w:val="yTable"/>
              <w:tabs>
                <w:tab w:val="left" w:pos="2268"/>
              </w:tabs>
              <w:spacing w:before="0"/>
              <w:rPr>
                <w:rFonts w:ascii="Arial Narrow" w:hAnsi="Arial Narrow"/>
                <w:sz w:val="14"/>
              </w:rPr>
            </w:pPr>
            <w:r>
              <w:rPr>
                <w:rFonts w:ascii="Arial Narrow" w:hAnsi="Arial Narrow"/>
                <w:sz w:val="14"/>
              </w:rPr>
              <w:t>JP, CD, Police Officer etc.</w:t>
            </w: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nil"/>
              <w:left w:val="nil"/>
              <w:bottom w:val="nil"/>
              <w:right w:val="nil"/>
            </w:tcBorders>
            <w:shd w:val="clear" w:color="auto" w:fill="C0C0C0"/>
          </w:tcPr>
          <w:p>
            <w:pPr>
              <w:pStyle w:val="yTable"/>
              <w:tabs>
                <w:tab w:val="left" w:pos="2268"/>
              </w:tabs>
              <w:rPr>
                <w:rFonts w:ascii="Arial" w:hAnsi="Arial"/>
                <w:b/>
                <w:sz w:val="14"/>
              </w:rPr>
            </w:pPr>
            <w:r>
              <w:rPr>
                <w:rFonts w:ascii="Arial" w:hAnsi="Arial"/>
                <w:b/>
                <w:sz w:val="14"/>
              </w:rPr>
              <w:t>Mail or personally deliver this completed form to the officer in charge, Infringement Management and Operations GPO Box S1400 Perth WA 6845, or personally deliver it to the officer in charge of any police station.</w:t>
            </w:r>
          </w:p>
        </w:tc>
      </w:tr>
    </w:tbl>
    <w:p>
      <w:pPr>
        <w:pStyle w:val="yFootnotesection"/>
      </w:pPr>
      <w:r>
        <w:tab/>
        <w:t>[Form 4 inserted in Gazette 23 Dec 2005 p. 6289</w:t>
      </w:r>
      <w:r>
        <w:noBreakHyphen/>
        <w:t>90.]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sectPr>
          <w:headerReference w:type="even" r:id="rId26"/>
          <w:headerReference w:type="default" r:id="rId27"/>
          <w:footerReference w:type="even" r:id="rId28"/>
          <w:footerReference w:type="default" r:id="rId29"/>
          <w:headerReference w:type="first" r:id="rId30"/>
          <w:pgSz w:w="11906" w:h="16838" w:code="9"/>
          <w:pgMar w:top="2376" w:right="2405" w:bottom="3542" w:left="2405" w:header="706" w:footer="3528" w:gutter="0"/>
          <w:cols w:space="720"/>
          <w:noEndnote/>
        </w:sectPr>
      </w:pPr>
      <w:bookmarkStart w:id="62" w:name="_Toc477139102"/>
      <w:bookmarkStart w:id="63" w:name="_Toc123034110"/>
      <w:bookmarkStart w:id="64" w:name="_Toc123102539"/>
      <w:bookmarkStart w:id="65" w:name="_Toc124150223"/>
      <w:bookmarkStart w:id="66" w:name="_Toc124150283"/>
      <w:bookmarkStart w:id="67" w:name="_Toc128536954"/>
      <w:bookmarkStart w:id="68" w:name="_Toc139876550"/>
      <w:bookmarkStart w:id="69" w:name="_Toc139949195"/>
      <w:bookmarkStart w:id="70" w:name="_Toc143057357"/>
      <w:bookmarkStart w:id="71" w:name="_Toc143057519"/>
      <w:bookmarkStart w:id="72" w:name="_Toc143057560"/>
      <w:bookmarkStart w:id="73" w:name="_Toc144780370"/>
      <w:bookmarkStart w:id="74" w:name="_Toc152737143"/>
    </w:p>
    <w:p>
      <w:pPr>
        <w:pStyle w:val="nHeading2"/>
      </w:pPr>
      <w:bookmarkStart w:id="75" w:name="_Toc200956517"/>
      <w:bookmarkStart w:id="76" w:name="_Toc200963341"/>
      <w:bookmarkStart w:id="77" w:name="_Toc202069504"/>
      <w:bookmarkStart w:id="78" w:name="_Toc202515993"/>
      <w:bookmarkStart w:id="79" w:name="_Toc202518250"/>
      <w:r>
        <w:t>Notes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0" w:name="_Toc202515994"/>
      <w:bookmarkStart w:id="81" w:name="_Toc202518251"/>
      <w:r>
        <w:rPr>
          <w:snapToGrid w:val="0"/>
        </w:rPr>
        <w:t>Compilation table</w:t>
      </w:r>
      <w:bookmarkEnd w:id="80"/>
      <w:bookmarkEnd w:id="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rFonts w:ascii="Times" w:hAnsi="Times"/>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r>
              <w:rPr>
                <w:sz w:val="19"/>
              </w:rPr>
              <w:br/>
              <w:t xml:space="preserve">[The amendments to the First Schedule do not have effect because the items they would have amended were deleted in </w:t>
            </w:r>
            <w:r>
              <w:rPr>
                <w:i/>
                <w:iCs/>
                <w:sz w:val="19"/>
              </w:rPr>
              <w:t>Gazette</w:t>
            </w:r>
            <w:r>
              <w:rPr>
                <w:sz w:val="19"/>
              </w:rPr>
              <w:t xml:space="preserve"> 1 Dec 2000 p. 6759.]</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Borders>
              <w:bottom w:val="single" w:sz="8" w:space="0" w:color="auto"/>
            </w:tcBorders>
          </w:tcPr>
          <w:p>
            <w:pPr>
              <w:pStyle w:val="nTable"/>
              <w:spacing w:after="40"/>
              <w:ind w:right="113"/>
              <w:rPr>
                <w:i/>
                <w:sz w:val="19"/>
              </w:rPr>
            </w:pPr>
            <w:r>
              <w:rPr>
                <w:i/>
                <w:sz w:val="19"/>
              </w:rPr>
              <w:t>Road Traffic Amendment (Novice Driver Penalties) Regulations 2008</w:t>
            </w:r>
            <w:r>
              <w:rPr>
                <w:i/>
                <w:iCs/>
                <w:sz w:val="19"/>
              </w:rPr>
              <w:t xml:space="preserve"> </w:t>
            </w:r>
            <w:r>
              <w:rPr>
                <w:sz w:val="19"/>
              </w:rPr>
              <w:t>Pt. 3</w:t>
            </w:r>
          </w:p>
        </w:tc>
        <w:tc>
          <w:tcPr>
            <w:tcW w:w="1276" w:type="dxa"/>
            <w:tcBorders>
              <w:bottom w:val="single" w:sz="8" w:space="0" w:color="auto"/>
            </w:tcBorders>
          </w:tcPr>
          <w:p>
            <w:pPr>
              <w:pStyle w:val="nTable"/>
              <w:spacing w:after="40"/>
              <w:rPr>
                <w:sz w:val="19"/>
              </w:rPr>
            </w:pPr>
            <w:r>
              <w:rPr>
                <w:sz w:val="19"/>
              </w:rPr>
              <w:t>27 Jun 2008 p. 3119-24</w:t>
            </w:r>
          </w:p>
        </w:tc>
        <w:tc>
          <w:tcPr>
            <w:tcW w:w="2693" w:type="dxa"/>
            <w:tcBorders>
              <w:bottom w:val="single" w:sz="8" w:space="0" w:color="auto"/>
            </w:tcBorders>
          </w:tcPr>
          <w:p>
            <w:pPr>
              <w:pStyle w:val="nTable"/>
              <w:spacing w:after="40"/>
              <w:rPr>
                <w:sz w:val="19"/>
              </w:rPr>
            </w:pPr>
            <w:r>
              <w:rPr>
                <w:sz w:val="19"/>
              </w:rPr>
              <w:t>r. 1 and 2: 27 Jun 2008 (see r. 2(a))</w:t>
            </w:r>
            <w:r>
              <w:rPr>
                <w:sz w:val="19"/>
              </w:rPr>
              <w:br/>
              <w:t xml:space="preserve">Regulations other than r. 1 and 2: 1 Jul 2008 (see r. 2(b) and </w:t>
            </w:r>
            <w:r>
              <w:rPr>
                <w:i/>
                <w:iCs/>
                <w:sz w:val="19"/>
              </w:rPr>
              <w:t>Gazette</w:t>
            </w:r>
            <w:r>
              <w:rPr>
                <w:sz w:val="19"/>
              </w:rPr>
              <w:t xml:space="preserve"> 27 Jun 2008 p. 3117)</w:t>
            </w:r>
          </w:p>
        </w:tc>
      </w:tr>
    </w:tbl>
    <w:p>
      <w:pPr>
        <w:pStyle w:val="nSubsection"/>
      </w:pPr>
      <w:bookmarkStart w:id="82" w:name="UpToHere"/>
      <w:bookmarkEnd w:id="82"/>
      <w:r>
        <w:rPr>
          <w:vertAlign w:val="superscript"/>
        </w:rPr>
        <w:t>2</w:t>
      </w:r>
      <w:r>
        <w:tab/>
        <w:t xml:space="preserve">This amendment was superseded in </w:t>
      </w:r>
      <w:r>
        <w:rPr>
          <w:i/>
          <w:iCs/>
        </w:rPr>
        <w:t>Gazette</w:t>
      </w:r>
      <w:r>
        <w:t xml:space="preserve"> 29 Jun 1979 p. 1777-8.</w:t>
      </w:r>
    </w:p>
    <w:p/>
    <w:p>
      <w:pPr>
        <w:sectPr>
          <w:headerReference w:type="even" r:id="rId31"/>
          <w:headerReference w:type="default" r:id="rId32"/>
          <w:footerReference w:type="even" r:id="rId33"/>
          <w:footerReference w:type="default" r:id="rId34"/>
          <w:headerReference w:type="first" r:id="rId35"/>
          <w:pgSz w:w="11906" w:h="16838" w:code="9"/>
          <w:pgMar w:top="2376" w:right="2404" w:bottom="3544" w:left="2404" w:header="720" w:footer="3527" w:gutter="0"/>
          <w:cols w:space="720"/>
          <w:noEndnote/>
        </w:sectPr>
      </w:pPr>
    </w:p>
    <w:p/>
    <w:sectPr>
      <w:headerReference w:type="even" r:id="rId36"/>
      <w:headerReference w:type="default" r:id="rId3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14</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15</w:t>
    </w:r>
    <w:r>
      <w:rPr>
        <w:rStyle w:val="CharPageNo"/>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20</w:t>
    </w:r>
    <w:r>
      <w:rPr>
        <w:rStyle w:val="CharPageNo"/>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(Infringements)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(Infringements)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A853DBE"/>
    <w:multiLevelType w:val="hybridMultilevel"/>
    <w:tmpl w:val="EB06C75A"/>
    <w:lvl w:ilvl="0" w:tplc="EC867D5C">
      <w:start w:val="1"/>
      <w:numFmt w:val="decimal"/>
      <w:lvlText w:val="%1."/>
      <w:lvlJc w:val="left"/>
      <w:pPr>
        <w:tabs>
          <w:tab w:val="num" w:pos="360"/>
        </w:tabs>
        <w:ind w:left="360" w:hanging="360"/>
      </w:pPr>
    </w:lvl>
    <w:lvl w:ilvl="1" w:tplc="CB4A910A" w:tentative="1">
      <w:start w:val="1"/>
      <w:numFmt w:val="lowerLetter"/>
      <w:lvlText w:val="%2."/>
      <w:lvlJc w:val="left"/>
      <w:pPr>
        <w:tabs>
          <w:tab w:val="num" w:pos="1440"/>
        </w:tabs>
        <w:ind w:left="1440" w:hanging="360"/>
      </w:pPr>
    </w:lvl>
    <w:lvl w:ilvl="2" w:tplc="8FC278DA" w:tentative="1">
      <w:start w:val="1"/>
      <w:numFmt w:val="lowerRoman"/>
      <w:lvlText w:val="%3."/>
      <w:lvlJc w:val="right"/>
      <w:pPr>
        <w:tabs>
          <w:tab w:val="num" w:pos="2160"/>
        </w:tabs>
        <w:ind w:left="2160" w:hanging="180"/>
      </w:pPr>
    </w:lvl>
    <w:lvl w:ilvl="3" w:tplc="CBA4E138" w:tentative="1">
      <w:start w:val="1"/>
      <w:numFmt w:val="decimal"/>
      <w:lvlText w:val="%4."/>
      <w:lvlJc w:val="left"/>
      <w:pPr>
        <w:tabs>
          <w:tab w:val="num" w:pos="2880"/>
        </w:tabs>
        <w:ind w:left="2880" w:hanging="360"/>
      </w:pPr>
    </w:lvl>
    <w:lvl w:ilvl="4" w:tplc="AE2A0A60" w:tentative="1">
      <w:start w:val="1"/>
      <w:numFmt w:val="lowerLetter"/>
      <w:lvlText w:val="%5."/>
      <w:lvlJc w:val="left"/>
      <w:pPr>
        <w:tabs>
          <w:tab w:val="num" w:pos="3600"/>
        </w:tabs>
        <w:ind w:left="3600" w:hanging="360"/>
      </w:pPr>
    </w:lvl>
    <w:lvl w:ilvl="5" w:tplc="5D505578" w:tentative="1">
      <w:start w:val="1"/>
      <w:numFmt w:val="lowerRoman"/>
      <w:lvlText w:val="%6."/>
      <w:lvlJc w:val="right"/>
      <w:pPr>
        <w:tabs>
          <w:tab w:val="num" w:pos="4320"/>
        </w:tabs>
        <w:ind w:left="4320" w:hanging="180"/>
      </w:pPr>
    </w:lvl>
    <w:lvl w:ilvl="6" w:tplc="7102E72E" w:tentative="1">
      <w:start w:val="1"/>
      <w:numFmt w:val="decimal"/>
      <w:lvlText w:val="%7."/>
      <w:lvlJc w:val="left"/>
      <w:pPr>
        <w:tabs>
          <w:tab w:val="num" w:pos="5040"/>
        </w:tabs>
        <w:ind w:left="5040" w:hanging="360"/>
      </w:pPr>
    </w:lvl>
    <w:lvl w:ilvl="7" w:tplc="7D48A84A" w:tentative="1">
      <w:start w:val="1"/>
      <w:numFmt w:val="lowerLetter"/>
      <w:lvlText w:val="%8."/>
      <w:lvlJc w:val="left"/>
      <w:pPr>
        <w:tabs>
          <w:tab w:val="num" w:pos="5760"/>
        </w:tabs>
        <w:ind w:left="5760" w:hanging="360"/>
      </w:pPr>
    </w:lvl>
    <w:lvl w:ilvl="8" w:tplc="AD2ABE00" w:tentative="1">
      <w:start w:val="1"/>
      <w:numFmt w:val="lowerRoman"/>
      <w:lvlText w:val="%9."/>
      <w:lvlJc w:val="right"/>
      <w:pPr>
        <w:tabs>
          <w:tab w:val="num" w:pos="6480"/>
        </w:tabs>
        <w:ind w:left="6480" w:hanging="180"/>
      </w:pPr>
    </w:lvl>
  </w:abstractNum>
  <w:abstractNum w:abstractNumId="4">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042"/>
    <w:docVar w:name="WAFER_20151209115042" w:val="RemoveTrackChanges"/>
    <w:docVar w:name="WAFER_20151209115042_GUID" w:val="87550f56-687d-4cc2-8d4e-61cdc1ba27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5499</Words>
  <Characters>27770</Characters>
  <Application>Microsoft Office Word</Application>
  <DocSecurity>0</DocSecurity>
  <Lines>1322</Lines>
  <Paragraphs>792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1975 - 05-f0-05</dc:title>
  <dc:subject/>
  <dc:creator/>
  <cp:keywords/>
  <dc:description/>
  <cp:lastModifiedBy>svcMRProcess</cp:lastModifiedBy>
  <cp:revision>4</cp:revision>
  <cp:lastPrinted>2006-08-11T03:11:00Z</cp:lastPrinted>
  <dcterms:created xsi:type="dcterms:W3CDTF">2015-12-17T17:53:00Z</dcterms:created>
  <dcterms:modified xsi:type="dcterms:W3CDTF">2015-12-17T17:53:00Z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4754</vt:i4>
  </property>
  <property fmtid="{D5CDD505-2E9C-101B-9397-08002B2CF9AE}" pid="6" name="ReprintNo">
    <vt:lpwstr>5</vt:lpwstr>
  </property>
  <property fmtid="{D5CDD505-2E9C-101B-9397-08002B2CF9AE}" pid="7" name="AsAtDate">
    <vt:lpwstr>01 Jul 2008</vt:lpwstr>
  </property>
  <property fmtid="{D5CDD505-2E9C-101B-9397-08002B2CF9AE}" pid="8" name="Suffix">
    <vt:lpwstr>05-f0-05</vt:lpwstr>
  </property>
</Properties>
</file>