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Stock (Identification and Movement) Act 1970</w:t>
      </w:r>
    </w:p>
    <w:p>
      <w:pPr>
        <w:pStyle w:val="NameofActRegPage1"/>
        <w:spacing w:before="1800" w:after="4200"/>
      </w:pPr>
      <w:r>
        <w:fldChar w:fldCharType="begin"/>
      </w:r>
      <w:r>
        <w:instrText xml:space="preserve"> STYLEREF "Name Of Act/Reg"</w:instrText>
      </w:r>
      <w:r>
        <w:fldChar w:fldCharType="separate"/>
      </w:r>
      <w:r>
        <w:rPr>
          <w:noProof/>
        </w:rPr>
        <w:t>Stock (Identification and Movement) Regulations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_Toc437915999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Persons who may use registered brands or earmarks</w:t>
      </w:r>
      <w:r>
        <w:tab/>
      </w:r>
      <w:r>
        <w:fldChar w:fldCharType="begin"/>
      </w:r>
      <w:r>
        <w:instrText xml:space="preserve"> PAGEREF _Toc437916000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Requirements relating to various means of branding</w:t>
      </w:r>
      <w:r>
        <w:tab/>
      </w:r>
      <w:r>
        <w:fldChar w:fldCharType="begin"/>
      </w:r>
      <w:r>
        <w:instrText xml:space="preserve"> PAGEREF _Toc437916001 \h </w:instrText>
      </w:r>
      <w:r>
        <w:fldChar w:fldCharType="separate"/>
      </w:r>
      <w:r>
        <w:t>2</w:t>
      </w:r>
      <w:r>
        <w:fldChar w:fldCharType="end"/>
      </w:r>
    </w:p>
    <w:p>
      <w:pPr>
        <w:pStyle w:val="TOC8"/>
        <w:rPr>
          <w:rFonts w:asciiTheme="minorHAnsi" w:eastAsiaTheme="minorEastAsia" w:hAnsiTheme="minorHAnsi" w:cstheme="minorBidi"/>
          <w:szCs w:val="22"/>
          <w:lang w:eastAsia="en-AU"/>
        </w:rPr>
      </w:pPr>
      <w:r>
        <w:t>4A.</w:t>
      </w:r>
      <w:r>
        <w:tab/>
        <w:t>Manufacture and sale of eartags for identifying sheep, goats and camelids</w:t>
      </w:r>
      <w:r>
        <w:tab/>
      </w:r>
      <w:r>
        <w:fldChar w:fldCharType="begin"/>
      </w:r>
      <w:r>
        <w:instrText xml:space="preserve"> PAGEREF _Toc437916002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Age marks for sheep</w:t>
      </w:r>
      <w:r>
        <w:tab/>
      </w:r>
      <w:r>
        <w:fldChar w:fldCharType="begin"/>
      </w:r>
      <w:r>
        <w:instrText xml:space="preserve"> PAGEREF _Toc437916003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Use of firebrands or freezebrands, and marking stud cattle</w:t>
      </w:r>
      <w:r>
        <w:tab/>
      </w:r>
      <w:r>
        <w:fldChar w:fldCharType="begin"/>
      </w:r>
      <w:r>
        <w:instrText xml:space="preserve"> PAGEREF _Toc437916004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Manner of applying registered brands to horses</w:t>
      </w:r>
      <w:r>
        <w:tab/>
      </w:r>
      <w:r>
        <w:fldChar w:fldCharType="begin"/>
      </w:r>
      <w:r>
        <w:instrText xml:space="preserve"> PAGEREF _Toc437916005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Brands and marks for ostriches</w:t>
      </w:r>
      <w:r>
        <w:tab/>
      </w:r>
      <w:r>
        <w:fldChar w:fldCharType="begin"/>
      </w:r>
      <w:r>
        <w:instrText xml:space="preserve"> PAGEREF _Toc437916006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Cullmarks and Breed Society marks, etc.</w:t>
      </w:r>
      <w:r>
        <w:tab/>
      </w:r>
      <w:r>
        <w:fldChar w:fldCharType="begin"/>
      </w:r>
      <w:r>
        <w:instrText xml:space="preserve"> PAGEREF _Toc437916007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Age marks for cattle, buffalo or deer</w:t>
      </w:r>
      <w:r>
        <w:tab/>
      </w:r>
      <w:r>
        <w:fldChar w:fldCharType="begin"/>
      </w:r>
      <w:r>
        <w:instrText xml:space="preserve"> PAGEREF _Toc437916008 \h </w:instrText>
      </w:r>
      <w:r>
        <w:fldChar w:fldCharType="separate"/>
      </w:r>
      <w:r>
        <w:t>10</w:t>
      </w:r>
      <w:r>
        <w:fldChar w:fldCharType="end"/>
      </w:r>
    </w:p>
    <w:p>
      <w:pPr>
        <w:pStyle w:val="TOC8"/>
        <w:rPr>
          <w:rFonts w:asciiTheme="minorHAnsi" w:eastAsiaTheme="minorEastAsia" w:hAnsiTheme="minorHAnsi" w:cstheme="minorBidi"/>
          <w:szCs w:val="22"/>
          <w:lang w:eastAsia="en-AU"/>
        </w:rPr>
      </w:pPr>
      <w:r>
        <w:t>9A</w:t>
      </w:r>
      <w:r>
        <w:rPr>
          <w:snapToGrid w:val="0"/>
        </w:rPr>
        <w:t>.</w:t>
      </w:r>
      <w:r>
        <w:rPr>
          <w:snapToGrid w:val="0"/>
        </w:rPr>
        <w:tab/>
        <w:t>Minimum sizes for certain brands and earmark symbols</w:t>
      </w:r>
      <w:r>
        <w:tab/>
      </w:r>
      <w:r>
        <w:fldChar w:fldCharType="begin"/>
      </w:r>
      <w:r>
        <w:instrText xml:space="preserve"> PAGEREF _Toc437916009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Manner of applying brands to pigs</w:t>
      </w:r>
      <w:r>
        <w:tab/>
      </w:r>
      <w:r>
        <w:fldChar w:fldCharType="begin"/>
      </w:r>
      <w:r>
        <w:instrText xml:space="preserve"> PAGEREF _Toc437916010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Branding of pigs registered with Australian Pig Society</w:t>
      </w:r>
      <w:r>
        <w:tab/>
      </w:r>
      <w:r>
        <w:fldChar w:fldCharType="begin"/>
      </w:r>
      <w:r>
        <w:instrText xml:space="preserve"> PAGEREF _Toc437916011 \h </w:instrText>
      </w:r>
      <w:r>
        <w:fldChar w:fldCharType="separate"/>
      </w:r>
      <w:r>
        <w:t>11</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Prescribed details of identification to appear on waybills</w:t>
      </w:r>
      <w:r>
        <w:tab/>
      </w:r>
      <w:r>
        <w:fldChar w:fldCharType="begin"/>
      </w:r>
      <w:r>
        <w:instrText xml:space="preserve"> PAGEREF _Toc437916012 \h </w:instrText>
      </w:r>
      <w:r>
        <w:fldChar w:fldCharType="separate"/>
      </w:r>
      <w:r>
        <w:t>11</w:t>
      </w:r>
      <w:r>
        <w:fldChar w:fldCharType="end"/>
      </w:r>
    </w:p>
    <w:p>
      <w:pPr>
        <w:pStyle w:val="TOC8"/>
        <w:rPr>
          <w:rFonts w:asciiTheme="minorHAnsi" w:eastAsiaTheme="minorEastAsia" w:hAnsiTheme="minorHAnsi" w:cstheme="minorBidi"/>
          <w:szCs w:val="22"/>
          <w:lang w:eastAsia="en-AU"/>
        </w:rPr>
      </w:pPr>
      <w:r>
        <w:t>11B</w:t>
      </w:r>
      <w:r>
        <w:rPr>
          <w:snapToGrid w:val="0"/>
        </w:rPr>
        <w:t>.</w:t>
      </w:r>
      <w:r>
        <w:rPr>
          <w:snapToGrid w:val="0"/>
        </w:rPr>
        <w:tab/>
        <w:t>Prescribed stock — section 50</w:t>
      </w:r>
      <w:r>
        <w:tab/>
      </w:r>
      <w:r>
        <w:fldChar w:fldCharType="begin"/>
      </w:r>
      <w:r>
        <w:instrText xml:space="preserve"> PAGEREF _Toc437916013 \h </w:instrText>
      </w:r>
      <w:r>
        <w:fldChar w:fldCharType="separate"/>
      </w:r>
      <w:r>
        <w:t>12</w:t>
      </w:r>
      <w:r>
        <w:fldChar w:fldCharType="end"/>
      </w:r>
    </w:p>
    <w:p>
      <w:pPr>
        <w:pStyle w:val="TOC8"/>
        <w:rPr>
          <w:rFonts w:asciiTheme="minorHAnsi" w:eastAsiaTheme="minorEastAsia" w:hAnsiTheme="minorHAnsi" w:cstheme="minorBidi"/>
          <w:szCs w:val="22"/>
          <w:lang w:eastAsia="en-AU"/>
        </w:rPr>
      </w:pPr>
      <w:r>
        <w:t>11C</w:t>
      </w:r>
      <w:r>
        <w:rPr>
          <w:snapToGrid w:val="0"/>
        </w:rPr>
        <w:t>.</w:t>
      </w:r>
      <w:r>
        <w:rPr>
          <w:snapToGrid w:val="0"/>
        </w:rPr>
        <w:tab/>
        <w:t>Stock required to be marked — section 53B</w:t>
      </w:r>
      <w:r>
        <w:tab/>
      </w:r>
      <w:r>
        <w:fldChar w:fldCharType="begin"/>
      </w:r>
      <w:r>
        <w:instrText xml:space="preserve"> PAGEREF _Toc437916014 \h </w:instrText>
      </w:r>
      <w:r>
        <w:fldChar w:fldCharType="separate"/>
      </w:r>
      <w:r>
        <w:t>12</w:t>
      </w:r>
      <w:r>
        <w:fldChar w:fldCharType="end"/>
      </w:r>
    </w:p>
    <w:p>
      <w:pPr>
        <w:pStyle w:val="TOC8"/>
        <w:rPr>
          <w:rFonts w:asciiTheme="minorHAnsi" w:eastAsiaTheme="minorEastAsia" w:hAnsiTheme="minorHAnsi" w:cstheme="minorBidi"/>
          <w:szCs w:val="22"/>
          <w:lang w:eastAsia="en-AU"/>
        </w:rPr>
      </w:pPr>
      <w:r>
        <w:t>11D</w:t>
      </w:r>
      <w:r>
        <w:rPr>
          <w:snapToGrid w:val="0"/>
        </w:rPr>
        <w:t>.</w:t>
      </w:r>
      <w:r>
        <w:rPr>
          <w:snapToGrid w:val="0"/>
        </w:rPr>
        <w:tab/>
        <w:t>Prescribed stock — section 62(1a)(a)</w:t>
      </w:r>
      <w:r>
        <w:tab/>
      </w:r>
      <w:r>
        <w:fldChar w:fldCharType="begin"/>
      </w:r>
      <w:r>
        <w:instrText xml:space="preserve"> PAGEREF _Toc437916015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The register</w:t>
      </w:r>
      <w:r>
        <w:tab/>
      </w:r>
      <w:r>
        <w:fldChar w:fldCharType="begin"/>
      </w:r>
      <w:r>
        <w:instrText xml:space="preserve"> PAGEREF _Toc437916016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Fee for information in the register</w:t>
      </w:r>
      <w:r>
        <w:tab/>
      </w:r>
      <w:r>
        <w:fldChar w:fldCharType="begin"/>
      </w:r>
      <w:r>
        <w:instrText xml:space="preserve"> PAGEREF _Toc437916017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Applications for brands</w:t>
      </w:r>
      <w:r>
        <w:tab/>
      </w:r>
      <w:r>
        <w:fldChar w:fldCharType="begin"/>
      </w:r>
      <w:r>
        <w:instrText xml:space="preserve"> PAGEREF _Toc437916018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Form of certificate of registration</w:t>
      </w:r>
      <w:r>
        <w:tab/>
      </w:r>
      <w:r>
        <w:fldChar w:fldCharType="begin"/>
      </w:r>
      <w:r>
        <w:instrText xml:space="preserve"> PAGEREF _Toc437916019 \h </w:instrText>
      </w:r>
      <w:r>
        <w:fldChar w:fldCharType="separate"/>
      </w:r>
      <w:r>
        <w:t>14</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Fee for duplicate certificate</w:t>
      </w:r>
      <w:r>
        <w:tab/>
      </w:r>
      <w:r>
        <w:fldChar w:fldCharType="begin"/>
      </w:r>
      <w:r>
        <w:instrText xml:space="preserve"> PAGEREF _Toc437916020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Form of memorandum of transfer of right to registration of brand</w:t>
      </w:r>
      <w:r>
        <w:tab/>
      </w:r>
      <w:r>
        <w:fldChar w:fldCharType="begin"/>
      </w:r>
      <w:r>
        <w:instrText xml:space="preserve"> PAGEREF _Toc437916021 \h </w:instrText>
      </w:r>
      <w:r>
        <w:fldChar w:fldCharType="separate"/>
      </w:r>
      <w:r>
        <w:t>14</w:t>
      </w:r>
      <w:r>
        <w:fldChar w:fldCharType="end"/>
      </w:r>
    </w:p>
    <w:p>
      <w:pPr>
        <w:pStyle w:val="TOC8"/>
        <w:rPr>
          <w:rFonts w:asciiTheme="minorHAnsi" w:eastAsiaTheme="minorEastAsia" w:hAnsiTheme="minorHAnsi" w:cstheme="minorBidi"/>
          <w:szCs w:val="22"/>
          <w:lang w:eastAsia="en-AU"/>
        </w:rPr>
      </w:pPr>
      <w:r>
        <w:t>17A</w:t>
      </w:r>
      <w:r>
        <w:rPr>
          <w:snapToGrid w:val="0"/>
        </w:rPr>
        <w:t>.</w:t>
      </w:r>
      <w:r>
        <w:rPr>
          <w:snapToGrid w:val="0"/>
        </w:rPr>
        <w:tab/>
        <w:t>Cancellation and joint owners</w:t>
      </w:r>
      <w:r>
        <w:tab/>
      </w:r>
      <w:r>
        <w:fldChar w:fldCharType="begin"/>
      </w:r>
      <w:r>
        <w:instrText xml:space="preserve"> PAGEREF _Toc437916022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Application for re</w:t>
      </w:r>
      <w:r>
        <w:rPr>
          <w:snapToGrid w:val="0"/>
        </w:rPr>
        <w:noBreakHyphen/>
        <w:t>registration</w:t>
      </w:r>
      <w:r>
        <w:tab/>
      </w:r>
      <w:r>
        <w:fldChar w:fldCharType="begin"/>
      </w:r>
      <w:r>
        <w:instrText xml:space="preserve"> PAGEREF _Toc437916023 \h </w:instrText>
      </w:r>
      <w:r>
        <w:fldChar w:fldCharType="separate"/>
      </w:r>
      <w:r>
        <w:t>15</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Inspector may grant permit for use of branding or earmarking equipment</w:t>
      </w:r>
      <w:r>
        <w:tab/>
      </w:r>
      <w:r>
        <w:fldChar w:fldCharType="begin"/>
      </w:r>
      <w:r>
        <w:instrText xml:space="preserve"> PAGEREF _Toc437916024 \h </w:instrText>
      </w:r>
      <w:r>
        <w:fldChar w:fldCharType="separate"/>
      </w:r>
      <w:r>
        <w:t>15</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Inspector or Police officer to give written notice of requirement</w:t>
      </w:r>
      <w:r>
        <w:tab/>
      </w:r>
      <w:r>
        <w:fldChar w:fldCharType="begin"/>
      </w:r>
      <w:r>
        <w:instrText xml:space="preserve"> PAGEREF _Toc437916025 \h </w:instrText>
      </w:r>
      <w:r>
        <w:fldChar w:fldCharType="separate"/>
      </w:r>
      <w:r>
        <w:t>16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Form of waybill, and prescribed stock</w:t>
      </w:r>
      <w:r>
        <w:tab/>
      </w:r>
      <w:r>
        <w:fldChar w:fldCharType="begin"/>
      </w:r>
      <w:r>
        <w:instrText xml:space="preserve"> PAGEREF _Toc437916026 \h </w:instrText>
      </w:r>
      <w:r>
        <w:fldChar w:fldCharType="separate"/>
      </w:r>
      <w:r>
        <w:t>16</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Identification of imported stock</w:t>
      </w:r>
      <w:r>
        <w:tab/>
      </w:r>
      <w:r>
        <w:fldChar w:fldCharType="begin"/>
      </w:r>
      <w:r>
        <w:instrText xml:space="preserve"> PAGEREF _Toc437916027 \h </w:instrText>
      </w:r>
      <w:r>
        <w:fldChar w:fldCharType="separate"/>
      </w:r>
      <w:r>
        <w:t>18</w:t>
      </w:r>
      <w:r>
        <w:fldChar w:fldCharType="end"/>
      </w:r>
    </w:p>
    <w:p>
      <w:pPr>
        <w:pStyle w:val="TOC8"/>
        <w:rPr>
          <w:rFonts w:asciiTheme="minorHAnsi" w:eastAsiaTheme="minorEastAsia" w:hAnsiTheme="minorHAnsi" w:cstheme="minorBidi"/>
          <w:szCs w:val="22"/>
          <w:lang w:eastAsia="en-AU"/>
        </w:rPr>
      </w:pPr>
      <w:r>
        <w:t>20B</w:t>
      </w:r>
      <w:r>
        <w:rPr>
          <w:snapToGrid w:val="0"/>
        </w:rPr>
        <w:t>.</w:t>
      </w:r>
      <w:r>
        <w:rPr>
          <w:snapToGrid w:val="0"/>
        </w:rPr>
        <w:tab/>
        <w:t>Removal of stock from run without waybill or other document</w:t>
      </w:r>
      <w:r>
        <w:tab/>
      </w:r>
      <w:r>
        <w:fldChar w:fldCharType="begin"/>
      </w:r>
      <w:r>
        <w:instrText xml:space="preserve"> PAGEREF _Toc437916028 \h </w:instrText>
      </w:r>
      <w:r>
        <w:fldChar w:fldCharType="separate"/>
      </w:r>
      <w:r>
        <w:t>18</w:t>
      </w:r>
      <w:r>
        <w:fldChar w:fldCharType="end"/>
      </w:r>
    </w:p>
    <w:p>
      <w:pPr>
        <w:pStyle w:val="TOC8"/>
        <w:rPr>
          <w:rFonts w:asciiTheme="minorHAnsi" w:eastAsiaTheme="minorEastAsia" w:hAnsiTheme="minorHAnsi" w:cstheme="minorBidi"/>
          <w:szCs w:val="22"/>
          <w:lang w:eastAsia="en-AU"/>
        </w:rPr>
      </w:pPr>
      <w:r>
        <w:t>20C.</w:t>
      </w:r>
      <w:r>
        <w:tab/>
        <w:t>Describing multiple brands and earmarks on waybill</w:t>
      </w:r>
      <w:r>
        <w:tab/>
      </w:r>
      <w:r>
        <w:fldChar w:fldCharType="begin"/>
      </w:r>
      <w:r>
        <w:instrText xml:space="preserve"> PAGEREF _Toc437916029 \h </w:instrText>
      </w:r>
      <w:r>
        <w:fldChar w:fldCharType="separate"/>
      </w:r>
      <w:r>
        <w:t>19</w:t>
      </w:r>
      <w:r>
        <w:fldChar w:fldCharType="end"/>
      </w:r>
    </w:p>
    <w:p>
      <w:pPr>
        <w:pStyle w:val="TOC8"/>
        <w:rPr>
          <w:rFonts w:asciiTheme="minorHAnsi" w:eastAsiaTheme="minorEastAsia" w:hAnsiTheme="minorHAnsi" w:cstheme="minorBidi"/>
          <w:szCs w:val="22"/>
          <w:lang w:eastAsia="en-AU"/>
        </w:rPr>
      </w:pPr>
      <w:r>
        <w:t>20D</w:t>
      </w:r>
      <w:r>
        <w:rPr>
          <w:snapToGrid w:val="0"/>
        </w:rPr>
        <w:t>.</w:t>
      </w:r>
      <w:r>
        <w:rPr>
          <w:snapToGrid w:val="0"/>
        </w:rPr>
        <w:tab/>
        <w:t>Persons who are to sign certain documents</w:t>
      </w:r>
      <w:r>
        <w:tab/>
      </w:r>
      <w:r>
        <w:fldChar w:fldCharType="begin"/>
      </w:r>
      <w:r>
        <w:instrText xml:space="preserve"> PAGEREF _Toc437916030 \h </w:instrText>
      </w:r>
      <w:r>
        <w:fldChar w:fldCharType="separate"/>
      </w:r>
      <w:r>
        <w:t>20</w:t>
      </w:r>
      <w:r>
        <w:fldChar w:fldCharType="end"/>
      </w:r>
    </w:p>
    <w:p>
      <w:pPr>
        <w:pStyle w:val="TOC8"/>
        <w:rPr>
          <w:rFonts w:asciiTheme="minorHAnsi" w:eastAsiaTheme="minorEastAsia" w:hAnsiTheme="minorHAnsi" w:cstheme="minorBidi"/>
          <w:szCs w:val="22"/>
          <w:lang w:eastAsia="en-AU"/>
        </w:rPr>
      </w:pPr>
      <w:r>
        <w:t>20E</w:t>
      </w:r>
      <w:r>
        <w:rPr>
          <w:snapToGrid w:val="0"/>
        </w:rPr>
        <w:t>.</w:t>
      </w:r>
      <w:r>
        <w:rPr>
          <w:snapToGrid w:val="0"/>
        </w:rPr>
        <w:tab/>
        <w:t>Certain documents to accompany stock when moved</w:t>
      </w:r>
      <w:r>
        <w:tab/>
      </w:r>
      <w:r>
        <w:fldChar w:fldCharType="begin"/>
      </w:r>
      <w:r>
        <w:instrText xml:space="preserve"> PAGEREF _Toc437916031 \h </w:instrText>
      </w:r>
      <w:r>
        <w:fldChar w:fldCharType="separate"/>
      </w:r>
      <w:r>
        <w:t>21</w:t>
      </w:r>
      <w:r>
        <w:fldChar w:fldCharType="end"/>
      </w:r>
    </w:p>
    <w:p>
      <w:pPr>
        <w:pStyle w:val="TOC8"/>
        <w:rPr>
          <w:rFonts w:asciiTheme="minorHAnsi" w:eastAsiaTheme="minorEastAsia" w:hAnsiTheme="minorHAnsi" w:cstheme="minorBidi"/>
          <w:szCs w:val="22"/>
          <w:lang w:eastAsia="en-AU"/>
        </w:rPr>
      </w:pPr>
      <w:r>
        <w:t>20F</w:t>
      </w:r>
      <w:r>
        <w:rPr>
          <w:snapToGrid w:val="0"/>
        </w:rPr>
        <w:t>.</w:t>
      </w:r>
      <w:r>
        <w:rPr>
          <w:snapToGrid w:val="0"/>
        </w:rPr>
        <w:tab/>
        <w:t>Certain documents to accompany stock when moved by rail</w:t>
      </w:r>
      <w:r>
        <w:tab/>
      </w:r>
      <w:r>
        <w:fldChar w:fldCharType="begin"/>
      </w:r>
      <w:r>
        <w:instrText xml:space="preserve"> PAGEREF _Toc437916032 \h </w:instrText>
      </w:r>
      <w:r>
        <w:fldChar w:fldCharType="separate"/>
      </w:r>
      <w:r>
        <w:t>21</w:t>
      </w:r>
      <w:r>
        <w:fldChar w:fldCharType="end"/>
      </w:r>
    </w:p>
    <w:p>
      <w:pPr>
        <w:pStyle w:val="TOC8"/>
        <w:rPr>
          <w:rFonts w:asciiTheme="minorHAnsi" w:eastAsiaTheme="minorEastAsia" w:hAnsiTheme="minorHAnsi" w:cstheme="minorBidi"/>
          <w:szCs w:val="22"/>
          <w:lang w:eastAsia="en-AU"/>
        </w:rPr>
      </w:pPr>
      <w:r>
        <w:t>20G</w:t>
      </w:r>
      <w:r>
        <w:rPr>
          <w:snapToGrid w:val="0"/>
        </w:rPr>
        <w:t>.</w:t>
      </w:r>
      <w:r>
        <w:rPr>
          <w:snapToGrid w:val="0"/>
        </w:rPr>
        <w:tab/>
        <w:t>Certain documents to be produced if required by Inspector or Police officer</w:t>
      </w:r>
      <w:r>
        <w:tab/>
      </w:r>
      <w:r>
        <w:fldChar w:fldCharType="begin"/>
      </w:r>
      <w:r>
        <w:instrText xml:space="preserve"> PAGEREF _Toc437916033 \h </w:instrText>
      </w:r>
      <w:r>
        <w:fldChar w:fldCharType="separate"/>
      </w:r>
      <w:r>
        <w:t>21</w:t>
      </w:r>
      <w:r>
        <w:fldChar w:fldCharType="end"/>
      </w:r>
    </w:p>
    <w:p>
      <w:pPr>
        <w:pStyle w:val="TOC8"/>
        <w:rPr>
          <w:rFonts w:asciiTheme="minorHAnsi" w:eastAsiaTheme="minorEastAsia" w:hAnsiTheme="minorHAnsi" w:cstheme="minorBidi"/>
          <w:szCs w:val="22"/>
          <w:lang w:eastAsia="en-AU"/>
        </w:rPr>
      </w:pPr>
      <w:r>
        <w:t>20H</w:t>
      </w:r>
      <w:r>
        <w:rPr>
          <w:snapToGrid w:val="0"/>
        </w:rPr>
        <w:t>.</w:t>
      </w:r>
      <w:r>
        <w:rPr>
          <w:snapToGrid w:val="0"/>
        </w:rPr>
        <w:tab/>
        <w:t>Application for and issue of identification exemption certificates</w:t>
      </w:r>
      <w:r>
        <w:tab/>
      </w:r>
      <w:r>
        <w:fldChar w:fldCharType="begin"/>
      </w:r>
      <w:r>
        <w:instrText xml:space="preserve"> PAGEREF _Toc437916034 \h </w:instrText>
      </w:r>
      <w:r>
        <w:fldChar w:fldCharType="separate"/>
      </w:r>
      <w:r>
        <w:t>22</w:t>
      </w:r>
      <w:r>
        <w:fldChar w:fldCharType="end"/>
      </w:r>
    </w:p>
    <w:p>
      <w:pPr>
        <w:pStyle w:val="TOC8"/>
        <w:rPr>
          <w:rFonts w:asciiTheme="minorHAnsi" w:eastAsiaTheme="minorEastAsia" w:hAnsiTheme="minorHAnsi" w:cstheme="minorBidi"/>
          <w:szCs w:val="22"/>
          <w:lang w:eastAsia="en-AU"/>
        </w:rPr>
      </w:pPr>
      <w:r>
        <w:t>20I</w:t>
      </w:r>
      <w:r>
        <w:rPr>
          <w:snapToGrid w:val="0"/>
        </w:rPr>
        <w:t>.</w:t>
      </w:r>
      <w:r>
        <w:rPr>
          <w:snapToGrid w:val="0"/>
        </w:rPr>
        <w:tab/>
        <w:t>Movement permits</w:t>
      </w:r>
      <w:r>
        <w:tab/>
      </w:r>
      <w:r>
        <w:fldChar w:fldCharType="begin"/>
      </w:r>
      <w:r>
        <w:instrText xml:space="preserve"> PAGEREF _Toc437916035 \h </w:instrText>
      </w:r>
      <w:r>
        <w:fldChar w:fldCharType="separate"/>
      </w:r>
      <w:r>
        <w:t>22</w:t>
      </w:r>
      <w:r>
        <w:fldChar w:fldCharType="end"/>
      </w:r>
    </w:p>
    <w:p>
      <w:pPr>
        <w:pStyle w:val="TOC8"/>
        <w:rPr>
          <w:rFonts w:asciiTheme="minorHAnsi" w:eastAsiaTheme="minorEastAsia" w:hAnsiTheme="minorHAnsi" w:cstheme="minorBidi"/>
          <w:szCs w:val="22"/>
          <w:lang w:eastAsia="en-AU"/>
        </w:rPr>
      </w:pPr>
      <w:r>
        <w:t>20J</w:t>
      </w:r>
      <w:r>
        <w:rPr>
          <w:snapToGrid w:val="0"/>
        </w:rPr>
        <w:t>.</w:t>
      </w:r>
      <w:r>
        <w:rPr>
          <w:snapToGrid w:val="0"/>
        </w:rPr>
        <w:tab/>
        <w:t>Prescribed countries — section 49A</w:t>
      </w:r>
      <w:r>
        <w:tab/>
      </w:r>
      <w:r>
        <w:fldChar w:fldCharType="begin"/>
      </w:r>
      <w:r>
        <w:instrText xml:space="preserve"> PAGEREF _Toc437916036 \h </w:instrText>
      </w:r>
      <w:r>
        <w:fldChar w:fldCharType="separate"/>
      </w:r>
      <w:r>
        <w:t>23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Offences and penalty</w:t>
      </w:r>
      <w:r>
        <w:tab/>
      </w:r>
      <w:r>
        <w:fldChar w:fldCharType="begin"/>
      </w:r>
      <w:r>
        <w:instrText xml:space="preserve"> PAGEREF _Toc437916037 \h </w:instrText>
      </w:r>
      <w:r>
        <w:fldChar w:fldCharType="separate"/>
      </w:r>
      <w:r>
        <w:t>23</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 — Form of the register</w:t>
      </w:r>
    </w:p>
    <w:p>
      <w:pPr>
        <w:pStyle w:val="TOC2"/>
        <w:tabs>
          <w:tab w:val="right" w:pos="7086"/>
        </w:tabs>
        <w:rPr>
          <w:rFonts w:asciiTheme="minorHAnsi" w:eastAsiaTheme="minorEastAsia" w:hAnsiTheme="minorHAnsi" w:cstheme="minorBidi"/>
          <w:b w:val="0"/>
          <w:sz w:val="22"/>
          <w:szCs w:val="22"/>
          <w:lang w:eastAsia="en-AU"/>
        </w:rPr>
      </w:pPr>
      <w:r>
        <w:t>Schedule 2 — Fees</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_Toc437916041 \h </w:instrText>
      </w:r>
      <w:r>
        <w:fldChar w:fldCharType="separate"/>
      </w:r>
      <w:r>
        <w:t>27</w:t>
      </w:r>
      <w:r>
        <w:fldChar w:fldCharType="end"/>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437915999"/>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4" w:name="_Toc457016668"/>
      <w:bookmarkStart w:id="5" w:name="_Toc518791829"/>
      <w:bookmarkStart w:id="6" w:name="_Toc437916000"/>
      <w:r>
        <w:rPr>
          <w:rStyle w:val="CharSectno"/>
        </w:rPr>
        <w:t>3</w:t>
      </w:r>
      <w:r>
        <w:rPr>
          <w:snapToGrid w:val="0"/>
        </w:rPr>
        <w:t>.</w:t>
      </w:r>
      <w:r>
        <w:rPr>
          <w:snapToGrid w:val="0"/>
        </w:rPr>
        <w:tab/>
        <w:t>Persons who may use registered brands or earmarks</w:t>
      </w:r>
      <w:bookmarkEnd w:id="4"/>
      <w:bookmarkEnd w:id="5"/>
      <w:bookmarkEnd w:id="6"/>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437916001"/>
      <w:r>
        <w:rPr>
          <w:rStyle w:val="CharSectno"/>
        </w:rPr>
        <w:t>4</w:t>
      </w:r>
      <w:r>
        <w:rPr>
          <w:snapToGrid w:val="0"/>
        </w:rPr>
        <w:t>.</w:t>
      </w:r>
      <w:r>
        <w:rPr>
          <w:snapToGrid w:val="0"/>
        </w:rPr>
        <w:tab/>
        <w:t>Requirements relating to various means of branding</w:t>
      </w:r>
      <w:bookmarkEnd w:id="7"/>
      <w:bookmarkEnd w:id="8"/>
      <w:bookmarkEnd w:id="9"/>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457016670"/>
      <w:bookmarkStart w:id="11" w:name="_Toc518791831"/>
      <w:bookmarkStart w:id="12" w:name="_Toc437916002"/>
      <w:r>
        <w:rPr>
          <w:rStyle w:val="CharSectno"/>
        </w:rPr>
        <w:t>4A</w:t>
      </w:r>
      <w:r>
        <w:t>.</w:t>
      </w:r>
      <w:r>
        <w:tab/>
        <w:t>Manufacture and sale of eartags for identifying sheep, goats and camelids</w:t>
      </w:r>
      <w:bookmarkEnd w:id="12"/>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437916003"/>
      <w:r>
        <w:rPr>
          <w:rStyle w:val="CharSectno"/>
        </w:rPr>
        <w:t>5</w:t>
      </w:r>
      <w:r>
        <w:rPr>
          <w:snapToGrid w:val="0"/>
        </w:rPr>
        <w:t>.</w:t>
      </w:r>
      <w:r>
        <w:rPr>
          <w:snapToGrid w:val="0"/>
        </w:rPr>
        <w:tab/>
        <w:t>Age marks for sheep</w:t>
      </w:r>
      <w:bookmarkEnd w:id="10"/>
      <w:bookmarkEnd w:id="11"/>
      <w:bookmarkEnd w:id="13"/>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437916004"/>
      <w:r>
        <w:rPr>
          <w:rStyle w:val="CharSectno"/>
        </w:rPr>
        <w:t>6</w:t>
      </w:r>
      <w:r>
        <w:rPr>
          <w:snapToGrid w:val="0"/>
        </w:rPr>
        <w:t>.</w:t>
      </w:r>
      <w:r>
        <w:rPr>
          <w:snapToGrid w:val="0"/>
        </w:rPr>
        <w:tab/>
        <w:t>Use of firebrands or freezebrands, and marking stud cattle</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457016672"/>
      <w:bookmarkStart w:id="18" w:name="_Toc518791833"/>
      <w:bookmarkStart w:id="19" w:name="_Toc437916005"/>
      <w:r>
        <w:rPr>
          <w:rStyle w:val="CharSectno"/>
        </w:rPr>
        <w:t>7</w:t>
      </w:r>
      <w:r>
        <w:rPr>
          <w:snapToGrid w:val="0"/>
        </w:rPr>
        <w:t>.</w:t>
      </w:r>
      <w:r>
        <w:rPr>
          <w:snapToGrid w:val="0"/>
        </w:rPr>
        <w:tab/>
        <w:t>Manner of applying registered brands to horses</w:t>
      </w:r>
      <w:bookmarkEnd w:id="17"/>
      <w:bookmarkEnd w:id="18"/>
      <w:bookmarkEnd w:id="19"/>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437916006"/>
      <w:r>
        <w:rPr>
          <w:rStyle w:val="CharSectno"/>
        </w:rPr>
        <w:t>7A</w:t>
      </w:r>
      <w:r>
        <w:rPr>
          <w:snapToGrid w:val="0"/>
        </w:rPr>
        <w:t>.</w:t>
      </w:r>
      <w:r>
        <w:rPr>
          <w:snapToGrid w:val="0"/>
        </w:rPr>
        <w:tab/>
        <w:t>Brands and marks for ostriches</w:t>
      </w:r>
      <w:bookmarkEnd w:id="20"/>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Breed Society mark</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437916007"/>
      <w:r>
        <w:rPr>
          <w:rStyle w:val="CharSectno"/>
        </w:rPr>
        <w:t>8</w:t>
      </w:r>
      <w:r>
        <w:rPr>
          <w:snapToGrid w:val="0"/>
        </w:rPr>
        <w:t>.</w:t>
      </w:r>
      <w:r>
        <w:rPr>
          <w:snapToGrid w:val="0"/>
        </w:rPr>
        <w:tab/>
        <w:t>Cullmarks and Breed Society marks, etc.</w:t>
      </w:r>
      <w:bookmarkEnd w:id="23"/>
      <w:bookmarkEnd w:id="24"/>
      <w:bookmarkEnd w:id="25"/>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437916008"/>
      <w:r>
        <w:rPr>
          <w:rStyle w:val="CharSectno"/>
        </w:rPr>
        <w:t>9</w:t>
      </w:r>
      <w:r>
        <w:rPr>
          <w:snapToGrid w:val="0"/>
        </w:rPr>
        <w:t>.</w:t>
      </w:r>
      <w:r>
        <w:rPr>
          <w:snapToGrid w:val="0"/>
        </w:rPr>
        <w:tab/>
        <w:t>Age marks for cattle, buffalo or deer</w:t>
      </w:r>
      <w:bookmarkEnd w:id="26"/>
      <w:bookmarkEnd w:id="27"/>
      <w:bookmarkEnd w:id="2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437916009"/>
      <w:r>
        <w:rPr>
          <w:rStyle w:val="CharSectno"/>
        </w:rPr>
        <w:t>9A</w:t>
      </w:r>
      <w:r>
        <w:rPr>
          <w:snapToGrid w:val="0"/>
        </w:rPr>
        <w:t>.</w:t>
      </w:r>
      <w:r>
        <w:rPr>
          <w:snapToGrid w:val="0"/>
        </w:rPr>
        <w:tab/>
        <w:t>Minimum sizes for certain brands and earmark symbols</w:t>
      </w:r>
      <w:bookmarkEnd w:id="29"/>
      <w:bookmarkEnd w:id="30"/>
      <w:bookmarkEnd w:id="31"/>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437916010"/>
      <w:r>
        <w:rPr>
          <w:rStyle w:val="CharSectno"/>
        </w:rPr>
        <w:t>10</w:t>
      </w:r>
      <w:r>
        <w:rPr>
          <w:snapToGrid w:val="0"/>
        </w:rPr>
        <w:t>.</w:t>
      </w:r>
      <w:r>
        <w:rPr>
          <w:snapToGrid w:val="0"/>
        </w:rPr>
        <w:tab/>
        <w:t>Manner of applying brands to pigs</w:t>
      </w:r>
      <w:bookmarkEnd w:id="32"/>
      <w:bookmarkEnd w:id="33"/>
      <w:bookmarkEnd w:id="34"/>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437916011"/>
      <w:r>
        <w:rPr>
          <w:rStyle w:val="CharSectno"/>
        </w:rPr>
        <w:t>11</w:t>
      </w:r>
      <w:r>
        <w:rPr>
          <w:snapToGrid w:val="0"/>
        </w:rPr>
        <w:t>.</w:t>
      </w:r>
      <w:r>
        <w:rPr>
          <w:snapToGrid w:val="0"/>
        </w:rPr>
        <w:tab/>
        <w:t>Branding of pigs registered with Australian Pig Society</w:t>
      </w:r>
      <w:bookmarkEnd w:id="35"/>
      <w:bookmarkEnd w:id="36"/>
      <w:bookmarkEnd w:id="37"/>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437916012"/>
      <w:r>
        <w:rPr>
          <w:rStyle w:val="CharSectno"/>
        </w:rPr>
        <w:t>11A</w:t>
      </w:r>
      <w:r>
        <w:rPr>
          <w:snapToGrid w:val="0"/>
        </w:rPr>
        <w:t>.</w:t>
      </w:r>
      <w:r>
        <w:rPr>
          <w:snapToGrid w:val="0"/>
        </w:rPr>
        <w:tab/>
        <w:t>Prescribed details of identification to appear on waybills</w:t>
      </w:r>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1" w:name="_Toc457016680"/>
      <w:bookmarkStart w:id="42" w:name="_Toc518791841"/>
      <w:bookmarkStart w:id="43" w:name="_Toc437916013"/>
      <w:r>
        <w:rPr>
          <w:rStyle w:val="CharSectno"/>
        </w:rPr>
        <w:t>11B</w:t>
      </w:r>
      <w:r>
        <w:rPr>
          <w:snapToGrid w:val="0"/>
        </w:rPr>
        <w:t>.</w:t>
      </w:r>
      <w:r>
        <w:rPr>
          <w:snapToGrid w:val="0"/>
        </w:rPr>
        <w:tab/>
        <w:t>Prescribed stock — section 50</w:t>
      </w:r>
      <w:bookmarkEnd w:id="41"/>
      <w:bookmarkEnd w:id="42"/>
      <w:bookmarkEnd w:id="43"/>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437916014"/>
      <w:r>
        <w:rPr>
          <w:rStyle w:val="CharSectno"/>
        </w:rPr>
        <w:t>11C</w:t>
      </w:r>
      <w:r>
        <w:rPr>
          <w:snapToGrid w:val="0"/>
        </w:rPr>
        <w:t>.</w:t>
      </w:r>
      <w:r>
        <w:rPr>
          <w:snapToGrid w:val="0"/>
        </w:rPr>
        <w:tab/>
        <w:t>Stock required to be marked — section 53B</w:t>
      </w:r>
      <w:bookmarkEnd w:id="44"/>
      <w:bookmarkEnd w:id="45"/>
      <w:bookmarkEnd w:id="46"/>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437916015"/>
      <w:r>
        <w:rPr>
          <w:rStyle w:val="CharSectno"/>
        </w:rPr>
        <w:t>11D</w:t>
      </w:r>
      <w:r>
        <w:rPr>
          <w:snapToGrid w:val="0"/>
        </w:rPr>
        <w:t>.</w:t>
      </w:r>
      <w:r>
        <w:rPr>
          <w:snapToGrid w:val="0"/>
        </w:rPr>
        <w:tab/>
        <w:t>Prescribed stock — section 62(1a)(a)</w:t>
      </w:r>
      <w:bookmarkEnd w:id="47"/>
      <w:bookmarkEnd w:id="48"/>
      <w:bookmarkEnd w:id="49"/>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50" w:name="_Toc457016683"/>
      <w:bookmarkStart w:id="51" w:name="_Toc518791844"/>
      <w:bookmarkStart w:id="52" w:name="_Toc437916016"/>
      <w:r>
        <w:rPr>
          <w:rStyle w:val="CharSectno"/>
        </w:rPr>
        <w:t>12</w:t>
      </w:r>
      <w:r>
        <w:rPr>
          <w:snapToGrid w:val="0"/>
        </w:rPr>
        <w:t>.</w:t>
      </w:r>
      <w:r>
        <w:rPr>
          <w:snapToGrid w:val="0"/>
        </w:rPr>
        <w:tab/>
        <w:t>The register</w:t>
      </w:r>
      <w:bookmarkEnd w:id="50"/>
      <w:bookmarkEnd w:id="51"/>
      <w:bookmarkEnd w:id="52"/>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437916017"/>
      <w:r>
        <w:rPr>
          <w:rStyle w:val="CharSectno"/>
        </w:rPr>
        <w:t>13</w:t>
      </w:r>
      <w:r>
        <w:rPr>
          <w:snapToGrid w:val="0"/>
        </w:rPr>
        <w:t>.</w:t>
      </w:r>
      <w:r>
        <w:rPr>
          <w:snapToGrid w:val="0"/>
        </w:rPr>
        <w:tab/>
        <w:t>Fee for information in the register</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437916018"/>
      <w:r>
        <w:rPr>
          <w:rStyle w:val="CharSectno"/>
        </w:rPr>
        <w:t>14</w:t>
      </w:r>
      <w:r>
        <w:rPr>
          <w:snapToGrid w:val="0"/>
        </w:rPr>
        <w:t>.</w:t>
      </w:r>
      <w:r>
        <w:rPr>
          <w:snapToGrid w:val="0"/>
        </w:rPr>
        <w:tab/>
        <w:t>Applications for brands</w:t>
      </w:r>
      <w:bookmarkEnd w:id="56"/>
      <w:bookmarkEnd w:id="57"/>
      <w:bookmarkEnd w:id="5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437916019"/>
      <w:r>
        <w:rPr>
          <w:rStyle w:val="CharSectno"/>
        </w:rPr>
        <w:t>15</w:t>
      </w:r>
      <w:r>
        <w:rPr>
          <w:snapToGrid w:val="0"/>
        </w:rPr>
        <w:t>.</w:t>
      </w:r>
      <w:r>
        <w:rPr>
          <w:snapToGrid w:val="0"/>
        </w:rPr>
        <w:tab/>
        <w:t>Form of certificate of registration</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437916020"/>
      <w:r>
        <w:rPr>
          <w:rStyle w:val="CharSectno"/>
        </w:rPr>
        <w:t>16</w:t>
      </w:r>
      <w:r>
        <w:rPr>
          <w:snapToGrid w:val="0"/>
        </w:rPr>
        <w:t>.</w:t>
      </w:r>
      <w:r>
        <w:rPr>
          <w:snapToGrid w:val="0"/>
        </w:rPr>
        <w:tab/>
        <w:t>Fee for duplicate certificate</w:t>
      </w:r>
      <w:bookmarkEnd w:id="62"/>
      <w:bookmarkEnd w:id="63"/>
      <w:bookmarkEnd w:id="64"/>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437916021"/>
      <w:r>
        <w:rPr>
          <w:rStyle w:val="CharSectno"/>
        </w:rPr>
        <w:t>17</w:t>
      </w:r>
      <w:r>
        <w:rPr>
          <w:snapToGrid w:val="0"/>
        </w:rPr>
        <w:t>.</w:t>
      </w:r>
      <w:r>
        <w:rPr>
          <w:snapToGrid w:val="0"/>
        </w:rPr>
        <w:tab/>
        <w:t>Form of memorandum of transfer of right to registration of brand</w:t>
      </w:r>
      <w:bookmarkEnd w:id="65"/>
      <w:bookmarkEnd w:id="66"/>
      <w:bookmarkEnd w:id="67"/>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437916022"/>
      <w:r>
        <w:rPr>
          <w:rStyle w:val="CharSectno"/>
        </w:rPr>
        <w:t>17A</w:t>
      </w:r>
      <w:r>
        <w:rPr>
          <w:snapToGrid w:val="0"/>
        </w:rPr>
        <w:t>.</w:t>
      </w:r>
      <w:r>
        <w:rPr>
          <w:snapToGrid w:val="0"/>
        </w:rPr>
        <w:tab/>
        <w:t>Cancellation and joint owners</w:t>
      </w:r>
      <w:bookmarkEnd w:id="68"/>
      <w:bookmarkEnd w:id="69"/>
      <w:bookmarkEnd w:id="70"/>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437916023"/>
      <w:r>
        <w:rPr>
          <w:rStyle w:val="CharSectno"/>
        </w:rPr>
        <w:t>18</w:t>
      </w:r>
      <w:r>
        <w:rPr>
          <w:snapToGrid w:val="0"/>
        </w:rPr>
        <w:t>.</w:t>
      </w:r>
      <w:r>
        <w:rPr>
          <w:snapToGrid w:val="0"/>
        </w:rPr>
        <w:tab/>
        <w:t>Application for re</w:t>
      </w:r>
      <w:r>
        <w:rPr>
          <w:snapToGrid w:val="0"/>
        </w:rPr>
        <w:noBreakHyphen/>
        <w:t>registration</w:t>
      </w:r>
      <w:bookmarkEnd w:id="71"/>
      <w:bookmarkEnd w:id="72"/>
      <w:bookmarkEnd w:id="73"/>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437916024"/>
      <w:r>
        <w:rPr>
          <w:rStyle w:val="CharSectno"/>
        </w:rPr>
        <w:t>19</w:t>
      </w:r>
      <w:r>
        <w:rPr>
          <w:snapToGrid w:val="0"/>
        </w:rPr>
        <w:t>.</w:t>
      </w:r>
      <w:r>
        <w:rPr>
          <w:snapToGrid w:val="0"/>
        </w:rPr>
        <w:tab/>
        <w:t>Inspector may grant permit for use of branding or earmarking equipment</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437916025"/>
      <w:r>
        <w:rPr>
          <w:rStyle w:val="CharSectno"/>
        </w:rPr>
        <w:t>19A</w:t>
      </w:r>
      <w:r>
        <w:rPr>
          <w:snapToGrid w:val="0"/>
        </w:rPr>
        <w:t>.</w:t>
      </w:r>
      <w:r>
        <w:rPr>
          <w:snapToGrid w:val="0"/>
        </w:rPr>
        <w:tab/>
        <w:t>Inspector or Police officer to give written notice of requirement</w:t>
      </w:r>
      <w:bookmarkEnd w:id="77"/>
      <w:bookmarkEnd w:id="78"/>
      <w:bookmarkEnd w:id="79"/>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0" w:name="_Toc457016693"/>
      <w:bookmarkStart w:id="81" w:name="_Toc518791854"/>
      <w:bookmarkStart w:id="82" w:name="_Toc437916026"/>
      <w:r>
        <w:rPr>
          <w:rStyle w:val="CharSectno"/>
        </w:rPr>
        <w:t>20</w:t>
      </w:r>
      <w:r>
        <w:rPr>
          <w:snapToGrid w:val="0"/>
        </w:rPr>
        <w:t>.</w:t>
      </w:r>
      <w:r>
        <w:rPr>
          <w:snapToGrid w:val="0"/>
        </w:rPr>
        <w:tab/>
        <w:t>Form of waybill, and prescribed stock</w:t>
      </w:r>
      <w:bookmarkEnd w:id="80"/>
      <w:bookmarkEnd w:id="81"/>
      <w:bookmarkEnd w:id="82"/>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3" w:name="_Toc457016694"/>
      <w:bookmarkStart w:id="84" w:name="_Toc518791855"/>
      <w:bookmarkStart w:id="85" w:name="_Toc437916027"/>
      <w:r>
        <w:rPr>
          <w:rStyle w:val="CharSectno"/>
        </w:rPr>
        <w:t>20A</w:t>
      </w:r>
      <w:r>
        <w:rPr>
          <w:snapToGrid w:val="0"/>
        </w:rPr>
        <w:t>.</w:t>
      </w:r>
      <w:r>
        <w:rPr>
          <w:snapToGrid w:val="0"/>
        </w:rPr>
        <w:tab/>
        <w:t>Identification of imported stock</w:t>
      </w:r>
      <w:bookmarkEnd w:id="83"/>
      <w:bookmarkEnd w:id="84"/>
      <w:bookmarkEnd w:id="85"/>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6" w:name="_Toc457016695"/>
      <w:bookmarkStart w:id="87" w:name="_Toc518791856"/>
      <w:bookmarkStart w:id="88" w:name="_Toc437916028"/>
      <w:r>
        <w:rPr>
          <w:rStyle w:val="CharSectno"/>
        </w:rPr>
        <w:t>20B</w:t>
      </w:r>
      <w:r>
        <w:rPr>
          <w:snapToGrid w:val="0"/>
        </w:rPr>
        <w:t>.</w:t>
      </w:r>
      <w:r>
        <w:rPr>
          <w:snapToGrid w:val="0"/>
        </w:rPr>
        <w:tab/>
        <w:t>Removal of stock from run without waybill</w:t>
      </w:r>
      <w:bookmarkEnd w:id="86"/>
      <w:bookmarkEnd w:id="87"/>
      <w:r>
        <w:rPr>
          <w:snapToGrid w:val="0"/>
        </w:rPr>
        <w:t xml:space="preserve"> or other document</w:t>
      </w:r>
      <w:bookmarkEnd w:id="8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89" w:name="_Toc457016696"/>
      <w:bookmarkStart w:id="90" w:name="_Toc518791857"/>
      <w:bookmarkStart w:id="91" w:name="_Toc437916029"/>
      <w:r>
        <w:rPr>
          <w:rStyle w:val="CharSectno"/>
        </w:rPr>
        <w:t>20C</w:t>
      </w:r>
      <w:r>
        <w:t>.</w:t>
      </w:r>
      <w:r>
        <w:tab/>
        <w:t>Describing multiple brands and earmarks on waybill</w:t>
      </w:r>
      <w:bookmarkEnd w:id="89"/>
      <w:bookmarkEnd w:id="90"/>
      <w:bookmarkEnd w:id="91"/>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2" w:name="_Toc457016697"/>
      <w:bookmarkStart w:id="93" w:name="_Toc518791858"/>
      <w:bookmarkStart w:id="94" w:name="_Toc437916030"/>
      <w:r>
        <w:rPr>
          <w:rStyle w:val="CharSectno"/>
        </w:rPr>
        <w:t>20D</w:t>
      </w:r>
      <w:r>
        <w:rPr>
          <w:snapToGrid w:val="0"/>
        </w:rPr>
        <w:t>.</w:t>
      </w:r>
      <w:r>
        <w:rPr>
          <w:snapToGrid w:val="0"/>
        </w:rPr>
        <w:tab/>
        <w:t>Persons who are to sign certain documents</w:t>
      </w:r>
      <w:bookmarkEnd w:id="92"/>
      <w:bookmarkEnd w:id="93"/>
      <w:bookmarkEnd w:id="94"/>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95" w:name="_Toc457016698"/>
      <w:bookmarkStart w:id="96" w:name="_Toc518791859"/>
      <w:bookmarkStart w:id="97" w:name="_Toc437916031"/>
      <w:r>
        <w:rPr>
          <w:rStyle w:val="CharSectno"/>
        </w:rPr>
        <w:t>20E</w:t>
      </w:r>
      <w:r>
        <w:rPr>
          <w:snapToGrid w:val="0"/>
        </w:rPr>
        <w:t>.</w:t>
      </w:r>
      <w:r>
        <w:rPr>
          <w:snapToGrid w:val="0"/>
        </w:rPr>
        <w:tab/>
        <w:t>Certain documents to accompany stock when moved</w:t>
      </w:r>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8" w:name="_Toc457016699"/>
      <w:bookmarkStart w:id="99" w:name="_Toc518791860"/>
      <w:bookmarkStart w:id="100" w:name="_Toc437916032"/>
      <w:r>
        <w:rPr>
          <w:rStyle w:val="CharSectno"/>
        </w:rPr>
        <w:t>20F</w:t>
      </w:r>
      <w:r>
        <w:rPr>
          <w:snapToGrid w:val="0"/>
        </w:rPr>
        <w:t>.</w:t>
      </w:r>
      <w:r>
        <w:rPr>
          <w:snapToGrid w:val="0"/>
        </w:rPr>
        <w:tab/>
        <w:t>Certain documents to accompany stock when moved by rail</w:t>
      </w:r>
      <w:bookmarkEnd w:id="98"/>
      <w:bookmarkEnd w:id="99"/>
      <w:bookmarkEnd w:id="100"/>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1" w:name="_Toc457016700"/>
      <w:bookmarkStart w:id="102" w:name="_Toc518791861"/>
      <w:bookmarkStart w:id="103" w:name="_Toc437916033"/>
      <w:r>
        <w:rPr>
          <w:rStyle w:val="CharSectno"/>
        </w:rPr>
        <w:t>20G</w:t>
      </w:r>
      <w:r>
        <w:rPr>
          <w:snapToGrid w:val="0"/>
        </w:rPr>
        <w:t>.</w:t>
      </w:r>
      <w:r>
        <w:rPr>
          <w:snapToGrid w:val="0"/>
        </w:rPr>
        <w:tab/>
        <w:t>Certain documents to be produced if required by Inspector or Police officer</w:t>
      </w:r>
      <w:bookmarkEnd w:id="101"/>
      <w:bookmarkEnd w:id="102"/>
      <w:bookmarkEnd w:id="103"/>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4" w:name="_Toc457016701"/>
      <w:bookmarkStart w:id="105" w:name="_Toc518791862"/>
      <w:bookmarkStart w:id="106" w:name="_Toc437916034"/>
      <w:r>
        <w:rPr>
          <w:rStyle w:val="CharSectno"/>
        </w:rPr>
        <w:t>20H</w:t>
      </w:r>
      <w:r>
        <w:rPr>
          <w:snapToGrid w:val="0"/>
        </w:rPr>
        <w:t>.</w:t>
      </w:r>
      <w:r>
        <w:rPr>
          <w:snapToGrid w:val="0"/>
        </w:rPr>
        <w:tab/>
        <w:t>Application for and issue of identification exemption certificates</w:t>
      </w:r>
      <w:bookmarkEnd w:id="104"/>
      <w:bookmarkEnd w:id="105"/>
      <w:bookmarkEnd w:id="106"/>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7" w:name="_Toc457016702"/>
      <w:bookmarkStart w:id="108" w:name="_Toc518791863"/>
      <w:bookmarkStart w:id="109" w:name="_Toc437916035"/>
      <w:r>
        <w:rPr>
          <w:rStyle w:val="CharSectno"/>
        </w:rPr>
        <w:t>20I</w:t>
      </w:r>
      <w:r>
        <w:rPr>
          <w:snapToGrid w:val="0"/>
        </w:rPr>
        <w:t>.</w:t>
      </w:r>
      <w:r>
        <w:rPr>
          <w:snapToGrid w:val="0"/>
        </w:rPr>
        <w:tab/>
        <w:t>Movement permits</w:t>
      </w:r>
      <w:bookmarkEnd w:id="107"/>
      <w:bookmarkEnd w:id="108"/>
      <w:bookmarkEnd w:id="109"/>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0" w:name="_Toc457016703"/>
      <w:bookmarkStart w:id="111" w:name="_Toc518791864"/>
      <w:bookmarkStart w:id="112" w:name="_Toc437916036"/>
      <w:r>
        <w:rPr>
          <w:rStyle w:val="CharSectno"/>
        </w:rPr>
        <w:t>20J</w:t>
      </w:r>
      <w:r>
        <w:rPr>
          <w:snapToGrid w:val="0"/>
        </w:rPr>
        <w:t>.</w:t>
      </w:r>
      <w:r>
        <w:rPr>
          <w:snapToGrid w:val="0"/>
        </w:rPr>
        <w:tab/>
        <w:t>Prescribed countries — section 49A</w:t>
      </w:r>
      <w:bookmarkEnd w:id="110"/>
      <w:bookmarkEnd w:id="111"/>
      <w:bookmarkEnd w:id="112"/>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3" w:name="_Toc457016704"/>
      <w:bookmarkStart w:id="114" w:name="_Toc518791865"/>
      <w:bookmarkStart w:id="115" w:name="_Toc437916037"/>
      <w:r>
        <w:rPr>
          <w:rStyle w:val="CharSectno"/>
        </w:rPr>
        <w:t>21</w:t>
      </w:r>
      <w:r>
        <w:rPr>
          <w:snapToGrid w:val="0"/>
        </w:rPr>
        <w:t>.</w:t>
      </w:r>
      <w:r>
        <w:rPr>
          <w:snapToGrid w:val="0"/>
        </w:rPr>
        <w:tab/>
        <w:t>Offences and penalty</w:t>
      </w:r>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6" w:name="_Toc112819385"/>
      <w:bookmarkStart w:id="117" w:name="_Toc112819428"/>
      <w:bookmarkStart w:id="118" w:name="_Toc114978266"/>
      <w:bookmarkStart w:id="119" w:name="_Toc115849065"/>
      <w:bookmarkStart w:id="120" w:name="_Toc115851266"/>
      <w:bookmarkStart w:id="121" w:name="_Toc117992962"/>
      <w:bookmarkStart w:id="122" w:name="_Toc119292186"/>
      <w:bookmarkStart w:id="123" w:name="_Toc138658213"/>
      <w:bookmarkStart w:id="124" w:name="_Toc139267723"/>
      <w:bookmarkStart w:id="125" w:name="_Toc139268618"/>
      <w:bookmarkStart w:id="126" w:name="_Toc146352756"/>
      <w:bookmarkStart w:id="127" w:name="_Toc146427559"/>
      <w:bookmarkStart w:id="128" w:name="_Toc170552952"/>
      <w:bookmarkStart w:id="129" w:name="_Toc170724994"/>
      <w:bookmarkStart w:id="130" w:name="_Toc198969528"/>
      <w:bookmarkStart w:id="131" w:name="_Toc198969644"/>
      <w:bookmarkStart w:id="132" w:name="_Toc199049084"/>
      <w:bookmarkStart w:id="133" w:name="_Toc437916038"/>
      <w:r>
        <w:rPr>
          <w:rStyle w:val="CharSchNo"/>
        </w:rPr>
        <w:t>Schedule 1</w:t>
      </w:r>
      <w:r>
        <w:t> — </w:t>
      </w:r>
      <w:r>
        <w:rPr>
          <w:rStyle w:val="CharSchText"/>
        </w:rPr>
        <w:t>Form of the register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34" w:name="_Toc170552954"/>
      <w:bookmarkStart w:id="135" w:name="_Toc170724995"/>
      <w:bookmarkStart w:id="136" w:name="_Toc198969529"/>
      <w:bookmarkStart w:id="137" w:name="_Toc198969645"/>
      <w:bookmarkStart w:id="138" w:name="_Toc199049085"/>
      <w:bookmarkStart w:id="139" w:name="_Toc437916039"/>
      <w:r>
        <w:rPr>
          <w:rStyle w:val="CharSchNo"/>
        </w:rPr>
        <w:t>Schedule 2</w:t>
      </w:r>
      <w:r>
        <w:t> — </w:t>
      </w:r>
      <w:r>
        <w:rPr>
          <w:rStyle w:val="CharSchText"/>
        </w:rPr>
        <w:t>Fees</w:t>
      </w:r>
      <w:bookmarkEnd w:id="134"/>
      <w:bookmarkEnd w:id="135"/>
      <w:bookmarkEnd w:id="136"/>
      <w:bookmarkEnd w:id="137"/>
      <w:bookmarkEnd w:id="138"/>
      <w:bookmarkEnd w:id="139"/>
    </w:p>
    <w:p>
      <w:pPr>
        <w:pStyle w:val="yShoulderClause"/>
      </w:pPr>
      <w:r>
        <w:t>[r. 13, 14, 16, 17 and 18]</w:t>
      </w:r>
    </w:p>
    <w:p>
      <w:pPr>
        <w:pStyle w:val="yFootnoteheading"/>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57</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57</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57</w:t>
            </w:r>
          </w:p>
        </w:tc>
      </w:tr>
    </w:tbl>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t>[Schedule 2 inserted in Gazette 15 Jun 2007 p. 2762; amended in Gazette 20 May 2008 p. 1941.]</w:t>
      </w:r>
    </w:p>
    <w:p>
      <w:pPr>
        <w:pStyle w:val="nHeading2"/>
      </w:pPr>
      <w:bookmarkStart w:id="140" w:name="_Toc76546388"/>
      <w:bookmarkStart w:id="141" w:name="_Toc105235344"/>
      <w:bookmarkStart w:id="142" w:name="_Toc105468701"/>
      <w:bookmarkStart w:id="143" w:name="_Toc106442431"/>
      <w:bookmarkStart w:id="144" w:name="_Toc106442867"/>
      <w:bookmarkStart w:id="145" w:name="_Toc106525591"/>
      <w:bookmarkStart w:id="146" w:name="_Toc107800896"/>
      <w:bookmarkStart w:id="147" w:name="_Toc112819387"/>
      <w:bookmarkStart w:id="148" w:name="_Toc112819430"/>
      <w:bookmarkStart w:id="149" w:name="_Toc114978268"/>
      <w:bookmarkStart w:id="150" w:name="_Toc115849067"/>
      <w:bookmarkStart w:id="151" w:name="_Toc115851268"/>
      <w:bookmarkStart w:id="152" w:name="_Toc117992964"/>
      <w:bookmarkStart w:id="153" w:name="_Toc119292188"/>
      <w:bookmarkStart w:id="154" w:name="_Toc138658216"/>
      <w:bookmarkStart w:id="155" w:name="_Toc139267725"/>
      <w:bookmarkStart w:id="156" w:name="_Toc139268620"/>
      <w:bookmarkStart w:id="157" w:name="_Toc146352758"/>
      <w:bookmarkStart w:id="158" w:name="_Toc146427561"/>
      <w:bookmarkStart w:id="159" w:name="_Toc170552955"/>
      <w:bookmarkStart w:id="160" w:name="_Toc170724996"/>
      <w:bookmarkStart w:id="161" w:name="_Toc198969530"/>
      <w:bookmarkStart w:id="162" w:name="_Toc198969646"/>
      <w:bookmarkStart w:id="163" w:name="_Toc199049086"/>
      <w:bookmarkStart w:id="164" w:name="_Toc437916040"/>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437916041"/>
      <w:r>
        <w:rPr>
          <w:snapToGrid w:val="0"/>
        </w:rP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Pr>
          <w:p>
            <w:pPr>
              <w:pStyle w:val="nTable"/>
              <w:spacing w:before="30" w:after="40"/>
              <w:ind w:right="170"/>
              <w:rPr>
                <w:i/>
                <w:sz w:val="19"/>
              </w:rPr>
            </w:pPr>
            <w:r>
              <w:rPr>
                <w:i/>
                <w:sz w:val="19"/>
              </w:rPr>
              <w:t>Stock (Identification and Movement) Amendment Regulations 2006</w:t>
            </w:r>
          </w:p>
        </w:tc>
        <w:tc>
          <w:tcPr>
            <w:tcW w:w="1276" w:type="dxa"/>
          </w:tcPr>
          <w:p>
            <w:pPr>
              <w:pStyle w:val="nTable"/>
              <w:spacing w:before="30" w:after="40"/>
              <w:rPr>
                <w:sz w:val="19"/>
              </w:rPr>
            </w:pPr>
            <w:r>
              <w:rPr>
                <w:sz w:val="19"/>
              </w:rPr>
              <w:t>19 Sep 2006 p. 3707-8</w:t>
            </w:r>
          </w:p>
        </w:tc>
        <w:tc>
          <w:tcPr>
            <w:tcW w:w="2693" w:type="dxa"/>
          </w:tcPr>
          <w:p>
            <w:pPr>
              <w:pStyle w:val="nTable"/>
              <w:spacing w:before="30" w:after="40"/>
              <w:rPr>
                <w:sz w:val="19"/>
              </w:rPr>
            </w:pPr>
            <w:r>
              <w:rPr>
                <w:sz w:val="19"/>
              </w:rPr>
              <w:t>19 Sep 2006</w:t>
            </w:r>
          </w:p>
        </w:tc>
      </w:tr>
      <w:tr>
        <w:trPr>
          <w:cantSplit/>
        </w:trPr>
        <w:tc>
          <w:tcPr>
            <w:tcW w:w="3118" w:type="dxa"/>
          </w:tcPr>
          <w:p>
            <w:pPr>
              <w:pStyle w:val="nTable"/>
              <w:spacing w:before="30" w:after="40"/>
              <w:ind w:right="170"/>
              <w:rPr>
                <w:i/>
                <w:sz w:val="19"/>
              </w:rPr>
            </w:pPr>
            <w:r>
              <w:rPr>
                <w:i/>
                <w:sz w:val="19"/>
              </w:rPr>
              <w:t>Stock (Identification and Movement) Amendment Regulations 2007</w:t>
            </w:r>
          </w:p>
        </w:tc>
        <w:tc>
          <w:tcPr>
            <w:tcW w:w="1276" w:type="dxa"/>
          </w:tcPr>
          <w:p>
            <w:pPr>
              <w:pStyle w:val="nTable"/>
              <w:spacing w:before="30" w:after="40"/>
              <w:rPr>
                <w:sz w:val="19"/>
              </w:rPr>
            </w:pPr>
            <w:r>
              <w:rPr>
                <w:sz w:val="19"/>
              </w:rPr>
              <w:t>15 Jun 2007 p. 2761</w:t>
            </w:r>
            <w:r>
              <w:rPr>
                <w:sz w:val="19"/>
              </w:rPr>
              <w:noBreakHyphen/>
              <w:t>2</w:t>
            </w:r>
          </w:p>
        </w:tc>
        <w:tc>
          <w:tcPr>
            <w:tcW w:w="2693" w:type="dxa"/>
          </w:tcPr>
          <w:p>
            <w:pPr>
              <w:pStyle w:val="nTable"/>
              <w:spacing w:before="30"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Borders>
              <w:bottom w:val="single" w:sz="4" w:space="0" w:color="auto"/>
            </w:tcBorders>
          </w:tcPr>
          <w:p>
            <w:pPr>
              <w:pStyle w:val="nTable"/>
              <w:spacing w:after="40"/>
              <w:ind w:right="113"/>
              <w:rPr>
                <w:iCs/>
                <w:sz w:val="19"/>
              </w:rPr>
            </w:pPr>
            <w:r>
              <w:rPr>
                <w:i/>
                <w:sz w:val="19"/>
              </w:rPr>
              <w:t>Stock (Identification and Movement) Amendment Regulations 2008</w:t>
            </w:r>
          </w:p>
        </w:tc>
        <w:tc>
          <w:tcPr>
            <w:tcW w:w="1276" w:type="dxa"/>
            <w:tcBorders>
              <w:bottom w:val="single" w:sz="4" w:space="0" w:color="auto"/>
            </w:tcBorders>
          </w:tcPr>
          <w:p>
            <w:pPr>
              <w:pStyle w:val="nTable"/>
              <w:spacing w:after="40"/>
              <w:rPr>
                <w:sz w:val="19"/>
              </w:rPr>
            </w:pPr>
            <w:r>
              <w:rPr>
                <w:sz w:val="19"/>
              </w:rPr>
              <w:t>20 May 2008 p. 1941</w:t>
            </w:r>
          </w:p>
        </w:tc>
        <w:tc>
          <w:tcPr>
            <w:tcW w:w="2693" w:type="dxa"/>
            <w:tcBorders>
              <w:bottom w:val="single" w:sz="4" w:space="0" w:color="auto"/>
            </w:tcBorders>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345"/>
    <w:docVar w:name="WAFER_20151210160345" w:val="RemoveTrackChanges"/>
    <w:docVar w:name="WAFER_20151210160345_GUID" w:val="277491c7-74f0-4cda-b1c0-5c1052b29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8279</Words>
  <Characters>37672</Characters>
  <Application>Microsoft Office Word</Application>
  <DocSecurity>0</DocSecurity>
  <Lines>1299</Lines>
  <Paragraphs>765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1972 - 03-f0-04</dc:title>
  <dc:subject/>
  <dc:creator/>
  <cp:keywords/>
  <dc:description/>
  <cp:lastModifiedBy>svcMRProcess</cp:lastModifiedBy>
  <cp:revision>4</cp:revision>
  <cp:lastPrinted>2005-10-25T00:41:00Z</cp:lastPrinted>
  <dcterms:created xsi:type="dcterms:W3CDTF">2015-12-14T20:11:00Z</dcterms:created>
  <dcterms:modified xsi:type="dcterms:W3CDTF">2015-12-14T20:11:00Z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03-f0-04</vt:lpwstr>
  </property>
</Properties>
</file>