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Forrest Place and City Station Development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567" w:right="567"/>
      </w:pPr>
      <w:r>
        <w:fldChar w:fldCharType="begin"/>
      </w:r>
      <w:r>
        <w:instrText xml:space="preserve"> STYLEREF "Name Of Act/Reg"</w:instrText>
      </w:r>
      <w:r>
        <w:fldChar w:fldCharType="separate"/>
      </w:r>
      <w:r>
        <w:rPr>
          <w:noProof/>
        </w:rPr>
        <w:t>Forrest Place and City Station Development Act 1985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_Toc131394454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_Toc131394455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_Toc131394456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Ratification and effect of enabling agreement</w:t>
      </w:r>
      <w:r>
        <w:tab/>
      </w:r>
      <w:r>
        <w:fldChar w:fldCharType="begin"/>
      </w:r>
      <w:r>
        <w:instrText xml:space="preserve"> PAGEREF _Toc131394457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Effect of development plan agreement</w:t>
      </w:r>
      <w:r>
        <w:tab/>
      </w:r>
      <w:r>
        <w:fldChar w:fldCharType="begin"/>
      </w:r>
      <w:r>
        <w:instrText xml:space="preserve"> PAGEREF _Toc131394458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Implementation of agreements and authorisation of statutory bodies</w:t>
      </w:r>
      <w:r>
        <w:tab/>
      </w:r>
      <w:r>
        <w:fldChar w:fldCharType="begin"/>
      </w:r>
      <w:r>
        <w:instrText xml:space="preserve"> PAGEREF _Toc131394459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Demolition of Padbury buildings</w:t>
      </w:r>
      <w:r>
        <w:tab/>
      </w:r>
      <w:r>
        <w:fldChar w:fldCharType="begin"/>
      </w:r>
      <w:r>
        <w:instrText xml:space="preserve"> PAGEREF _Toc131394460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Land may be reserved in strata</w:t>
      </w:r>
      <w:r>
        <w:tab/>
      </w:r>
      <w:r>
        <w:fldChar w:fldCharType="begin"/>
      </w:r>
      <w:r>
        <w:instrText xml:space="preserve"> PAGEREF _Toc131394461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 to grant easements over reserves</w:t>
      </w:r>
      <w:r>
        <w:tab/>
      </w:r>
      <w:r>
        <w:fldChar w:fldCharType="begin"/>
      </w:r>
      <w:r>
        <w:instrText xml:space="preserve"> PAGEREF _Toc131394462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Public nature of development</w:t>
      </w:r>
      <w:r>
        <w:tab/>
      </w:r>
      <w:r>
        <w:fldChar w:fldCharType="begin"/>
      </w:r>
      <w:r>
        <w:instrText xml:space="preserve"> PAGEREF _Toc131394463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Street closure</w:t>
      </w:r>
      <w:r>
        <w:tab/>
      </w:r>
      <w:r>
        <w:fldChar w:fldCharType="begin"/>
      </w:r>
      <w:r>
        <w:instrText xml:space="preserve"> PAGEREF _Toc131394464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Provisions as to land taken or acquired to implement the agreements</w:t>
      </w:r>
      <w:r>
        <w:tab/>
      </w:r>
      <w:r>
        <w:fldChar w:fldCharType="begin"/>
      </w:r>
      <w:r>
        <w:instrText xml:space="preserve"> PAGEREF _Toc131394465 \h </w:instrText>
      </w:r>
      <w:r>
        <w:fldChar w:fldCharType="separate"/>
      </w:r>
      <w:r>
        <w:t>6</w:t>
      </w:r>
      <w:r>
        <w:fldChar w:fldCharType="end"/>
      </w:r>
    </w:p>
    <w:p>
      <w:pPr>
        <w:pStyle w:val="TOC8"/>
        <w:rPr>
          <w:sz w:val="24"/>
          <w:szCs w:val="24"/>
        </w:rPr>
      </w:pPr>
      <w:r>
        <w:rPr>
          <w:szCs w:val="24"/>
        </w:rPr>
        <w:t>12A</w:t>
      </w:r>
      <w:r>
        <w:rPr>
          <w:snapToGrid w:val="0"/>
          <w:szCs w:val="24"/>
        </w:rPr>
        <w:t>.</w:t>
      </w:r>
      <w:r>
        <w:rPr>
          <w:snapToGrid w:val="0"/>
          <w:szCs w:val="24"/>
        </w:rPr>
        <w:tab/>
        <w:t>Rights and obligations in relation to land affected by the development plan agreement</w:t>
      </w:r>
      <w:r>
        <w:tab/>
      </w:r>
      <w:r>
        <w:fldChar w:fldCharType="begin"/>
      </w:r>
      <w:r>
        <w:instrText xml:space="preserve"> PAGEREF _Toc131394466 \h </w:instrText>
      </w:r>
      <w:r>
        <w:fldChar w:fldCharType="separate"/>
      </w:r>
      <w:r>
        <w:t>7</w:t>
      </w:r>
      <w:r>
        <w:fldChar w:fldCharType="end"/>
      </w:r>
    </w:p>
    <w:p>
      <w:pPr>
        <w:pStyle w:val="TOC8"/>
        <w:rPr>
          <w:sz w:val="24"/>
          <w:szCs w:val="24"/>
        </w:rPr>
      </w:pPr>
      <w:r>
        <w:rPr>
          <w:szCs w:val="24"/>
        </w:rPr>
        <w:t>12B</w:t>
      </w:r>
      <w:r>
        <w:rPr>
          <w:snapToGrid w:val="0"/>
          <w:szCs w:val="24"/>
        </w:rPr>
        <w:t>.</w:t>
      </w:r>
      <w:r>
        <w:rPr>
          <w:snapToGrid w:val="0"/>
          <w:szCs w:val="24"/>
        </w:rPr>
        <w:tab/>
        <w:t>Endorsements as to rights and obligations</w:t>
      </w:r>
      <w:r>
        <w:tab/>
      </w:r>
      <w:r>
        <w:fldChar w:fldCharType="begin"/>
      </w:r>
      <w:r>
        <w:instrText xml:space="preserve"> PAGEREF _Toc131394467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Reserved land vested in the City</w:t>
      </w:r>
      <w:r>
        <w:tab/>
      </w:r>
      <w:r>
        <w:fldChar w:fldCharType="begin"/>
      </w:r>
      <w:r>
        <w:instrText xml:space="preserve"> PAGEREF _Toc131394468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Disposal of land by City</w:t>
      </w:r>
      <w:r>
        <w:tab/>
      </w:r>
      <w:r>
        <w:fldChar w:fldCharType="begin"/>
      </w:r>
      <w:r>
        <w:instrText xml:space="preserve"> PAGEREF _Toc131394469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Expenditure and borrowing by City</w:t>
      </w:r>
      <w:r>
        <w:tab/>
      </w:r>
      <w:r>
        <w:fldChar w:fldCharType="begin"/>
      </w:r>
      <w:r>
        <w:instrText xml:space="preserve"> PAGEREF _Toc131394470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City Station complex</w:t>
      </w:r>
      <w:r>
        <w:tab/>
      </w:r>
      <w:r>
        <w:fldChar w:fldCharType="begin"/>
      </w:r>
      <w:r>
        <w:instrText xml:space="preserve"> PAGEREF _Toc131394471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City not required to call tenders</w:t>
      </w:r>
      <w:r>
        <w:tab/>
      </w:r>
      <w:r>
        <w:fldChar w:fldCharType="begin"/>
      </w:r>
      <w:r>
        <w:instrText xml:space="preserve"> PAGEREF _Toc131394472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Power of City to control access to development site</w:t>
      </w:r>
      <w:r>
        <w:tab/>
      </w:r>
      <w:r>
        <w:fldChar w:fldCharType="begin"/>
      </w:r>
      <w:r>
        <w:instrText xml:space="preserve"> PAGEREF _Toc131394473 \h </w:instrText>
      </w:r>
      <w:r>
        <w:fldChar w:fldCharType="separate"/>
      </w:r>
      <w:r>
        <w:t>11</w:t>
      </w:r>
      <w:r>
        <w:fldChar w:fldCharType="end"/>
      </w:r>
    </w:p>
    <w:p>
      <w:pPr>
        <w:pStyle w:val="TOC8"/>
        <w:rPr>
          <w:sz w:val="24"/>
          <w:szCs w:val="24"/>
        </w:rPr>
      </w:pPr>
      <w:r>
        <w:rPr>
          <w:szCs w:val="24"/>
        </w:rPr>
        <w:t>19.</w:t>
      </w:r>
      <w:r>
        <w:rPr>
          <w:szCs w:val="24"/>
        </w:rPr>
        <w:tab/>
        <w:t>Power of Authority relating to leases and easements</w:t>
      </w:r>
      <w:r>
        <w:tab/>
      </w:r>
      <w:r>
        <w:fldChar w:fldCharType="begin"/>
      </w:r>
      <w:r>
        <w:instrText xml:space="preserve"> PAGEREF _Toc131394474 \h </w:instrText>
      </w:r>
      <w:r>
        <w:fldChar w:fldCharType="separate"/>
      </w:r>
      <w:r>
        <w:t>11</w:t>
      </w:r>
      <w:r>
        <w:fldChar w:fldCharType="end"/>
      </w:r>
    </w:p>
    <w:p>
      <w:pPr>
        <w:pStyle w:val="TOC8"/>
        <w:rPr>
          <w:sz w:val="24"/>
          <w:szCs w:val="24"/>
        </w:rPr>
      </w:pPr>
      <w:r>
        <w:rPr>
          <w:szCs w:val="24"/>
        </w:rPr>
        <w:lastRenderedPageBreak/>
        <w:t>19A</w:t>
      </w:r>
      <w:r>
        <w:rPr>
          <w:snapToGrid w:val="0"/>
          <w:szCs w:val="24"/>
        </w:rPr>
        <w:t>.</w:t>
      </w:r>
      <w:r>
        <w:rPr>
          <w:snapToGrid w:val="0"/>
          <w:szCs w:val="24"/>
        </w:rPr>
        <w:tab/>
        <w:t>Limits of Government railways extended for certain purposes</w:t>
      </w:r>
      <w:r>
        <w:tab/>
      </w:r>
      <w:r>
        <w:fldChar w:fldCharType="begin"/>
      </w:r>
      <w:r>
        <w:instrText xml:space="preserve"> PAGEREF _Toc131394475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Agreements to be published and laid before Parliament</w:t>
      </w:r>
      <w:r>
        <w:tab/>
      </w:r>
      <w:r>
        <w:fldChar w:fldCharType="begin"/>
      </w:r>
      <w:r>
        <w:instrText xml:space="preserve"> PAGEREF _Toc131394476 \h </w:instrText>
      </w:r>
      <w:r>
        <w:fldChar w:fldCharType="separate"/>
      </w:r>
      <w:r>
        <w:t>12</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_Toc131394479 \h </w:instrText>
      </w:r>
      <w:r>
        <w:fldChar w:fldCharType="separate"/>
      </w:r>
      <w:r>
        <w:t>45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2" w:name="_Toc458487992"/>
      <w:bookmarkStart w:id="3" w:name="_Toc521463295"/>
      <w:bookmarkStart w:id="4" w:name="_Toc122750546"/>
      <w:bookmarkStart w:id="5" w:name="_Toc122750651"/>
      <w:bookmarkStart w:id="6" w:name="_Toc131394454"/>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7" w:name="_Toc458487993"/>
      <w:bookmarkStart w:id="8" w:name="_Toc521463296"/>
      <w:bookmarkStart w:id="9" w:name="_Toc122750547"/>
      <w:bookmarkStart w:id="10" w:name="_Toc122750652"/>
      <w:bookmarkStart w:id="11" w:name="_Toc13139445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2" w:name="_Toc458487994"/>
      <w:bookmarkStart w:id="13" w:name="_Toc521463297"/>
      <w:bookmarkStart w:id="14" w:name="_Toc122750548"/>
      <w:bookmarkStart w:id="15" w:name="_Toc122750653"/>
      <w:bookmarkStart w:id="16" w:name="_Toc131394456"/>
      <w:r>
        <w:rPr>
          <w:rStyle w:val="CharSectno"/>
        </w:rPr>
        <w:t>3</w:t>
      </w:r>
      <w:r>
        <w:rPr>
          <w:snapToGrid w:val="0"/>
        </w:rPr>
        <w:t>.</w:t>
      </w:r>
      <w:r>
        <w:rPr>
          <w:snapToGrid w:val="0"/>
        </w:rPr>
        <w:tab/>
        <w:t>Definitions</w:t>
      </w:r>
      <w:bookmarkEnd w:id="12"/>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Defstart"/>
      </w:pPr>
      <w:r>
        <w:tab/>
      </w:r>
      <w:r>
        <w:rPr>
          <w:rStyle w:val="CharDefText"/>
        </w:rPr>
        <w:t>the Authority</w:t>
      </w:r>
      <w:r>
        <w:t xml:space="preserve"> means the Public Transport Authority of Western Australia established by the </w:t>
      </w:r>
      <w:r>
        <w:rPr>
          <w:i/>
        </w:rPr>
        <w:t>Public Transport Authority Act 2003</w:t>
      </w:r>
      <w:r>
        <w:t>;</w:t>
      </w:r>
    </w:p>
    <w:p>
      <w:pPr>
        <w:pStyle w:val="Defstart"/>
      </w:pPr>
      <w:r>
        <w:rPr>
          <w:b/>
        </w:rPr>
        <w:tab/>
      </w:r>
      <w:r>
        <w:rPr>
          <w:rStyle w:val="CharDefText"/>
        </w:rPr>
        <w:t>the City</w:t>
      </w:r>
      <w:r>
        <w:t xml:space="preserve"> means the City of Perth.</w:t>
      </w:r>
    </w:p>
    <w:p>
      <w:pPr>
        <w:pStyle w:val="Footnotesection"/>
      </w:pPr>
      <w:r>
        <w:tab/>
        <w:t xml:space="preserve">[Section 3 amended by No. 14 of 1996 s. 4; No. 31 of 1997 s. 29(1); No. 31 of 2003 s. 205(2).] </w:t>
      </w:r>
    </w:p>
    <w:p>
      <w:pPr>
        <w:pStyle w:val="Heading5"/>
        <w:rPr>
          <w:snapToGrid w:val="0"/>
        </w:rPr>
      </w:pPr>
      <w:bookmarkStart w:id="17" w:name="_Toc458487995"/>
      <w:bookmarkStart w:id="18" w:name="_Toc521463298"/>
      <w:bookmarkStart w:id="19" w:name="_Toc122750549"/>
      <w:bookmarkStart w:id="20" w:name="_Toc122750654"/>
      <w:bookmarkStart w:id="21" w:name="_Toc131394457"/>
      <w:r>
        <w:rPr>
          <w:rStyle w:val="CharSectno"/>
        </w:rPr>
        <w:t>4</w:t>
      </w:r>
      <w:r>
        <w:rPr>
          <w:snapToGrid w:val="0"/>
        </w:rPr>
        <w:t>.</w:t>
      </w:r>
      <w:r>
        <w:rPr>
          <w:snapToGrid w:val="0"/>
        </w:rPr>
        <w:tab/>
        <w:t>Ratification and effect of enabling agreement</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22" w:name="_Toc458487996"/>
      <w:bookmarkStart w:id="23" w:name="_Toc521463299"/>
      <w:bookmarkStart w:id="24" w:name="_Toc122750550"/>
      <w:bookmarkStart w:id="25" w:name="_Toc122750655"/>
      <w:bookmarkStart w:id="26" w:name="_Toc131394458"/>
      <w:r>
        <w:rPr>
          <w:rStyle w:val="CharSectno"/>
        </w:rPr>
        <w:t>5</w:t>
      </w:r>
      <w:r>
        <w:rPr>
          <w:snapToGrid w:val="0"/>
        </w:rPr>
        <w:t>.</w:t>
      </w:r>
      <w:r>
        <w:rPr>
          <w:snapToGrid w:val="0"/>
        </w:rPr>
        <w:tab/>
        <w:t>Effect of development plan agreement</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by No. 66 of 1986 s. 4.] </w:t>
      </w:r>
    </w:p>
    <w:p>
      <w:pPr>
        <w:pStyle w:val="Heading5"/>
        <w:rPr>
          <w:snapToGrid w:val="0"/>
        </w:rPr>
      </w:pPr>
      <w:bookmarkStart w:id="27" w:name="_Toc458487997"/>
      <w:bookmarkStart w:id="28" w:name="_Toc521463300"/>
      <w:bookmarkStart w:id="29" w:name="_Toc122750551"/>
      <w:bookmarkStart w:id="30" w:name="_Toc122750656"/>
      <w:bookmarkStart w:id="31" w:name="_Toc131394459"/>
      <w:r>
        <w:rPr>
          <w:rStyle w:val="CharSectno"/>
        </w:rPr>
        <w:t>6</w:t>
      </w:r>
      <w:r>
        <w:rPr>
          <w:snapToGrid w:val="0"/>
        </w:rPr>
        <w:t>.</w:t>
      </w:r>
      <w:r>
        <w:rPr>
          <w:snapToGrid w:val="0"/>
        </w:rPr>
        <w:tab/>
        <w:t>Implementation of agreements and authorisation of statutory bodies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by No.31 of 2003 s. 205(3) and (4).]</w:t>
      </w:r>
    </w:p>
    <w:p>
      <w:pPr>
        <w:pStyle w:val="Heading5"/>
        <w:rPr>
          <w:snapToGrid w:val="0"/>
        </w:rPr>
      </w:pPr>
      <w:bookmarkStart w:id="32" w:name="_Toc458487998"/>
      <w:bookmarkStart w:id="33" w:name="_Toc521463301"/>
      <w:bookmarkStart w:id="34" w:name="_Toc122750552"/>
      <w:bookmarkStart w:id="35" w:name="_Toc122750657"/>
      <w:bookmarkStart w:id="36" w:name="_Toc131394460"/>
      <w:r>
        <w:rPr>
          <w:rStyle w:val="CharSectno"/>
        </w:rPr>
        <w:t>7</w:t>
      </w:r>
      <w:r>
        <w:rPr>
          <w:snapToGrid w:val="0"/>
        </w:rPr>
        <w:t>.</w:t>
      </w:r>
      <w:r>
        <w:rPr>
          <w:snapToGrid w:val="0"/>
        </w:rPr>
        <w:tab/>
        <w:t>Demolition of Padbury buildings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37" w:name="_Toc458487999"/>
      <w:bookmarkStart w:id="38" w:name="_Toc521463302"/>
      <w:bookmarkStart w:id="39" w:name="_Toc122750553"/>
      <w:bookmarkStart w:id="40" w:name="_Toc122750658"/>
      <w:bookmarkStart w:id="41" w:name="_Toc131394461"/>
      <w:r>
        <w:rPr>
          <w:rStyle w:val="CharSectno"/>
        </w:rPr>
        <w:t>8</w:t>
      </w:r>
      <w:r>
        <w:rPr>
          <w:snapToGrid w:val="0"/>
        </w:rPr>
        <w:t>.</w:t>
      </w:r>
      <w:r>
        <w:rPr>
          <w:snapToGrid w:val="0"/>
        </w:rPr>
        <w:tab/>
        <w:t>Land may be reserved in strata</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by No. 31 of 1997 s. 29(2).]</w:t>
      </w:r>
    </w:p>
    <w:p>
      <w:pPr>
        <w:pStyle w:val="Heading5"/>
        <w:rPr>
          <w:snapToGrid w:val="0"/>
        </w:rPr>
      </w:pPr>
      <w:bookmarkStart w:id="42" w:name="_Toc458488000"/>
      <w:bookmarkStart w:id="43" w:name="_Toc521463303"/>
      <w:bookmarkStart w:id="44" w:name="_Toc122750554"/>
      <w:bookmarkStart w:id="45" w:name="_Toc122750659"/>
      <w:bookmarkStart w:id="46" w:name="_Toc131394462"/>
      <w:r>
        <w:rPr>
          <w:rStyle w:val="CharSectno"/>
        </w:rPr>
        <w:t>9</w:t>
      </w:r>
      <w:r>
        <w:rPr>
          <w:snapToGrid w:val="0"/>
        </w:rPr>
        <w:t>.</w:t>
      </w:r>
      <w:r>
        <w:rPr>
          <w:snapToGrid w:val="0"/>
        </w:rPr>
        <w:tab/>
        <w:t>Power to grant easements over reserves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by No. 31 of 1997 s. 29(3) and (4).]</w:t>
      </w:r>
    </w:p>
    <w:p>
      <w:pPr>
        <w:pStyle w:val="Heading5"/>
        <w:rPr>
          <w:snapToGrid w:val="0"/>
        </w:rPr>
      </w:pPr>
      <w:bookmarkStart w:id="47" w:name="_Toc458488001"/>
      <w:bookmarkStart w:id="48" w:name="_Toc521463304"/>
      <w:bookmarkStart w:id="49" w:name="_Toc122750555"/>
      <w:bookmarkStart w:id="50" w:name="_Toc122750660"/>
      <w:bookmarkStart w:id="51" w:name="_Toc131394463"/>
      <w:r>
        <w:rPr>
          <w:rStyle w:val="CharSectno"/>
        </w:rPr>
        <w:t>10</w:t>
      </w:r>
      <w:r>
        <w:rPr>
          <w:snapToGrid w:val="0"/>
        </w:rPr>
        <w:t>.</w:t>
      </w:r>
      <w:r>
        <w:rPr>
          <w:snapToGrid w:val="0"/>
        </w:rPr>
        <w:tab/>
        <w:t>Public nature of development</w:t>
      </w:r>
      <w:bookmarkEnd w:id="47"/>
      <w:bookmarkEnd w:id="48"/>
      <w:bookmarkEnd w:id="49"/>
      <w:bookmarkEnd w:id="50"/>
      <w:bookmarkEnd w:id="51"/>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52" w:name="_Toc458488002"/>
      <w:bookmarkStart w:id="53" w:name="_Toc521463305"/>
      <w:bookmarkStart w:id="54" w:name="_Toc122750556"/>
      <w:bookmarkStart w:id="55" w:name="_Toc122750661"/>
      <w:bookmarkStart w:id="56" w:name="_Toc131394464"/>
      <w:r>
        <w:rPr>
          <w:rStyle w:val="CharSectno"/>
        </w:rPr>
        <w:t>11</w:t>
      </w:r>
      <w:r>
        <w:rPr>
          <w:snapToGrid w:val="0"/>
        </w:rPr>
        <w:t>.</w:t>
      </w:r>
      <w:r>
        <w:rPr>
          <w:snapToGrid w:val="0"/>
        </w:rPr>
        <w:tab/>
        <w:t>Street closure</w:t>
      </w:r>
      <w:bookmarkEnd w:id="52"/>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by No. 14 of 1996 s. 4; No. 31 of 1997 s. 29(5)</w:t>
      </w:r>
      <w:r>
        <w:noBreakHyphen/>
        <w:t xml:space="preserve">(7).] </w:t>
      </w:r>
    </w:p>
    <w:p>
      <w:pPr>
        <w:pStyle w:val="Heading5"/>
        <w:rPr>
          <w:snapToGrid w:val="0"/>
        </w:rPr>
      </w:pPr>
      <w:bookmarkStart w:id="57" w:name="_Toc458488003"/>
      <w:bookmarkStart w:id="58" w:name="_Toc521463306"/>
      <w:bookmarkStart w:id="59" w:name="_Toc122750557"/>
      <w:bookmarkStart w:id="60" w:name="_Toc122750662"/>
      <w:bookmarkStart w:id="61" w:name="_Toc131394465"/>
      <w:r>
        <w:rPr>
          <w:rStyle w:val="CharSectno"/>
        </w:rPr>
        <w:t>12</w:t>
      </w:r>
      <w:r>
        <w:rPr>
          <w:snapToGrid w:val="0"/>
        </w:rPr>
        <w:t>.</w:t>
      </w:r>
      <w:r>
        <w:rPr>
          <w:snapToGrid w:val="0"/>
        </w:rPr>
        <w:tab/>
        <w:t>Provisions as to land taken or acquired to implement the agreements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by No. 66 of 1986 s. 5; No. 31 of 1997 s. 29(8)</w:t>
      </w:r>
      <w:r>
        <w:noBreakHyphen/>
        <w:t xml:space="preserve">(11); No. 38 of 2005 s. 15.] </w:t>
      </w:r>
    </w:p>
    <w:p>
      <w:pPr>
        <w:pStyle w:val="Heading5"/>
        <w:rPr>
          <w:snapToGrid w:val="0"/>
        </w:rPr>
      </w:pPr>
      <w:bookmarkStart w:id="62" w:name="_Toc458488004"/>
      <w:bookmarkStart w:id="63" w:name="_Toc521463307"/>
      <w:bookmarkStart w:id="64" w:name="_Toc122750558"/>
      <w:bookmarkStart w:id="65" w:name="_Toc122750663"/>
      <w:bookmarkStart w:id="66" w:name="_Toc131394466"/>
      <w:r>
        <w:rPr>
          <w:rStyle w:val="CharSectno"/>
        </w:rPr>
        <w:t>12A</w:t>
      </w:r>
      <w:r>
        <w:rPr>
          <w:snapToGrid w:val="0"/>
        </w:rPr>
        <w:t>.</w:t>
      </w:r>
      <w:r>
        <w:rPr>
          <w:snapToGrid w:val="0"/>
        </w:rPr>
        <w:tab/>
        <w:t>Rights and obligations in relation to land affected by the development plan agreement</w:t>
      </w:r>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rPr>
          <w:b/>
          <w:snapToGrid w:val="0"/>
        </w:rPr>
      </w:pPr>
      <w:r>
        <w:rPr>
          <w:b/>
          <w:snapToGrid w:val="0"/>
        </w:rPr>
        <w:t>Table</w:t>
      </w:r>
    </w:p>
    <w:tbl>
      <w:tblPr>
        <w:tblW w:w="0" w:type="auto"/>
        <w:tblInd w:w="71" w:type="dxa"/>
        <w:tblLayout w:type="fixed"/>
        <w:tblCellMar>
          <w:left w:w="71" w:type="dxa"/>
          <w:right w:w="71" w:type="dxa"/>
        </w:tblCellMar>
        <w:tblLook w:val="0000" w:firstRow="0" w:lastRow="0" w:firstColumn="0" w:lastColumn="0" w:noHBand="0" w:noVBand="0"/>
      </w:tblPr>
      <w:tblGrid>
        <w:gridCol w:w="709"/>
        <w:gridCol w:w="4253"/>
        <w:gridCol w:w="2126"/>
      </w:tblGrid>
      <w:tr>
        <w:trPr>
          <w:tblHeader/>
        </w:trPr>
        <w:tc>
          <w:tcPr>
            <w:tcW w:w="709" w:type="dxa"/>
            <w:tcBorders>
              <w:top w:val="single" w:sz="4" w:space="0" w:color="auto"/>
              <w:bottom w:val="single" w:sz="4" w:space="0" w:color="auto"/>
            </w:tcBorders>
          </w:tcPr>
          <w:p>
            <w:pPr>
              <w:pStyle w:val="Table"/>
              <w:rPr>
                <w:b/>
              </w:rPr>
            </w:pPr>
            <w:r>
              <w:rPr>
                <w:b/>
              </w:rPr>
              <w:t>Item</w:t>
            </w:r>
          </w:p>
        </w:tc>
        <w:tc>
          <w:tcPr>
            <w:tcW w:w="4253" w:type="dxa"/>
            <w:tcBorders>
              <w:top w:val="single" w:sz="4" w:space="0" w:color="auto"/>
              <w:bottom w:val="single" w:sz="4" w:space="0" w:color="auto"/>
            </w:tcBorders>
          </w:tcPr>
          <w:p>
            <w:pPr>
              <w:pStyle w:val="Table"/>
              <w:rPr>
                <w:b/>
              </w:rPr>
            </w:pPr>
            <w:r>
              <w:rPr>
                <w:b/>
              </w:rPr>
              <w:tab/>
              <w:t>Land description</w:t>
            </w:r>
          </w:p>
        </w:tc>
        <w:tc>
          <w:tcPr>
            <w:tcW w:w="2126" w:type="dxa"/>
            <w:tcBorders>
              <w:top w:val="single" w:sz="4" w:space="0" w:color="auto"/>
              <w:bottom w:val="single" w:sz="4" w:space="0" w:color="auto"/>
            </w:tcBorders>
          </w:tcPr>
          <w:p>
            <w:pPr>
              <w:pStyle w:val="Table"/>
              <w:rPr>
                <w:b/>
              </w:rPr>
            </w:pPr>
            <w:r>
              <w:rPr>
                <w:b/>
              </w:rPr>
              <w:t>Name of Party or Parties</w:t>
            </w:r>
          </w:p>
        </w:tc>
      </w:tr>
      <w:tr>
        <w:tc>
          <w:tcPr>
            <w:tcW w:w="709" w:type="dxa"/>
          </w:tcPr>
          <w:p>
            <w:pPr>
              <w:pStyle w:val="Table"/>
            </w:pPr>
            <w:r>
              <w:t>1.</w:t>
            </w:r>
          </w:p>
        </w:tc>
        <w:tc>
          <w:tcPr>
            <w:tcW w:w="4253" w:type="dxa"/>
          </w:tcPr>
          <w:p>
            <w:pPr>
              <w:pStyle w:val="Table"/>
            </w:pPr>
            <w:r>
              <w:t>All that land which, as at 9 August 1986, is Lot 53 the subject of Diagram 69649 and is the whole of the land comprised in Certificate of Title Volume 1737 Folio 328 and which is not reserved land.</w:t>
            </w:r>
          </w:p>
        </w:tc>
        <w:tc>
          <w:tcPr>
            <w:tcW w:w="2126" w:type="dxa"/>
          </w:tcPr>
          <w:p>
            <w:pPr>
              <w:pStyle w:val="Table"/>
            </w:pPr>
            <w:r>
              <w:t>N.M.L. Nominees (Canberra) Limited</w:t>
            </w:r>
          </w:p>
        </w:tc>
      </w:tr>
      <w:tr>
        <w:tc>
          <w:tcPr>
            <w:tcW w:w="709" w:type="dxa"/>
          </w:tcPr>
          <w:p>
            <w:pPr>
              <w:pStyle w:val="Table"/>
            </w:pPr>
            <w:r>
              <w:t>2.</w:t>
            </w:r>
          </w:p>
        </w:tc>
        <w:tc>
          <w:tcPr>
            <w:tcW w:w="4253" w:type="dxa"/>
          </w:tcPr>
          <w:p>
            <w:pPr>
              <w:pStyle w:val="Table"/>
            </w:pPr>
            <w:r>
              <w:t>All that land which, as at 9 August 1986, is Lot 100 the subject of Diagram 63404, and is the whole of the land comprised in Certificate of Title Volume 1642 Folio 686 and which is not reserved land.</w:t>
            </w:r>
          </w:p>
        </w:tc>
        <w:tc>
          <w:tcPr>
            <w:tcW w:w="2126" w:type="dxa"/>
          </w:tcPr>
          <w:p>
            <w:pPr>
              <w:pStyle w:val="Table"/>
            </w:pPr>
            <w:r>
              <w:t>The State of Western Australia and City of Perth</w:t>
            </w:r>
          </w:p>
        </w:tc>
      </w:tr>
      <w:tr>
        <w:tc>
          <w:tcPr>
            <w:tcW w:w="709" w:type="dxa"/>
          </w:tcPr>
          <w:p>
            <w:pPr>
              <w:pStyle w:val="Table"/>
            </w:pPr>
            <w:r>
              <w:t>3.</w:t>
            </w:r>
          </w:p>
        </w:tc>
        <w:tc>
          <w:tcPr>
            <w:tcW w:w="4253" w:type="dxa"/>
          </w:tcPr>
          <w:p>
            <w:pPr>
              <w:pStyle w:val="Table"/>
            </w:pPr>
            <w:r>
              <w:t>All that land which, as at 9 August 1986, is portion of each of Perth Town Lots V13, V14, V15 and V16 and is part of the land on Plan 4845 and is the whole of the land comprised in Certificate of Title Volume 1642 Folio 666.</w:t>
            </w:r>
          </w:p>
        </w:tc>
        <w:tc>
          <w:tcPr>
            <w:tcW w:w="2126" w:type="dxa"/>
          </w:tcPr>
          <w:p>
            <w:pPr>
              <w:pStyle w:val="Table"/>
            </w:pPr>
            <w:r>
              <w:t>The Commonwealth of Australia and Australian Postal Commission.</w:t>
            </w:r>
          </w:p>
        </w:tc>
      </w:tr>
      <w:tr>
        <w:tc>
          <w:tcPr>
            <w:tcW w:w="709" w:type="dxa"/>
          </w:tcPr>
          <w:p>
            <w:pPr>
              <w:pStyle w:val="Table"/>
              <w:keepNext/>
            </w:pPr>
            <w:r>
              <w:t>4.</w:t>
            </w:r>
          </w:p>
        </w:tc>
        <w:tc>
          <w:tcPr>
            <w:tcW w:w="4253" w:type="dxa"/>
          </w:tcPr>
          <w:p>
            <w:pPr>
              <w:pStyle w:val="Table"/>
              <w:keepNext/>
            </w:pPr>
            <w:r>
              <w:t>All that land which, as at 9 August 1986, is portions of Perth Town Lots V13, V14, V15 and V16 and is part of the land on Plan 4845 and is the whole of the land comprised in Certificate of Title Volume 1018 Folio 802.</w:t>
            </w:r>
          </w:p>
        </w:tc>
        <w:tc>
          <w:tcPr>
            <w:tcW w:w="2126" w:type="dxa"/>
          </w:tcPr>
          <w:p>
            <w:pPr>
              <w:pStyle w:val="Table"/>
              <w:keepNext/>
            </w:pPr>
            <w:r>
              <w:t>Commonwealth Banking Corporation.</w:t>
            </w:r>
          </w:p>
        </w:tc>
      </w:tr>
      <w:tr>
        <w:tc>
          <w:tcPr>
            <w:tcW w:w="709" w:type="dxa"/>
          </w:tcPr>
          <w:p>
            <w:pPr>
              <w:pStyle w:val="Table"/>
            </w:pPr>
            <w:r>
              <w:t>5.</w:t>
            </w:r>
          </w:p>
        </w:tc>
        <w:tc>
          <w:tcPr>
            <w:tcW w:w="4253" w:type="dxa"/>
          </w:tcPr>
          <w:p>
            <w:pPr>
              <w:pStyle w:val="Table"/>
            </w:pPr>
            <w:r>
              <w:t>All that land which, as at 9 August 1986, is Lot 101 the subject of Diagram 62479 and is the whole of the land comprised in Certificate of Title Volume 1669 Folio 980.</w:t>
            </w:r>
          </w:p>
        </w:tc>
        <w:tc>
          <w:tcPr>
            <w:tcW w:w="2126" w:type="dxa"/>
          </w:tcPr>
          <w:p>
            <w:pPr>
              <w:pStyle w:val="Table"/>
            </w:pPr>
            <w:r>
              <w:t>West Australian Trustees Limited</w:t>
            </w:r>
          </w:p>
        </w:tc>
      </w:tr>
      <w:tr>
        <w:tc>
          <w:tcPr>
            <w:tcW w:w="709" w:type="dxa"/>
          </w:tcPr>
          <w:p>
            <w:pPr>
              <w:pStyle w:val="Table"/>
            </w:pPr>
            <w:r>
              <w:t>6.</w:t>
            </w:r>
          </w:p>
        </w:tc>
        <w:tc>
          <w:tcPr>
            <w:tcW w:w="4253" w:type="dxa"/>
          </w:tcPr>
          <w:p>
            <w:pPr>
              <w:pStyle w:val="Table"/>
            </w:pPr>
            <w:r>
              <w:t>All that land which, as at 9 August 1986, is Lot 100 the subject of Diagram 60166 and is the whole of the land comprised in Certificate of Title Volume 1665 Folio 818.</w:t>
            </w:r>
          </w:p>
        </w:tc>
        <w:tc>
          <w:tcPr>
            <w:tcW w:w="2126" w:type="dxa"/>
          </w:tcPr>
          <w:p>
            <w:pPr>
              <w:pStyle w:val="Table"/>
            </w:pPr>
            <w:r>
              <w:t>Westpac Investment Management Pty. Ltd.</w:t>
            </w:r>
          </w:p>
        </w:tc>
      </w:tr>
      <w:tr>
        <w:tc>
          <w:tcPr>
            <w:tcW w:w="709" w:type="dxa"/>
            <w:tcBorders>
              <w:bottom w:val="single" w:sz="4" w:space="0" w:color="auto"/>
            </w:tcBorders>
          </w:tcPr>
          <w:p>
            <w:pPr>
              <w:pStyle w:val="Table"/>
            </w:pPr>
            <w:r>
              <w:t>7.</w:t>
            </w:r>
          </w:p>
        </w:tc>
        <w:tc>
          <w:tcPr>
            <w:tcW w:w="4253" w:type="dxa"/>
            <w:tcBorders>
              <w:bottom w:val="single" w:sz="4" w:space="0" w:color="auto"/>
            </w:tcBorders>
          </w:tcPr>
          <w:p>
            <w:pPr>
              <w:pStyle w:val="Table"/>
            </w:pPr>
            <w:r>
              <w:t>All that land which, as at 9 August 1986, is Lot 100 the subject of Diagram 60166 and is the whole of the land comprised in certificate of Title Volume 1665 Folio 819.</w:t>
            </w:r>
          </w:p>
        </w:tc>
        <w:tc>
          <w:tcPr>
            <w:tcW w:w="2126" w:type="dxa"/>
            <w:tcBorders>
              <w:bottom w:val="single" w:sz="4" w:space="0" w:color="auto"/>
            </w:tcBorders>
          </w:tcPr>
          <w:p>
            <w:pPr>
              <w:pStyle w:val="Table"/>
            </w:pPr>
            <w:r>
              <w:t>City Arcade Pty. Ltd.</w:t>
            </w:r>
          </w:p>
        </w:tc>
      </w:tr>
    </w:tbl>
    <w:p>
      <w:pPr>
        <w:pStyle w:val="Footnotesection"/>
      </w:pPr>
      <w:r>
        <w:tab/>
        <w:t xml:space="preserve">[Section 12A inserted by No. 66 of 1986 s. 6.] </w:t>
      </w:r>
    </w:p>
    <w:p>
      <w:pPr>
        <w:pStyle w:val="Heading5"/>
        <w:rPr>
          <w:snapToGrid w:val="0"/>
        </w:rPr>
      </w:pPr>
      <w:bookmarkStart w:id="67" w:name="_Toc458488005"/>
      <w:bookmarkStart w:id="68" w:name="_Toc521463308"/>
      <w:bookmarkStart w:id="69" w:name="_Toc122750559"/>
      <w:bookmarkStart w:id="70" w:name="_Toc122750664"/>
      <w:bookmarkStart w:id="71" w:name="_Toc131394467"/>
      <w:r>
        <w:rPr>
          <w:rStyle w:val="CharSectno"/>
        </w:rPr>
        <w:t>12B</w:t>
      </w:r>
      <w:r>
        <w:rPr>
          <w:snapToGrid w:val="0"/>
        </w:rPr>
        <w:t>.</w:t>
      </w:r>
      <w:r>
        <w:rPr>
          <w:snapToGrid w:val="0"/>
        </w:rPr>
        <w:tab/>
        <w:t>Endorsements as to rights and obligations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by No. 66 of 1986 s. 7.] </w:t>
      </w:r>
    </w:p>
    <w:p>
      <w:pPr>
        <w:pStyle w:val="Heading5"/>
        <w:rPr>
          <w:snapToGrid w:val="0"/>
        </w:rPr>
      </w:pPr>
      <w:bookmarkStart w:id="72" w:name="_Toc458488006"/>
      <w:bookmarkStart w:id="73" w:name="_Toc521463309"/>
      <w:bookmarkStart w:id="74" w:name="_Toc122750560"/>
      <w:bookmarkStart w:id="75" w:name="_Toc122750665"/>
      <w:bookmarkStart w:id="76" w:name="_Toc131394468"/>
      <w:r>
        <w:rPr>
          <w:rStyle w:val="CharSectno"/>
        </w:rPr>
        <w:t>13</w:t>
      </w:r>
      <w:r>
        <w:rPr>
          <w:snapToGrid w:val="0"/>
        </w:rPr>
        <w:t>.</w:t>
      </w:r>
      <w:r>
        <w:rPr>
          <w:snapToGrid w:val="0"/>
        </w:rPr>
        <w:tab/>
        <w:t>Reserved land vested in the City</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by No. 31 of 1997 s. 29(12).]</w:t>
      </w:r>
    </w:p>
    <w:p>
      <w:pPr>
        <w:pStyle w:val="Heading5"/>
        <w:rPr>
          <w:snapToGrid w:val="0"/>
        </w:rPr>
      </w:pPr>
      <w:bookmarkStart w:id="77" w:name="_Toc458488007"/>
      <w:bookmarkStart w:id="78" w:name="_Toc521463310"/>
      <w:bookmarkStart w:id="79" w:name="_Toc122750561"/>
      <w:bookmarkStart w:id="80" w:name="_Toc122750666"/>
      <w:bookmarkStart w:id="81" w:name="_Toc131394469"/>
      <w:r>
        <w:rPr>
          <w:rStyle w:val="CharSectno"/>
        </w:rPr>
        <w:t>14</w:t>
      </w:r>
      <w:r>
        <w:rPr>
          <w:snapToGrid w:val="0"/>
        </w:rPr>
        <w:t>.</w:t>
      </w:r>
      <w:r>
        <w:rPr>
          <w:snapToGrid w:val="0"/>
        </w:rPr>
        <w:tab/>
        <w:t>Disposal of land by City</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by No. 14 of 1996 s. 4.] </w:t>
      </w:r>
    </w:p>
    <w:p>
      <w:pPr>
        <w:pStyle w:val="Heading5"/>
        <w:rPr>
          <w:snapToGrid w:val="0"/>
        </w:rPr>
      </w:pPr>
      <w:bookmarkStart w:id="82" w:name="_Toc458488008"/>
      <w:bookmarkStart w:id="83" w:name="_Toc521463311"/>
      <w:bookmarkStart w:id="84" w:name="_Toc122750562"/>
      <w:bookmarkStart w:id="85" w:name="_Toc122750667"/>
      <w:bookmarkStart w:id="86" w:name="_Toc131394470"/>
      <w:r>
        <w:rPr>
          <w:rStyle w:val="CharSectno"/>
        </w:rPr>
        <w:t>15</w:t>
      </w:r>
      <w:r>
        <w:rPr>
          <w:snapToGrid w:val="0"/>
        </w:rPr>
        <w:t>.</w:t>
      </w:r>
      <w:r>
        <w:rPr>
          <w:snapToGrid w:val="0"/>
        </w:rPr>
        <w:tab/>
        <w:t>Expenditure and borrowing by City</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by No. 14 of 1996 s. 4; No. 31 of 1997 s. 29(13).] </w:t>
      </w:r>
    </w:p>
    <w:p>
      <w:pPr>
        <w:pStyle w:val="Heading5"/>
        <w:rPr>
          <w:snapToGrid w:val="0"/>
        </w:rPr>
      </w:pPr>
      <w:bookmarkStart w:id="87" w:name="_Toc458488009"/>
      <w:bookmarkStart w:id="88" w:name="_Toc521463312"/>
      <w:bookmarkStart w:id="89" w:name="_Toc122750563"/>
      <w:bookmarkStart w:id="90" w:name="_Toc122750668"/>
      <w:bookmarkStart w:id="91" w:name="_Toc131394471"/>
      <w:r>
        <w:rPr>
          <w:rStyle w:val="CharSectno"/>
        </w:rPr>
        <w:t>16</w:t>
      </w:r>
      <w:r>
        <w:rPr>
          <w:snapToGrid w:val="0"/>
        </w:rPr>
        <w:t>.</w:t>
      </w:r>
      <w:r>
        <w:rPr>
          <w:snapToGrid w:val="0"/>
        </w:rPr>
        <w:tab/>
        <w:t>City Station complex</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and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by No. 31 of 1997 s. 141; No. 16 of 1999 s. 7(2); No. 38 of 2005 s. 15.]</w:t>
      </w:r>
    </w:p>
    <w:p>
      <w:pPr>
        <w:pStyle w:val="Heading5"/>
        <w:rPr>
          <w:snapToGrid w:val="0"/>
        </w:rPr>
      </w:pPr>
      <w:bookmarkStart w:id="92" w:name="_Toc458488010"/>
      <w:bookmarkStart w:id="93" w:name="_Toc521463313"/>
      <w:bookmarkStart w:id="94" w:name="_Toc122750564"/>
      <w:bookmarkStart w:id="95" w:name="_Toc122750669"/>
      <w:bookmarkStart w:id="96" w:name="_Toc131394472"/>
      <w:r>
        <w:rPr>
          <w:rStyle w:val="CharSectno"/>
        </w:rPr>
        <w:t>17</w:t>
      </w:r>
      <w:r>
        <w:rPr>
          <w:snapToGrid w:val="0"/>
        </w:rPr>
        <w:t>.</w:t>
      </w:r>
      <w:r>
        <w:rPr>
          <w:snapToGrid w:val="0"/>
        </w:rPr>
        <w:tab/>
        <w:t>City not required to call tenders</w:t>
      </w:r>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by No. 14 of 1996 s. 4.] </w:t>
      </w:r>
    </w:p>
    <w:p>
      <w:pPr>
        <w:pStyle w:val="Heading5"/>
        <w:rPr>
          <w:snapToGrid w:val="0"/>
        </w:rPr>
      </w:pPr>
      <w:bookmarkStart w:id="97" w:name="_Toc458488011"/>
      <w:bookmarkStart w:id="98" w:name="_Toc521463314"/>
      <w:bookmarkStart w:id="99" w:name="_Toc122750565"/>
      <w:bookmarkStart w:id="100" w:name="_Toc122750670"/>
      <w:bookmarkStart w:id="101" w:name="_Toc131394473"/>
      <w:r>
        <w:rPr>
          <w:rStyle w:val="CharSectno"/>
        </w:rPr>
        <w:t>18</w:t>
      </w:r>
      <w:r>
        <w:rPr>
          <w:snapToGrid w:val="0"/>
        </w:rPr>
        <w:t>.</w:t>
      </w:r>
      <w:r>
        <w:rPr>
          <w:snapToGrid w:val="0"/>
        </w:rPr>
        <w:tab/>
        <w:t>Power of City to control access to development site</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by No. 14 of 1996 s. 4; No. 31 of 1997 s. 29(14); No. 70 of 2004 s. 82.] </w:t>
      </w:r>
    </w:p>
    <w:p>
      <w:pPr>
        <w:pStyle w:val="Heading5"/>
      </w:pPr>
      <w:bookmarkStart w:id="102" w:name="_Toc122750566"/>
      <w:bookmarkStart w:id="103" w:name="_Toc122750671"/>
      <w:bookmarkStart w:id="104" w:name="_Toc131394474"/>
      <w:bookmarkStart w:id="105" w:name="_Toc458488013"/>
      <w:bookmarkStart w:id="106" w:name="_Toc521463316"/>
      <w:r>
        <w:rPr>
          <w:rStyle w:val="CharSectno"/>
        </w:rPr>
        <w:t>19</w:t>
      </w:r>
      <w:r>
        <w:t>.</w:t>
      </w:r>
      <w:r>
        <w:tab/>
        <w:t>Power of Authority relating to leases and easements</w:t>
      </w:r>
      <w:bookmarkEnd w:id="102"/>
      <w:bookmarkEnd w:id="103"/>
      <w:bookmarkEnd w:id="104"/>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pPr>
      <w:r>
        <w:tab/>
        <w:t>[Section 19 inserted by No. 31 of 2003 s. 205(5).]</w:t>
      </w:r>
    </w:p>
    <w:p>
      <w:pPr>
        <w:pStyle w:val="Heading5"/>
        <w:rPr>
          <w:snapToGrid w:val="0"/>
        </w:rPr>
      </w:pPr>
      <w:bookmarkStart w:id="107" w:name="_Toc122750567"/>
      <w:bookmarkStart w:id="108" w:name="_Toc122750672"/>
      <w:bookmarkStart w:id="109" w:name="_Toc131394475"/>
      <w:r>
        <w:rPr>
          <w:rStyle w:val="CharSectno"/>
        </w:rPr>
        <w:t>19A</w:t>
      </w:r>
      <w:r>
        <w:rPr>
          <w:snapToGrid w:val="0"/>
        </w:rPr>
        <w:t>.</w:t>
      </w:r>
      <w:r>
        <w:rPr>
          <w:snapToGrid w:val="0"/>
        </w:rPr>
        <w:tab/>
        <w:t>Limits of Government railways extended for certain purposes</w:t>
      </w:r>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metres.</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pPr>
      <w:r>
        <w:tab/>
        <w:t xml:space="preserve">[Section 19A inserted by No. 6 of 1995 s. 3.] </w:t>
      </w:r>
    </w:p>
    <w:p>
      <w:pPr>
        <w:pStyle w:val="Heading5"/>
        <w:rPr>
          <w:snapToGrid w:val="0"/>
        </w:rPr>
      </w:pPr>
      <w:bookmarkStart w:id="110" w:name="_Toc458488014"/>
      <w:bookmarkStart w:id="111" w:name="_Toc521463317"/>
      <w:bookmarkStart w:id="112" w:name="_Toc122750568"/>
      <w:bookmarkStart w:id="113" w:name="_Toc122750673"/>
      <w:bookmarkStart w:id="114" w:name="_Toc131394476"/>
      <w:r>
        <w:rPr>
          <w:rStyle w:val="CharSectno"/>
        </w:rPr>
        <w:t>20</w:t>
      </w:r>
      <w:r>
        <w:rPr>
          <w:snapToGrid w:val="0"/>
        </w:rPr>
        <w:t>.</w:t>
      </w:r>
      <w:r>
        <w:rPr>
          <w:snapToGrid w:val="0"/>
        </w:rPr>
        <w:tab/>
        <w:t>Agreements to be published and laid before Parliament</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5" w:name="_Toc122750569"/>
      <w:bookmarkStart w:id="116" w:name="_Toc122750647"/>
      <w:bookmarkStart w:id="117" w:name="_Toc122750674"/>
      <w:bookmarkStart w:id="118" w:name="_Toc122750701"/>
      <w:bookmarkStart w:id="119" w:name="_Toc131394477"/>
      <w:r>
        <w:rPr>
          <w:rStyle w:val="CharSchNo"/>
        </w:rPr>
        <w:t>Schedule</w:t>
      </w:r>
      <w:bookmarkEnd w:id="115"/>
      <w:bookmarkEnd w:id="116"/>
      <w:bookmarkEnd w:id="117"/>
      <w:bookmarkEnd w:id="118"/>
      <w:bookmarkEnd w:id="119"/>
      <w:r>
        <w:rPr>
          <w:rStyle w:val="CharSchText"/>
        </w:rPr>
        <w:t xml:space="preserve"> </w:t>
      </w:r>
    </w:p>
    <w:p>
      <w:pPr>
        <w:pStyle w:val="yTable"/>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2</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120" w:name="endcomma"/>
      <w:bookmarkEnd w:id="120"/>
      <w:r>
        <w:rPr>
          <w:sz w:val="20"/>
        </w:rPr>
        <w:t xml:space="preserve">Westrail Timetable” </w:t>
      </w:r>
      <w:bookmarkStart w:id="121" w:name="comma"/>
      <w:bookmarkEnd w:id="121"/>
      <w:r>
        <w:rPr>
          <w:sz w:val="20"/>
        </w:rPr>
        <w:t>means the Timetable in Item 2 of the Sixth Schedule.</w:t>
      </w:r>
    </w:p>
    <w:p>
      <w:pPr>
        <w:pStyle w:val="yTable"/>
        <w:tabs>
          <w:tab w:val="left" w:pos="601"/>
        </w:tabs>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tabs>
          <w:tab w:val="left" w:pos="600"/>
        </w:tabs>
        <w:ind w:left="1167" w:hanging="1167"/>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 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spacing w:before="240"/>
        <w:jc w:val="center"/>
        <w:rPr>
          <w:snapToGrid w:val="0"/>
          <w:sz w:val="20"/>
        </w:rPr>
      </w:pPr>
      <w:r>
        <w:rPr>
          <w:snapToGrid w:val="0"/>
          <w:sz w:val="20"/>
        </w:rPr>
        <w:t>INSURANCE</w:t>
      </w:r>
    </w:p>
    <w:p>
      <w:pPr>
        <w:pStyle w:val="yTable"/>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tabs>
          <w:tab w:val="left" w:pos="600"/>
        </w:tabs>
        <w:ind w:left="1167" w:hanging="1167"/>
        <w:rPr>
          <w:snapToGrid w:val="0"/>
          <w:sz w:val="20"/>
        </w:rPr>
      </w:pPr>
      <w:r>
        <w:rPr>
          <w:snapToGrid w:val="0"/>
          <w:sz w:val="20"/>
        </w:rPr>
        <w:tab/>
      </w:r>
      <w:r>
        <w:rPr>
          <w:snapToGrid w:val="0"/>
          <w:sz w:val="20"/>
        </w:rPr>
        <w:tab/>
        <w:t>Westrail — </w:t>
      </w:r>
    </w:p>
    <w:p>
      <w:pPr>
        <w:pStyle w:val="yTable"/>
        <w:rPr>
          <w:snapToGrid w:val="0"/>
          <w:sz w:val="20"/>
        </w:rPr>
      </w:pPr>
      <w:r>
        <w:rPr>
          <w:snapToGrid w:val="0"/>
          <w:sz w:val="20"/>
        </w:rPr>
        <w:tab/>
      </w:r>
      <w:r>
        <w:rPr>
          <w:snapToGrid w:val="0"/>
          <w:sz w:val="20"/>
        </w:rPr>
        <w:tab/>
        <w:t>The Chief Civil Engineer</w:t>
      </w:r>
    </w:p>
    <w:p>
      <w:pPr>
        <w:pStyle w:val="yTable"/>
        <w:spacing w:before="0"/>
        <w:rPr>
          <w:snapToGrid w:val="0"/>
          <w:sz w:val="20"/>
        </w:rPr>
      </w:pPr>
      <w:r>
        <w:rPr>
          <w:snapToGrid w:val="0"/>
          <w:sz w:val="20"/>
        </w:rPr>
        <w:tab/>
      </w:r>
      <w:r>
        <w:rPr>
          <w:snapToGrid w:val="0"/>
          <w:sz w:val="20"/>
        </w:rPr>
        <w:tab/>
        <w:t>Westrail Centre</w:t>
      </w:r>
    </w:p>
    <w:p>
      <w:pPr>
        <w:pStyle w:val="yTable"/>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ind w:left="1167" w:hanging="1167"/>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sz w:val="20"/>
              </w:rPr>
            </w:pPr>
            <w:r>
              <w:rPr>
                <w:snapToGrid w:val="0"/>
                <w:sz w:val="20"/>
              </w:rPr>
              <w:t xml:space="preserve">Signed by the Minister for Western Australian Government Railways in the presence of: </w:t>
            </w:r>
          </w:p>
          <w:p>
            <w:pPr>
              <w:pStyle w:val="yTable"/>
              <w:rPr>
                <w:snapToGrid w:val="0"/>
              </w:rPr>
            </w:pP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p>
    <w:p>
      <w:pPr>
        <w:pStyle w:val="yTable"/>
        <w:tabs>
          <w:tab w:val="left" w:pos="4536"/>
          <w:tab w:val="left" w:pos="5103"/>
        </w:tabs>
        <w:spacing w:before="0"/>
        <w:rPr>
          <w:snapToGrid w:val="0"/>
          <w:sz w:val="20"/>
        </w:rPr>
      </w:pPr>
      <w:r>
        <w:rPr>
          <w:snapToGrid w:val="0"/>
          <w:sz w:val="20"/>
        </w:rPr>
        <w:tab/>
      </w:r>
      <w:r>
        <w:rPr>
          <w:snapToGrid w:val="0"/>
          <w:sz w:val="20"/>
        </w:rPr>
        <w:tab/>
        <w:t>Commissioner.</w:t>
      </w:r>
    </w:p>
    <w:p>
      <w:pPr>
        <w:pStyle w:val="yTable"/>
        <w:tabs>
          <w:tab w:val="left" w:pos="4536"/>
        </w:tabs>
        <w:rPr>
          <w:snapToGrid w:val="0"/>
          <w:sz w:val="20"/>
        </w:rPr>
      </w:pPr>
      <w:r>
        <w:rPr>
          <w:snapToGrid w:val="0"/>
          <w:sz w:val="20"/>
        </w:rPr>
        <w:tab/>
        <w:t xml:space="preserve">K. W. DONNELLY, </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2" w:name="_Toc90875406"/>
      <w:bookmarkStart w:id="123" w:name="_Toc104706872"/>
      <w:bookmarkStart w:id="124" w:name="_Toc122750570"/>
      <w:bookmarkStart w:id="125" w:name="_Toc122750648"/>
      <w:bookmarkStart w:id="126" w:name="_Toc122750675"/>
      <w:bookmarkStart w:id="127" w:name="_Toc122750702"/>
      <w:bookmarkStart w:id="128" w:name="_Toc131394478"/>
      <w:r>
        <w:t>Notes</w:t>
      </w:r>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snapToGrid w:val="0"/>
        </w:rPr>
        <w:t>Forrest Place and City Station Development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 w:name="_Toc122750571"/>
      <w:bookmarkStart w:id="130" w:name="_Toc122750676"/>
      <w:bookmarkStart w:id="131" w:name="_Toc131394479"/>
      <w:r>
        <w:rPr>
          <w:snapToGrid w:val="0"/>
        </w:rPr>
        <w:t>Compilation table</w:t>
      </w:r>
      <w:bookmarkEnd w:id="129"/>
      <w:bookmarkEnd w:id="130"/>
      <w:bookmarkEnd w:id="131"/>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57"/>
              <w:rPr>
                <w:b/>
                <w:sz w:val="19"/>
              </w:rPr>
            </w:pPr>
            <w:r>
              <w:rPr>
                <w:b/>
                <w:sz w:val="19"/>
              </w:rPr>
              <w:t>Assent</w:t>
            </w:r>
          </w:p>
        </w:tc>
        <w:tc>
          <w:tcPr>
            <w:tcW w:w="2552"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Forrest Place and City Station Development Act 1985</w:t>
            </w:r>
          </w:p>
        </w:tc>
        <w:tc>
          <w:tcPr>
            <w:tcW w:w="1134" w:type="dxa"/>
            <w:tcBorders>
              <w:top w:val="single" w:sz="8" w:space="0" w:color="auto"/>
            </w:tcBorders>
          </w:tcPr>
          <w:p>
            <w:pPr>
              <w:pStyle w:val="nTable"/>
              <w:spacing w:after="40"/>
              <w:ind w:left="57"/>
              <w:rPr>
                <w:sz w:val="19"/>
              </w:rPr>
            </w:pPr>
            <w:r>
              <w:rPr>
                <w:sz w:val="19"/>
              </w:rPr>
              <w:t>106 of 1985</w:t>
            </w:r>
          </w:p>
        </w:tc>
        <w:tc>
          <w:tcPr>
            <w:tcW w:w="1134" w:type="dxa"/>
            <w:tcBorders>
              <w:top w:val="single" w:sz="8" w:space="0" w:color="auto"/>
            </w:tcBorders>
          </w:tcPr>
          <w:p>
            <w:pPr>
              <w:pStyle w:val="nTable"/>
              <w:spacing w:after="40"/>
              <w:ind w:left="57"/>
              <w:rPr>
                <w:sz w:val="19"/>
              </w:rPr>
            </w:pPr>
            <w:r>
              <w:rPr>
                <w:sz w:val="19"/>
              </w:rPr>
              <w:t>17 Dec 1985</w:t>
            </w:r>
          </w:p>
        </w:tc>
        <w:tc>
          <w:tcPr>
            <w:tcW w:w="2552" w:type="dxa"/>
            <w:tcBorders>
              <w:top w:val="single" w:sz="8" w:space="0" w:color="auto"/>
            </w:tcBorders>
          </w:tcPr>
          <w:p>
            <w:pPr>
              <w:pStyle w:val="nTable"/>
              <w:spacing w:after="40"/>
              <w:ind w:left="57"/>
              <w:rPr>
                <w:sz w:val="19"/>
              </w:rPr>
            </w:pPr>
            <w:r>
              <w:rPr>
                <w:sz w:val="19"/>
              </w:rPr>
              <w:t>17 Dec 1985 (see s. 2)</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11 Apr 1986 p. 1407-8)</w:t>
            </w:r>
          </w:p>
        </w:tc>
        <w:tc>
          <w:tcPr>
            <w:tcW w:w="2552" w:type="dxa"/>
          </w:tcPr>
          <w:p>
            <w:pPr>
              <w:pStyle w:val="nTable"/>
              <w:spacing w:after="40"/>
              <w:ind w:left="57"/>
              <w:rPr>
                <w:sz w:val="19"/>
              </w:rPr>
            </w:pPr>
            <w:r>
              <w:rPr>
                <w:sz w:val="19"/>
              </w:rPr>
              <w:t>11 Apr 1986</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 Aug 1986 p. 2756-7)</w:t>
            </w:r>
          </w:p>
        </w:tc>
        <w:tc>
          <w:tcPr>
            <w:tcW w:w="2552" w:type="dxa"/>
          </w:tcPr>
          <w:p>
            <w:pPr>
              <w:pStyle w:val="nTable"/>
              <w:spacing w:after="40"/>
              <w:ind w:left="57"/>
              <w:rPr>
                <w:sz w:val="19"/>
              </w:rPr>
            </w:pPr>
            <w:r>
              <w:rPr>
                <w:sz w:val="19"/>
              </w:rPr>
              <w:t>1 Aug 1986</w:t>
            </w:r>
          </w:p>
        </w:tc>
      </w:tr>
      <w:tr>
        <w:trPr>
          <w:cantSplit/>
        </w:trPr>
        <w:tc>
          <w:tcPr>
            <w:tcW w:w="2268" w:type="dxa"/>
          </w:tcPr>
          <w:p>
            <w:pPr>
              <w:pStyle w:val="nTable"/>
              <w:spacing w:after="40"/>
              <w:ind w:right="113"/>
              <w:rPr>
                <w:sz w:val="19"/>
              </w:rPr>
            </w:pPr>
            <w:r>
              <w:rPr>
                <w:i/>
                <w:sz w:val="19"/>
              </w:rPr>
              <w:t>Forrest Place and City Station Development Amendment Act 1986</w:t>
            </w:r>
          </w:p>
        </w:tc>
        <w:tc>
          <w:tcPr>
            <w:tcW w:w="1134" w:type="dxa"/>
          </w:tcPr>
          <w:p>
            <w:pPr>
              <w:pStyle w:val="nTable"/>
              <w:spacing w:after="40"/>
              <w:ind w:left="57"/>
              <w:rPr>
                <w:sz w:val="19"/>
              </w:rPr>
            </w:pPr>
            <w:r>
              <w:rPr>
                <w:sz w:val="19"/>
              </w:rPr>
              <w:t>66 of 1986</w:t>
            </w:r>
          </w:p>
        </w:tc>
        <w:tc>
          <w:tcPr>
            <w:tcW w:w="1134" w:type="dxa"/>
          </w:tcPr>
          <w:p>
            <w:pPr>
              <w:pStyle w:val="nTable"/>
              <w:spacing w:after="40"/>
              <w:ind w:left="57"/>
              <w:rPr>
                <w:sz w:val="19"/>
              </w:rPr>
            </w:pPr>
            <w:r>
              <w:rPr>
                <w:sz w:val="19"/>
              </w:rPr>
              <w:t>28 Nov 1986</w:t>
            </w:r>
          </w:p>
        </w:tc>
        <w:tc>
          <w:tcPr>
            <w:tcW w:w="2552" w:type="dxa"/>
          </w:tcPr>
          <w:p>
            <w:pPr>
              <w:pStyle w:val="nTable"/>
              <w:spacing w:after="40"/>
              <w:ind w:left="57"/>
              <w:rPr>
                <w:sz w:val="19"/>
              </w:rPr>
            </w:pPr>
            <w:r>
              <w:rPr>
                <w:sz w:val="19"/>
              </w:rPr>
              <w:t xml:space="preserve">s. 4 deemed operative 17 Dec 1985 (see s. 2(2)); </w:t>
            </w:r>
            <w:r>
              <w:rPr>
                <w:sz w:val="19"/>
              </w:rPr>
              <w:br/>
              <w:t xml:space="preserve">s. 5 and 6 deemed operative 9 Aug 1986 (see s. 2(3)); </w:t>
            </w:r>
            <w:r>
              <w:rPr>
                <w:sz w:val="19"/>
              </w:rPr>
              <w:br/>
              <w:t>balance: 28 Nov 1986</w:t>
            </w:r>
          </w:p>
        </w:tc>
      </w:tr>
      <w:tr>
        <w:trPr>
          <w:cantSplit/>
        </w:trPr>
        <w:tc>
          <w:tcPr>
            <w:tcW w:w="2268" w:type="dxa"/>
          </w:tcPr>
          <w:p>
            <w:pPr>
              <w:pStyle w:val="nTable"/>
              <w:spacing w:after="40"/>
              <w:ind w:right="113"/>
              <w:rPr>
                <w:sz w:val="19"/>
              </w:rPr>
            </w:pPr>
            <w:r>
              <w:rPr>
                <w:i/>
                <w:sz w:val="19"/>
              </w:rPr>
              <w:t>Forrest Place and City Station Development Amendment Act 1995</w:t>
            </w:r>
          </w:p>
        </w:tc>
        <w:tc>
          <w:tcPr>
            <w:tcW w:w="1134" w:type="dxa"/>
          </w:tcPr>
          <w:p>
            <w:pPr>
              <w:pStyle w:val="nTable"/>
              <w:spacing w:after="40"/>
              <w:ind w:left="57"/>
              <w:rPr>
                <w:sz w:val="19"/>
              </w:rPr>
            </w:pPr>
            <w:r>
              <w:rPr>
                <w:sz w:val="19"/>
              </w:rPr>
              <w:t>6 of 1995</w:t>
            </w:r>
          </w:p>
        </w:tc>
        <w:tc>
          <w:tcPr>
            <w:tcW w:w="1134" w:type="dxa"/>
          </w:tcPr>
          <w:p>
            <w:pPr>
              <w:pStyle w:val="nTable"/>
              <w:spacing w:after="40"/>
              <w:ind w:left="57"/>
              <w:rPr>
                <w:sz w:val="19"/>
              </w:rPr>
            </w:pPr>
            <w:r>
              <w:rPr>
                <w:sz w:val="19"/>
              </w:rPr>
              <w:t>24 May 1995</w:t>
            </w:r>
          </w:p>
        </w:tc>
        <w:tc>
          <w:tcPr>
            <w:tcW w:w="2552" w:type="dxa"/>
          </w:tcPr>
          <w:p>
            <w:pPr>
              <w:pStyle w:val="nTable"/>
              <w:spacing w:after="40"/>
              <w:ind w:left="57"/>
              <w:rPr>
                <w:sz w:val="19"/>
              </w:rPr>
            </w:pPr>
            <w:r>
              <w:rPr>
                <w:sz w:val="19"/>
              </w:rPr>
              <w:t>24 May 1995 (see s. 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ind w:left="57"/>
              <w:rPr>
                <w:sz w:val="19"/>
              </w:rPr>
            </w:pPr>
            <w:r>
              <w:rPr>
                <w:sz w:val="19"/>
              </w:rPr>
              <w:t>14 of 1996</w:t>
            </w:r>
          </w:p>
        </w:tc>
        <w:tc>
          <w:tcPr>
            <w:tcW w:w="1134" w:type="dxa"/>
          </w:tcPr>
          <w:p>
            <w:pPr>
              <w:pStyle w:val="nTable"/>
              <w:spacing w:after="40"/>
              <w:ind w:left="57"/>
              <w:rPr>
                <w:sz w:val="19"/>
              </w:rPr>
            </w:pPr>
            <w:r>
              <w:rPr>
                <w:sz w:val="19"/>
              </w:rPr>
              <w:t>28 Jun 1996</w:t>
            </w:r>
          </w:p>
        </w:tc>
        <w:tc>
          <w:tcPr>
            <w:tcW w:w="2552" w:type="dxa"/>
          </w:tcPr>
          <w:p>
            <w:pPr>
              <w:pStyle w:val="nTable"/>
              <w:spacing w:after="40"/>
              <w:ind w:left="57"/>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27 and s. 141</w:t>
            </w:r>
          </w:p>
        </w:tc>
        <w:tc>
          <w:tcPr>
            <w:tcW w:w="1134" w:type="dxa"/>
          </w:tcPr>
          <w:p>
            <w:pPr>
              <w:pStyle w:val="nTable"/>
              <w:spacing w:after="40"/>
              <w:ind w:left="57"/>
              <w:rPr>
                <w:sz w:val="19"/>
              </w:rPr>
            </w:pPr>
            <w:r>
              <w:rPr>
                <w:sz w:val="19"/>
              </w:rPr>
              <w:t>31 of 1997</w:t>
            </w:r>
          </w:p>
        </w:tc>
        <w:tc>
          <w:tcPr>
            <w:tcW w:w="1134" w:type="dxa"/>
          </w:tcPr>
          <w:p>
            <w:pPr>
              <w:pStyle w:val="nTable"/>
              <w:spacing w:after="40"/>
              <w:ind w:left="57"/>
              <w:rPr>
                <w:sz w:val="19"/>
              </w:rPr>
            </w:pPr>
            <w:r>
              <w:rPr>
                <w:sz w:val="19"/>
              </w:rPr>
              <w:t>3 Oct 1997</w:t>
            </w:r>
          </w:p>
        </w:tc>
        <w:tc>
          <w:tcPr>
            <w:tcW w:w="2552" w:type="dxa"/>
          </w:tcPr>
          <w:p>
            <w:pPr>
              <w:pStyle w:val="nTable"/>
              <w:spacing w:after="40"/>
              <w:ind w:left="57"/>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Perth Parking Management (Consequential Provisions) Act 1999</w:t>
            </w:r>
            <w:r>
              <w:rPr>
                <w:sz w:val="19"/>
              </w:rPr>
              <w:t xml:space="preserve"> s. 7(2)</w:t>
            </w:r>
          </w:p>
        </w:tc>
        <w:tc>
          <w:tcPr>
            <w:tcW w:w="1134" w:type="dxa"/>
          </w:tcPr>
          <w:p>
            <w:pPr>
              <w:pStyle w:val="nTable"/>
              <w:spacing w:after="40"/>
              <w:ind w:left="57"/>
              <w:rPr>
                <w:sz w:val="19"/>
              </w:rPr>
            </w:pPr>
            <w:r>
              <w:rPr>
                <w:sz w:val="19"/>
              </w:rPr>
              <w:t>16 of 1999</w:t>
            </w:r>
          </w:p>
        </w:tc>
        <w:tc>
          <w:tcPr>
            <w:tcW w:w="1134" w:type="dxa"/>
          </w:tcPr>
          <w:p>
            <w:pPr>
              <w:pStyle w:val="nTable"/>
              <w:spacing w:after="40"/>
              <w:ind w:left="57"/>
              <w:rPr>
                <w:sz w:val="19"/>
              </w:rPr>
            </w:pPr>
            <w:r>
              <w:rPr>
                <w:sz w:val="19"/>
              </w:rPr>
              <w:t>19 May 1999</w:t>
            </w:r>
          </w:p>
        </w:tc>
        <w:tc>
          <w:tcPr>
            <w:tcW w:w="2552" w:type="dxa"/>
          </w:tcPr>
          <w:p>
            <w:pPr>
              <w:pStyle w:val="nTable"/>
              <w:spacing w:after="40"/>
              <w:ind w:left="57"/>
              <w:rPr>
                <w:sz w:val="19"/>
              </w:rPr>
            </w:pPr>
            <w:r>
              <w:rPr>
                <w:sz w:val="19"/>
              </w:rPr>
              <w:t xml:space="preserve">7 Aug 1999 (see s. 2 and </w:t>
            </w:r>
            <w:r>
              <w:rPr>
                <w:i/>
                <w:sz w:val="19"/>
              </w:rPr>
              <w:t>Gazette</w:t>
            </w:r>
            <w:r>
              <w:rPr>
                <w:sz w:val="19"/>
              </w:rPr>
              <w:t xml:space="preserve"> 6 Aug 1999 p. 3727)</w:t>
            </w:r>
          </w:p>
        </w:tc>
      </w:tr>
      <w:tr>
        <w:trPr>
          <w:cantSplit/>
        </w:trPr>
        <w:tc>
          <w:tcPr>
            <w:tcW w:w="7088" w:type="dxa"/>
            <w:gridSpan w:val="4"/>
          </w:tcPr>
          <w:p>
            <w:pPr>
              <w:pStyle w:val="nTable"/>
              <w:spacing w:after="40"/>
              <w:ind w:left="57"/>
              <w:rPr>
                <w:sz w:val="19"/>
              </w:rPr>
            </w:pPr>
            <w:r>
              <w:rPr>
                <w:b/>
                <w:sz w:val="19"/>
              </w:rPr>
              <w:t xml:space="preserve">Reprint of the </w:t>
            </w:r>
            <w:r>
              <w:rPr>
                <w:b/>
                <w:i/>
                <w:sz w:val="19"/>
              </w:rPr>
              <w:t>Forrest Place and City Station Development Act 1985</w:t>
            </w:r>
            <w:r>
              <w:rPr>
                <w:b/>
                <w:sz w:val="19"/>
              </w:rPr>
              <w:t xml:space="preserve"> as at 14 September 2001 </w:t>
            </w:r>
            <w:r>
              <w:rPr>
                <w:sz w:val="19"/>
              </w:rPr>
              <w:t>(includes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205</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8" w:space="0" w:color="auto"/>
            </w:tcBorders>
          </w:tcPr>
          <w:p>
            <w:pPr>
              <w:pStyle w:val="nTable"/>
              <w:spacing w:after="40"/>
              <w:rPr>
                <w:snapToGrid w:val="0"/>
                <w:sz w:val="19"/>
                <w:lang w:val="en-US"/>
              </w:rPr>
            </w:pPr>
            <w:r>
              <w:rPr>
                <w:snapToGrid w:val="0"/>
                <w:sz w:val="19"/>
                <w:lang w:val="en-US"/>
              </w:rPr>
              <w:t>12 Dec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pPr>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French Script MT">
    <w:altName w:val="Courier New"/>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8A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4C54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00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225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F3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2C17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70B9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58"/>
    <w:docVar w:name="WAFER_20151211140958" w:val="RemoveTrackChanges"/>
    <w:docVar w:name="WAFER_20151211140958_GUID" w:val="5d1a41bd-d04d-4edf-b981-79aa8dea6a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14340</Words>
  <Characters>69263</Characters>
  <Application>Microsoft Office Word</Application>
  <DocSecurity>0</DocSecurity>
  <Lines>1775</Lines>
  <Paragraphs>889</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1985 - 01-d0-09</dc:title>
  <dc:subject/>
  <dc:creator/>
  <cp:keywords/>
  <dc:description/>
  <cp:lastModifiedBy>svcMRProcess</cp:lastModifiedBy>
  <cp:revision>4</cp:revision>
  <cp:lastPrinted>2001-09-21T03:53:00Z</cp:lastPrinted>
  <dcterms:created xsi:type="dcterms:W3CDTF">2015-12-14T08:15:00Z</dcterms:created>
  <dcterms:modified xsi:type="dcterms:W3CDTF">2015-12-14T08:15:00Z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288</vt:i4>
  </property>
  <property fmtid="{D5CDD505-2E9C-101B-9397-08002B2CF9AE}" pid="6" name="AsAtDate">
    <vt:lpwstr>09 Apr 2006</vt:lpwstr>
  </property>
  <property fmtid="{D5CDD505-2E9C-101B-9397-08002B2CF9AE}" pid="7" name="Suffix">
    <vt:lpwstr>01-d0-09</vt:lpwstr>
  </property>
</Properties>
</file>