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17.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WA"/>
      </w:pPr>
      <w:bookmarkStart w:id="0" w:name="_GoBack"/>
      <w:bookmarkEnd w:id="0"/>
      <w:r>
        <w:rPr>
          <w:noProof/>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4200"/>
        <w:outlineLvl w:val="0"/>
      </w:pPr>
      <w:r>
        <w:fldChar w:fldCharType="begin"/>
      </w:r>
      <w:r>
        <w:instrText xml:space="preserve"> STYLEREF "Name Of Act/Reg"</w:instrText>
      </w:r>
      <w:r>
        <w:fldChar w:fldCharType="separate"/>
      </w:r>
      <w:r>
        <w:rPr>
          <w:noProof/>
        </w:rPr>
        <w:t>Freemasons’ Property Act 1956</w:t>
      </w:r>
      <w:r>
        <w:fldChar w:fldCharType="end"/>
      </w:r>
    </w:p>
    <w:p>
      <w:pPr>
        <w:jc w:val="center"/>
        <w:sectPr>
          <w:headerReference w:type="even" r:id="rId9"/>
          <w:headerReference w:type="default" r:id="rId10"/>
          <w:footerReference w:type="even" r:id="rId11"/>
          <w:footerReference w:type="default" r:id="rId12"/>
          <w:headerReference w:type="first" r:id="rId13"/>
          <w:footerReference w:type="first" r:id="rId14"/>
          <w:pgSz w:w="11907" w:h="16840" w:code="9"/>
          <w:pgMar w:top="2376" w:right="2405" w:bottom="3542" w:left="2405" w:header="706" w:footer="3542" w:gutter="0"/>
          <w:pgNumType w:fmt="lowerRoman" w:start="1"/>
          <w:cols w:space="720"/>
          <w:noEndnote/>
          <w:titlePg/>
          <w:docGrid w:linePitch="326"/>
        </w:sectPr>
      </w:pPr>
    </w:p>
    <w:p>
      <w:pPr>
        <w:pStyle w:val="WA"/>
        <w:outlineLvl w:val="0"/>
      </w:pPr>
      <w:r>
        <w:lastRenderedPageBreak/>
        <w:t>Western Australia</w:t>
      </w:r>
    </w:p>
    <w:p>
      <w:pPr>
        <w:pStyle w:val="NameofActRegPage1"/>
      </w:pPr>
      <w:r>
        <w:fldChar w:fldCharType="begin"/>
      </w:r>
      <w:r>
        <w:instrText xml:space="preserve"> STYLEREF "Name Of Act/Reg"</w:instrText>
      </w:r>
      <w:r>
        <w:fldChar w:fldCharType="separate"/>
      </w:r>
      <w:r>
        <w:rPr>
          <w:noProof/>
        </w:rPr>
        <w:t>Freemasons’ Property Act 1956</w:t>
      </w:r>
      <w:r>
        <w:fldChar w:fldCharType="end"/>
      </w:r>
    </w:p>
    <w:p>
      <w:pPr>
        <w:pStyle w:val="Arrangement"/>
      </w:pPr>
      <w:r>
        <w:t>Contents</w:t>
      </w:r>
    </w:p>
    <w:p>
      <w:pPr>
        <w:pStyle w:val="TOC8"/>
        <w:rPr>
          <w:rFonts w:asciiTheme="minorHAnsi" w:eastAsiaTheme="minorEastAsia" w:hAnsiTheme="minorHAnsi" w:cstheme="minorBidi"/>
          <w:szCs w:val="22"/>
        </w:rPr>
      </w:pPr>
      <w:r>
        <w:fldChar w:fldCharType="begin"/>
      </w:r>
      <w:r>
        <w:instrText xml:space="preserve"> TOC \t "Heading 2,2,yScheduleHeading,2,yHeading 2,2,zHeading 2,3,zyScheduleHeading,3,zyHeading 2,3,Heading 3,4,yHeading 3,4,zHeading 3,5,zyHeading 3,5,Heading 4,6,yHeading 4,6,zHeading 4,7,zyHeading 4,7,Heading 5,8,yHeading 5,8,zHeading 5,9,zyHeading 5,9" \t "nHeading 2,2,nHeading 3,8" \n "2-7" \w \* MERGEFORMAT </w:instrText>
      </w:r>
      <w:r>
        <w:fldChar w:fldCharType="separate"/>
      </w:r>
      <w:r>
        <w:t>1</w:t>
      </w:r>
      <w:r>
        <w:rPr>
          <w:snapToGrid w:val="0"/>
        </w:rPr>
        <w:t>.</w:t>
      </w:r>
      <w:r>
        <w:rPr>
          <w:snapToGrid w:val="0"/>
        </w:rPr>
        <w:tab/>
        <w:t>Short title</w:t>
      </w:r>
      <w:r>
        <w:tab/>
      </w:r>
      <w:r>
        <w:fldChar w:fldCharType="begin"/>
      </w:r>
      <w:r>
        <w:instrText xml:space="preserve"> PAGEREF _Toc415581715 \h </w:instrText>
      </w:r>
      <w:r>
        <w:fldChar w:fldCharType="separate"/>
      </w:r>
      <w:r>
        <w:t>1</w:t>
      </w:r>
      <w:r>
        <w:fldChar w:fldCharType="end"/>
      </w:r>
    </w:p>
    <w:p>
      <w:pPr>
        <w:pStyle w:val="TOC8"/>
        <w:rPr>
          <w:rFonts w:asciiTheme="minorHAnsi" w:eastAsiaTheme="minorEastAsia" w:hAnsiTheme="minorHAnsi" w:cstheme="minorBidi"/>
          <w:szCs w:val="22"/>
        </w:rPr>
      </w:pPr>
      <w:r>
        <w:t>2</w:t>
      </w:r>
      <w:r>
        <w:rPr>
          <w:snapToGrid w:val="0"/>
        </w:rPr>
        <w:t>.</w:t>
      </w:r>
      <w:r>
        <w:rPr>
          <w:snapToGrid w:val="0"/>
        </w:rPr>
        <w:tab/>
        <w:t>Interpretation</w:t>
      </w:r>
      <w:r>
        <w:tab/>
      </w:r>
      <w:r>
        <w:fldChar w:fldCharType="begin"/>
      </w:r>
      <w:r>
        <w:instrText xml:space="preserve"> PAGEREF _Toc415581716 \h </w:instrText>
      </w:r>
      <w:r>
        <w:fldChar w:fldCharType="separate"/>
      </w:r>
      <w:r>
        <w:t>1</w:t>
      </w:r>
      <w:r>
        <w:fldChar w:fldCharType="end"/>
      </w:r>
    </w:p>
    <w:p>
      <w:pPr>
        <w:pStyle w:val="TOC8"/>
        <w:rPr>
          <w:rFonts w:asciiTheme="minorHAnsi" w:eastAsiaTheme="minorEastAsia" w:hAnsiTheme="minorHAnsi" w:cstheme="minorBidi"/>
          <w:szCs w:val="22"/>
        </w:rPr>
      </w:pPr>
      <w:r>
        <w:t>3</w:t>
      </w:r>
      <w:r>
        <w:rPr>
          <w:snapToGrid w:val="0"/>
        </w:rPr>
        <w:t>.</w:t>
      </w:r>
      <w:r>
        <w:rPr>
          <w:snapToGrid w:val="0"/>
        </w:rPr>
        <w:tab/>
        <w:t>Adoption of this Act by Lodges</w:t>
      </w:r>
      <w:r>
        <w:tab/>
      </w:r>
      <w:r>
        <w:fldChar w:fldCharType="begin"/>
      </w:r>
      <w:r>
        <w:instrText xml:space="preserve"> PAGEREF _Toc415581717 \h </w:instrText>
      </w:r>
      <w:r>
        <w:fldChar w:fldCharType="separate"/>
      </w:r>
      <w:r>
        <w:t>2</w:t>
      </w:r>
      <w:r>
        <w:fldChar w:fldCharType="end"/>
      </w:r>
    </w:p>
    <w:p>
      <w:pPr>
        <w:pStyle w:val="TOC2"/>
        <w:tabs>
          <w:tab w:val="right" w:leader="dot" w:pos="7077"/>
        </w:tabs>
        <w:rPr>
          <w:rFonts w:asciiTheme="minorHAnsi" w:eastAsiaTheme="minorEastAsia" w:hAnsiTheme="minorHAnsi" w:cstheme="minorBidi"/>
          <w:b w:val="0"/>
          <w:sz w:val="22"/>
          <w:szCs w:val="22"/>
        </w:rPr>
      </w:pPr>
      <w:r>
        <w:t>Notes</w:t>
      </w:r>
    </w:p>
    <w:p>
      <w:pPr>
        <w:pStyle w:val="TOC8"/>
        <w:rPr>
          <w:rFonts w:asciiTheme="minorHAnsi" w:eastAsiaTheme="minorEastAsia" w:hAnsiTheme="minorHAnsi" w:cstheme="minorBidi"/>
          <w:szCs w:val="22"/>
        </w:rPr>
      </w:pPr>
      <w:r>
        <w:rPr>
          <w:snapToGrid w:val="0"/>
        </w:rPr>
        <w:tab/>
        <w:t>Compilation table</w:t>
      </w:r>
      <w:r>
        <w:tab/>
      </w:r>
      <w:r>
        <w:fldChar w:fldCharType="begin"/>
      </w:r>
      <w:r>
        <w:instrText xml:space="preserve"> PAGEREF _Toc415581719 \h </w:instrText>
      </w:r>
      <w:r>
        <w:fldChar w:fldCharType="separate"/>
      </w:r>
      <w:r>
        <w:t>5</w:t>
      </w:r>
      <w:r>
        <w:fldChar w:fldCharType="end"/>
      </w:r>
    </w:p>
    <w:p>
      <w:pPr>
        <w:pStyle w:val="TOC2"/>
        <w:tabs>
          <w:tab w:val="right" w:leader="dot" w:pos="7077"/>
        </w:tabs>
        <w:rPr>
          <w:rFonts w:asciiTheme="minorHAnsi" w:eastAsiaTheme="minorEastAsia" w:hAnsiTheme="minorHAnsi" w:cstheme="minorBidi"/>
          <w:b w:val="0"/>
          <w:sz w:val="22"/>
          <w:szCs w:val="22"/>
        </w:rPr>
      </w:pPr>
      <w:r>
        <w:t>Defined terms</w:t>
      </w:r>
    </w:p>
    <w:p>
      <w:pPr>
        <w:pStyle w:val="NoteHeading"/>
      </w:pPr>
      <w:r>
        <w:fldChar w:fldCharType="end"/>
      </w: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Pr>
        <w:pStyle w:val="NoteHeading"/>
        <w:sectPr>
          <w:headerReference w:type="even" r:id="rId15"/>
          <w:headerReference w:type="default" r:id="rId16"/>
          <w:footerReference w:type="even" r:id="rId17"/>
          <w:footerReference w:type="default" r:id="rId18"/>
          <w:headerReference w:type="first" r:id="rId19"/>
          <w:footerReference w:type="first" r:id="rId20"/>
          <w:type w:val="oddPage"/>
          <w:pgSz w:w="11907" w:h="16840" w:code="9"/>
          <w:pgMar w:top="2381" w:right="2410" w:bottom="3544" w:left="2410" w:header="720" w:footer="3544" w:gutter="0"/>
          <w:pgNumType w:fmt="lowerRoman" w:start="1"/>
          <w:cols w:space="720"/>
          <w:noEndnote/>
          <w:titlePg/>
        </w:sectPr>
      </w:pPr>
    </w:p>
    <w:p>
      <w:pPr>
        <w:pStyle w:val="WA"/>
      </w:pPr>
      <w:r>
        <w:t>Western Australia</w:t>
      </w:r>
    </w:p>
    <w:p>
      <w:pPr>
        <w:pStyle w:val="NameofActReg"/>
      </w:pPr>
      <w:r>
        <w:t xml:space="preserve">Freemasons’ Property Act 1956 </w:t>
      </w:r>
    </w:p>
    <w:p>
      <w:pPr>
        <w:pStyle w:val="LongTitle"/>
        <w:rPr>
          <w:snapToGrid w:val="0"/>
        </w:rPr>
      </w:pPr>
      <w:r>
        <w:rPr>
          <w:snapToGrid w:val="0"/>
        </w:rPr>
        <w:t xml:space="preserve">An Act to enable the trustees of certain respective bodies of Freemasons to acquire, hold, dispose of, and deal with, property on behalf of the respective bodies. </w:t>
      </w:r>
    </w:p>
    <w:p>
      <w:pPr>
        <w:pStyle w:val="Heading5"/>
        <w:spacing w:before="720"/>
        <w:rPr>
          <w:snapToGrid w:val="0"/>
        </w:rPr>
      </w:pPr>
      <w:bookmarkStart w:id="3" w:name="_Toc378254103"/>
      <w:bookmarkStart w:id="4" w:name="_Toc415581715"/>
      <w:r>
        <w:rPr>
          <w:rStyle w:val="CharSectno"/>
        </w:rPr>
        <w:t>1</w:t>
      </w:r>
      <w:r>
        <w:rPr>
          <w:snapToGrid w:val="0"/>
        </w:rPr>
        <w:t>.</w:t>
      </w:r>
      <w:r>
        <w:rPr>
          <w:snapToGrid w:val="0"/>
        </w:rPr>
        <w:tab/>
        <w:t>Short title</w:t>
      </w:r>
      <w:bookmarkEnd w:id="3"/>
      <w:bookmarkEnd w:id="4"/>
    </w:p>
    <w:p>
      <w:pPr>
        <w:pStyle w:val="Subsection"/>
        <w:rPr>
          <w:snapToGrid w:val="0"/>
        </w:rPr>
      </w:pPr>
      <w:r>
        <w:rPr>
          <w:snapToGrid w:val="0"/>
        </w:rPr>
        <w:tab/>
      </w:r>
      <w:r>
        <w:rPr>
          <w:snapToGrid w:val="0"/>
        </w:rPr>
        <w:tab/>
        <w:t xml:space="preserve">This Act may be cited as the </w:t>
      </w:r>
      <w:r>
        <w:rPr>
          <w:i/>
          <w:snapToGrid w:val="0"/>
        </w:rPr>
        <w:t>Freemasons’ Property Act 1956</w:t>
      </w:r>
      <w:r>
        <w:rPr>
          <w:snapToGrid w:val="0"/>
        </w:rPr>
        <w:t xml:space="preserve"> </w:t>
      </w:r>
      <w:r>
        <w:rPr>
          <w:snapToGrid w:val="0"/>
          <w:vertAlign w:val="superscript"/>
        </w:rPr>
        <w:t>1</w:t>
      </w:r>
      <w:r>
        <w:rPr>
          <w:snapToGrid w:val="0"/>
        </w:rPr>
        <w:t>.</w:t>
      </w:r>
    </w:p>
    <w:p>
      <w:pPr>
        <w:pStyle w:val="Heading5"/>
        <w:rPr>
          <w:snapToGrid w:val="0"/>
        </w:rPr>
      </w:pPr>
      <w:bookmarkStart w:id="5" w:name="_Toc378254104"/>
      <w:bookmarkStart w:id="6" w:name="_Toc415581716"/>
      <w:r>
        <w:rPr>
          <w:rStyle w:val="CharSectno"/>
        </w:rPr>
        <w:t>2</w:t>
      </w:r>
      <w:r>
        <w:rPr>
          <w:snapToGrid w:val="0"/>
        </w:rPr>
        <w:t>.</w:t>
      </w:r>
      <w:r>
        <w:rPr>
          <w:snapToGrid w:val="0"/>
        </w:rPr>
        <w:tab/>
        <w:t>Interpretation</w:t>
      </w:r>
      <w:bookmarkEnd w:id="5"/>
      <w:bookmarkEnd w:id="6"/>
      <w:r>
        <w:rPr>
          <w:snapToGrid w:val="0"/>
        </w:rPr>
        <w:t xml:space="preserve"> </w:t>
      </w:r>
    </w:p>
    <w:p>
      <w:pPr>
        <w:pStyle w:val="Subsection"/>
        <w:rPr>
          <w:snapToGrid w:val="0"/>
        </w:rPr>
      </w:pPr>
      <w:r>
        <w:rPr>
          <w:snapToGrid w:val="0"/>
        </w:rPr>
        <w:tab/>
      </w:r>
      <w:r>
        <w:rPr>
          <w:snapToGrid w:val="0"/>
        </w:rPr>
        <w:tab/>
        <w:t>In this Act unless the context requires otherwise — </w:t>
      </w:r>
    </w:p>
    <w:p>
      <w:pPr>
        <w:pStyle w:val="Defstart"/>
      </w:pPr>
      <w:r>
        <w:rPr>
          <w:b/>
        </w:rPr>
        <w:tab/>
      </w:r>
      <w:r>
        <w:rPr>
          <w:rStyle w:val="CharDefText"/>
        </w:rPr>
        <w:t>Constituent Lodge</w:t>
      </w:r>
      <w:r>
        <w:t xml:space="preserve"> means a Lodge of Antient, Free and Accepted Masons, constituted, whether before or after the coming into operation of this Act, under the authority of, and owing allegiance to, Grand Lodge;</w:t>
      </w:r>
    </w:p>
    <w:p>
      <w:pPr>
        <w:pStyle w:val="Defstart"/>
      </w:pPr>
      <w:r>
        <w:rPr>
          <w:b/>
        </w:rPr>
        <w:tab/>
      </w:r>
      <w:r>
        <w:rPr>
          <w:rStyle w:val="CharDefText"/>
        </w:rPr>
        <w:t>Grand Lodge</w:t>
      </w:r>
      <w:r>
        <w:t xml:space="preserve"> means the body known as The Grand Lodge of Western Australia of Antient, Free and Accepted Masons;</w:t>
      </w:r>
    </w:p>
    <w:p>
      <w:pPr>
        <w:pStyle w:val="Defstart"/>
      </w:pPr>
      <w:r>
        <w:rPr>
          <w:b/>
        </w:rPr>
        <w:tab/>
      </w:r>
      <w:r>
        <w:rPr>
          <w:rStyle w:val="CharDefText"/>
        </w:rPr>
        <w:t>Lodge</w:t>
      </w:r>
      <w:r>
        <w:t xml:space="preserve"> means Grand Lodge, or, as the case requires, a Constituent Lodge;</w:t>
      </w:r>
    </w:p>
    <w:p>
      <w:pPr>
        <w:pStyle w:val="Defstart"/>
      </w:pPr>
      <w:r>
        <w:rPr>
          <w:b/>
        </w:rPr>
        <w:tab/>
      </w:r>
      <w:r>
        <w:rPr>
          <w:rStyle w:val="CharDefText"/>
        </w:rPr>
        <w:t>personal property</w:t>
      </w:r>
      <w:r>
        <w:t xml:space="preserve"> means property other than real property;</w:t>
      </w:r>
    </w:p>
    <w:p>
      <w:pPr>
        <w:pStyle w:val="Defstart"/>
      </w:pPr>
      <w:r>
        <w:rPr>
          <w:b/>
        </w:rPr>
        <w:tab/>
      </w:r>
      <w:r>
        <w:rPr>
          <w:rStyle w:val="CharDefText"/>
        </w:rPr>
        <w:t>property</w:t>
      </w:r>
      <w:r>
        <w:t xml:space="preserve"> means real and personal property of any kind;</w:t>
      </w:r>
    </w:p>
    <w:p>
      <w:pPr>
        <w:pStyle w:val="Defstart"/>
      </w:pPr>
      <w:r>
        <w:rPr>
          <w:b/>
        </w:rPr>
        <w:tab/>
      </w:r>
      <w:r>
        <w:rPr>
          <w:rStyle w:val="CharDefText"/>
        </w:rPr>
        <w:t>real property</w:t>
      </w:r>
      <w:r>
        <w:t xml:space="preserve"> means land and estates in land;</w:t>
      </w:r>
    </w:p>
    <w:p>
      <w:pPr>
        <w:pStyle w:val="Defstart"/>
      </w:pPr>
      <w:r>
        <w:rPr>
          <w:b/>
        </w:rPr>
        <w:tab/>
      </w:r>
      <w:r>
        <w:rPr>
          <w:rStyle w:val="CharDefText"/>
        </w:rPr>
        <w:t>registration authority</w:t>
      </w:r>
      <w:r>
        <w:t xml:space="preserve"> means an authority authorised by law to record transactions affecting, or relating to, property;</w:t>
      </w:r>
    </w:p>
    <w:p>
      <w:pPr>
        <w:pStyle w:val="Defstart"/>
      </w:pPr>
      <w:r>
        <w:rPr>
          <w:b/>
        </w:rPr>
        <w:tab/>
      </w:r>
      <w:bookmarkStart w:id="7" w:name="endcomma"/>
      <w:bookmarkEnd w:id="7"/>
      <w:r>
        <w:rPr>
          <w:rStyle w:val="CharDefText"/>
        </w:rPr>
        <w:t>Trustee</w:t>
      </w:r>
      <w:r>
        <w:t xml:space="preserve"> </w:t>
      </w:r>
      <w:bookmarkStart w:id="8" w:name="comma"/>
      <w:bookmarkEnd w:id="8"/>
      <w:r>
        <w:t>means a person appointed to, and occupying at any material time, the office of Trustee of a Lodge, in accordance with the constitution of the Lodge.</w:t>
      </w:r>
    </w:p>
    <w:p>
      <w:pPr>
        <w:pStyle w:val="Heading5"/>
        <w:rPr>
          <w:snapToGrid w:val="0"/>
        </w:rPr>
      </w:pPr>
      <w:bookmarkStart w:id="9" w:name="_Toc378254105"/>
      <w:bookmarkStart w:id="10" w:name="_Toc415581717"/>
      <w:r>
        <w:rPr>
          <w:rStyle w:val="CharSectno"/>
        </w:rPr>
        <w:t>3</w:t>
      </w:r>
      <w:r>
        <w:rPr>
          <w:snapToGrid w:val="0"/>
        </w:rPr>
        <w:t>.</w:t>
      </w:r>
      <w:r>
        <w:rPr>
          <w:snapToGrid w:val="0"/>
        </w:rPr>
        <w:tab/>
        <w:t>Adoption of this Act by Lodges</w:t>
      </w:r>
      <w:bookmarkEnd w:id="9"/>
      <w:bookmarkEnd w:id="10"/>
      <w:r>
        <w:rPr>
          <w:snapToGrid w:val="0"/>
        </w:rPr>
        <w:t xml:space="preserve"> </w:t>
      </w:r>
    </w:p>
    <w:p>
      <w:pPr>
        <w:pStyle w:val="Subsection"/>
        <w:rPr>
          <w:snapToGrid w:val="0"/>
        </w:rPr>
      </w:pPr>
      <w:r>
        <w:rPr>
          <w:snapToGrid w:val="0"/>
        </w:rPr>
        <w:tab/>
        <w:t>(1)</w:t>
      </w:r>
      <w:r>
        <w:rPr>
          <w:snapToGrid w:val="0"/>
        </w:rPr>
        <w:tab/>
        <w:t>Where a Lodge passes, in accordance with the constitution of the Lodge, a resolution adopting this Act —</w:t>
      </w:r>
    </w:p>
    <w:p>
      <w:pPr>
        <w:pStyle w:val="Indenta"/>
        <w:rPr>
          <w:snapToGrid w:val="0"/>
        </w:rPr>
      </w:pPr>
      <w:r>
        <w:rPr>
          <w:snapToGrid w:val="0"/>
        </w:rPr>
        <w:tab/>
        <w:t>(a)</w:t>
      </w:r>
      <w:r>
        <w:rPr>
          <w:snapToGrid w:val="0"/>
        </w:rPr>
        <w:tab/>
        <w:t>the Trustees of the Lodge are, by force of the passing of the resolution, and without the necessity of any other instrument or formality of incorporation, constituted a body corporate —</w:t>
      </w:r>
    </w:p>
    <w:p>
      <w:pPr>
        <w:pStyle w:val="Indenti"/>
        <w:rPr>
          <w:snapToGrid w:val="0"/>
        </w:rPr>
      </w:pPr>
      <w:r>
        <w:rPr>
          <w:snapToGrid w:val="0"/>
        </w:rPr>
        <w:tab/>
        <w:t>(i)</w:t>
      </w:r>
      <w:r>
        <w:rPr>
          <w:snapToGrid w:val="0"/>
        </w:rPr>
        <w:tab/>
        <w:t>by such corporate name as is specified in the resolution;</w:t>
      </w:r>
    </w:p>
    <w:p>
      <w:pPr>
        <w:pStyle w:val="Indenti"/>
        <w:rPr>
          <w:snapToGrid w:val="0"/>
        </w:rPr>
      </w:pPr>
      <w:r>
        <w:rPr>
          <w:snapToGrid w:val="0"/>
        </w:rPr>
        <w:tab/>
        <w:t>(ii)</w:t>
      </w:r>
      <w:r>
        <w:rPr>
          <w:snapToGrid w:val="0"/>
        </w:rPr>
        <w:tab/>
        <w:t>with perpetual succession;</w:t>
      </w:r>
    </w:p>
    <w:p>
      <w:pPr>
        <w:pStyle w:val="Indenti"/>
        <w:rPr>
          <w:snapToGrid w:val="0"/>
        </w:rPr>
      </w:pPr>
      <w:r>
        <w:rPr>
          <w:snapToGrid w:val="0"/>
        </w:rPr>
        <w:tab/>
        <w:t>(iii)</w:t>
      </w:r>
      <w:r>
        <w:rPr>
          <w:snapToGrid w:val="0"/>
        </w:rPr>
        <w:tab/>
        <w:t xml:space="preserve">with a common seal in such form, and to be kept in such custody, as is specified in the resolution; </w:t>
      </w:r>
    </w:p>
    <w:p>
      <w:pPr>
        <w:pStyle w:val="Indenti"/>
        <w:rPr>
          <w:snapToGrid w:val="0"/>
          <w:spacing w:val="-4"/>
        </w:rPr>
      </w:pPr>
      <w:r>
        <w:rPr>
          <w:snapToGrid w:val="0"/>
          <w:spacing w:val="-4"/>
        </w:rPr>
        <w:tab/>
        <w:t>(iv)</w:t>
      </w:r>
      <w:r>
        <w:rPr>
          <w:snapToGrid w:val="0"/>
          <w:spacing w:val="-4"/>
        </w:rPr>
        <w:tab/>
        <w:t>with power, in the corporate name, to acquire, hold, dispose of, and otherwise deal with the property, and any estate or interest in the property, of the Lodge, whether by transfer, conveyance, lease, letting, license, mortgage, assignment, bailment, pledge, bill of sale, or otherwise howsoever, and to sue and be sued, settle or compromise claims and disputes, and enter into submissions to arbitration, in respect of the property; and</w:t>
      </w:r>
    </w:p>
    <w:p>
      <w:pPr>
        <w:pStyle w:val="Indenti"/>
        <w:rPr>
          <w:snapToGrid w:val="0"/>
        </w:rPr>
      </w:pPr>
      <w:r>
        <w:rPr>
          <w:snapToGrid w:val="0"/>
        </w:rPr>
        <w:tab/>
        <w:t>(v)</w:t>
      </w:r>
      <w:r>
        <w:rPr>
          <w:snapToGrid w:val="0"/>
        </w:rPr>
        <w:tab/>
        <w:t>with power to authenticate on behalf of the body corporate any document by the affixing of the common seal to the document, and by the attestation by at least 2 of the Trustees that it was so affixed in their presence;</w:t>
      </w:r>
    </w:p>
    <w:p>
      <w:pPr>
        <w:pStyle w:val="Indenta"/>
        <w:rPr>
          <w:snapToGrid w:val="0"/>
        </w:rPr>
      </w:pPr>
      <w:r>
        <w:rPr>
          <w:snapToGrid w:val="0"/>
        </w:rPr>
        <w:tab/>
      </w:r>
      <w:r>
        <w:rPr>
          <w:snapToGrid w:val="0"/>
        </w:rPr>
        <w:tab/>
        <w:t>and</w:t>
      </w:r>
    </w:p>
    <w:p>
      <w:pPr>
        <w:pStyle w:val="Indenta"/>
        <w:rPr>
          <w:snapToGrid w:val="0"/>
          <w:spacing w:val="-4"/>
        </w:rPr>
      </w:pPr>
      <w:r>
        <w:rPr>
          <w:snapToGrid w:val="0"/>
          <w:spacing w:val="-4"/>
        </w:rPr>
        <w:tab/>
        <w:t>(b)</w:t>
      </w:r>
      <w:r>
        <w:rPr>
          <w:snapToGrid w:val="0"/>
          <w:spacing w:val="-4"/>
        </w:rPr>
        <w:tab/>
        <w:t>property acquired by or on behalf of the Lodge, whether before or after the coming into operation of this Act, and however acquired, whether by purchase, exchange, gift, devise, bequest, or otherwise, is by force of the passing of the resolution adopting this Act, and without the necessity of any transfer, conveyance, or assignment, or other formality, vested in the body corporate, upon such trusts, and for such purposes, and subject to such conditions, as are, from time to time created, prescribed, or imposed, under the constitution of the Lodge, but the vesting so effected does not affect any trust, encumbrance, or other interest, to which the property so vested is subject.</w:t>
      </w:r>
    </w:p>
    <w:p>
      <w:pPr>
        <w:pStyle w:val="Subsection"/>
        <w:rPr>
          <w:snapToGrid w:val="0"/>
        </w:rPr>
      </w:pPr>
      <w:r>
        <w:rPr>
          <w:snapToGrid w:val="0"/>
        </w:rPr>
        <w:tab/>
        <w:t>(2)</w:t>
      </w:r>
      <w:r>
        <w:rPr>
          <w:snapToGrid w:val="0"/>
        </w:rPr>
        <w:tab/>
        <w:t>Where a body corporate constituted by a resolution so passed by a Lodge, makes application to a registration authority to record any vesting effected pursuant to subsection (1) —</w:t>
      </w:r>
    </w:p>
    <w:p>
      <w:pPr>
        <w:pStyle w:val="Indenta"/>
        <w:rPr>
          <w:snapToGrid w:val="0"/>
        </w:rPr>
      </w:pPr>
      <w:r>
        <w:rPr>
          <w:snapToGrid w:val="0"/>
        </w:rPr>
        <w:tab/>
        <w:t>(a)</w:t>
      </w:r>
      <w:r>
        <w:rPr>
          <w:snapToGrid w:val="0"/>
        </w:rPr>
        <w:tab/>
        <w:t>if the application purports to be authenticated in accordance with the provisions of subsection (1)(a)(v), and is in such form and accompanied by such evidence as the registration authority, having regard to any duty imposed upon him by law, approves and is hereby authorised to approve;</w:t>
      </w:r>
    </w:p>
    <w:p>
      <w:pPr>
        <w:pStyle w:val="Indenta"/>
        <w:rPr>
          <w:snapToGrid w:val="0"/>
        </w:rPr>
      </w:pPr>
      <w:r>
        <w:rPr>
          <w:snapToGrid w:val="0"/>
        </w:rPr>
        <w:tab/>
        <w:t>(b)</w:t>
      </w:r>
      <w:r>
        <w:rPr>
          <w:snapToGrid w:val="0"/>
        </w:rPr>
        <w:tab/>
        <w:t>if the fees prescribed by law are paid to the registration authority; and</w:t>
      </w:r>
    </w:p>
    <w:p>
      <w:pPr>
        <w:pStyle w:val="Indenta"/>
        <w:rPr>
          <w:snapToGrid w:val="0"/>
        </w:rPr>
      </w:pPr>
      <w:r>
        <w:rPr>
          <w:snapToGrid w:val="0"/>
        </w:rPr>
        <w:tab/>
        <w:t>(c)</w:t>
      </w:r>
      <w:r>
        <w:rPr>
          <w:snapToGrid w:val="0"/>
        </w:rPr>
        <w:tab/>
        <w:t>if the registration authority is authorised by law to do so;</w:t>
      </w:r>
    </w:p>
    <w:p>
      <w:pPr>
        <w:pStyle w:val="Subsection"/>
        <w:rPr>
          <w:snapToGrid w:val="0"/>
        </w:rPr>
      </w:pPr>
      <w:r>
        <w:rPr>
          <w:snapToGrid w:val="0"/>
        </w:rPr>
        <w:tab/>
      </w:r>
      <w:r>
        <w:rPr>
          <w:snapToGrid w:val="0"/>
        </w:rPr>
        <w:tab/>
        <w:t>the registration authority shall record the vesting in accordance with the authorisation conferred upon him by law, but the express reference in this subsection to the specific power in particular to record the vesting, does not by implication exclude or prejudice the exercise by a registration authority of any power in general conferred by law to record any other transaction affecting, or relating to property of a Lodge.</w:t>
      </w:r>
    </w:p>
    <w:p>
      <w:pPr>
        <w:pStyle w:val="Subsection"/>
        <w:rPr>
          <w:snapToGrid w:val="0"/>
        </w:rPr>
      </w:pPr>
      <w:r>
        <w:rPr>
          <w:snapToGrid w:val="0"/>
        </w:rPr>
        <w:tab/>
        <w:t>(3)</w:t>
      </w:r>
      <w:r>
        <w:rPr>
          <w:snapToGrid w:val="0"/>
        </w:rPr>
        <w:tab/>
        <w:t>A certificate purporting to be signed respectively by the persons for the time being purporting to occupy, or to act in, the respective offices of Master and Secretary of a Lodge, and stating —</w:t>
      </w:r>
    </w:p>
    <w:p>
      <w:pPr>
        <w:pStyle w:val="Indenta"/>
        <w:rPr>
          <w:snapToGrid w:val="0"/>
        </w:rPr>
      </w:pPr>
      <w:r>
        <w:rPr>
          <w:snapToGrid w:val="0"/>
        </w:rPr>
        <w:tab/>
        <w:t>(a)</w:t>
      </w:r>
      <w:r>
        <w:rPr>
          <w:snapToGrid w:val="0"/>
        </w:rPr>
        <w:tab/>
        <w:t>that the Lodge has passed, in accordance with the constitution of the Lodge a resolution adopting this Act;</w:t>
      </w:r>
    </w:p>
    <w:p>
      <w:pPr>
        <w:pStyle w:val="Indenta"/>
        <w:rPr>
          <w:snapToGrid w:val="0"/>
        </w:rPr>
      </w:pPr>
      <w:r>
        <w:rPr>
          <w:snapToGrid w:val="0"/>
        </w:rPr>
        <w:tab/>
        <w:t>(b)</w:t>
      </w:r>
      <w:r>
        <w:rPr>
          <w:snapToGrid w:val="0"/>
        </w:rPr>
        <w:tab/>
        <w:t>the name of the body corporate referred to in subsection (1)(a)(i);</w:t>
      </w:r>
    </w:p>
    <w:p>
      <w:pPr>
        <w:pStyle w:val="Indenta"/>
        <w:rPr>
          <w:snapToGrid w:val="0"/>
        </w:rPr>
      </w:pPr>
      <w:r>
        <w:rPr>
          <w:snapToGrid w:val="0"/>
        </w:rPr>
        <w:tab/>
        <w:t>(c)</w:t>
      </w:r>
      <w:r>
        <w:rPr>
          <w:snapToGrid w:val="0"/>
        </w:rPr>
        <w:tab/>
        <w:t>that a document referred to and identified in the certificate has been authenticated by the body corporate in the manner referred to in subsection (1)(a)(v); and</w:t>
      </w:r>
    </w:p>
    <w:p>
      <w:pPr>
        <w:pStyle w:val="Indenta"/>
        <w:rPr>
          <w:snapToGrid w:val="0"/>
        </w:rPr>
      </w:pPr>
      <w:r>
        <w:rPr>
          <w:snapToGrid w:val="0"/>
        </w:rPr>
        <w:tab/>
        <w:t>(d)</w:t>
      </w:r>
      <w:r>
        <w:rPr>
          <w:snapToGrid w:val="0"/>
        </w:rPr>
        <w:tab/>
        <w:t>that the respective signatures on the certificate are those of the respective persons occupying, or acting in, the respective offices of Master, and Secretary, of the Lodge;</w:t>
      </w:r>
    </w:p>
    <w:p>
      <w:pPr>
        <w:pStyle w:val="Subsection"/>
        <w:rPr>
          <w:snapToGrid w:val="0"/>
        </w:rPr>
      </w:pPr>
      <w:r>
        <w:rPr>
          <w:snapToGrid w:val="0"/>
        </w:rPr>
        <w:tab/>
      </w:r>
      <w:r>
        <w:rPr>
          <w:snapToGrid w:val="0"/>
        </w:rPr>
        <w:tab/>
        <w:t>is prima facie evidence of any of the matters so stated, and may be accepted and acted upon as such by any person or authority exercising any power, jurisdiction, or function, according to law.</w:t>
      </w:r>
    </w:p>
    <w:p>
      <w:pPr>
        <w:pStyle w:val="Subsection"/>
        <w:rPr>
          <w:snapToGrid w:val="0"/>
        </w:rPr>
      </w:pPr>
      <w:r>
        <w:rPr>
          <w:snapToGrid w:val="0"/>
        </w:rPr>
        <w:tab/>
        <w:t>(4)</w:t>
      </w:r>
      <w:r>
        <w:rPr>
          <w:snapToGrid w:val="0"/>
        </w:rPr>
        <w:tab/>
        <w:t>A person proposing a transaction with a body corporate so constituted by a resolution so passed by a Lodge, is not required to ascertain if the transaction proposed would, if carried into effect, constitute a breach of trust, or as to the application of any consideration passing to the body corporate in connection with the transaction.</w:t>
      </w:r>
    </w:p>
    <w:p>
      <w:pPr>
        <w:rPr>
          <w:rStyle w:val="CharDivText"/>
        </w:rPr>
        <w:sectPr>
          <w:headerReference w:type="even" r:id="rId21"/>
          <w:headerReference w:type="default" r:id="rId22"/>
          <w:headerReference w:type="first" r:id="rId23"/>
          <w:pgSz w:w="11907" w:h="16840" w:code="9"/>
          <w:pgMar w:top="2376" w:right="2405" w:bottom="3542" w:left="2405" w:header="706" w:footer="3380" w:gutter="0"/>
          <w:pgNumType w:start="1"/>
          <w:cols w:space="720"/>
          <w:noEndnote/>
          <w:titlePg/>
          <w:docGrid w:linePitch="326"/>
        </w:sectPr>
      </w:pPr>
    </w:p>
    <w:p>
      <w:pPr>
        <w:pStyle w:val="nHeading2"/>
      </w:pPr>
      <w:bookmarkStart w:id="11" w:name="_Toc378254106"/>
      <w:bookmarkStart w:id="12" w:name="_Toc415581674"/>
      <w:bookmarkStart w:id="13" w:name="_Toc415581718"/>
      <w:r>
        <w:t>Notes</w:t>
      </w:r>
      <w:bookmarkEnd w:id="11"/>
      <w:bookmarkEnd w:id="12"/>
      <w:bookmarkEnd w:id="13"/>
    </w:p>
    <w:p>
      <w:pPr>
        <w:pStyle w:val="nSubsection"/>
        <w:rPr>
          <w:snapToGrid w:val="0"/>
        </w:rPr>
      </w:pPr>
      <w:r>
        <w:rPr>
          <w:snapToGrid w:val="0"/>
          <w:vertAlign w:val="superscript"/>
        </w:rPr>
        <w:t>1</w:t>
      </w:r>
      <w:r>
        <w:rPr>
          <w:snapToGrid w:val="0"/>
        </w:rPr>
        <w:tab/>
        <w:t xml:space="preserve">This is a compilation of the </w:t>
      </w:r>
      <w:r>
        <w:rPr>
          <w:i/>
          <w:snapToGrid w:val="0"/>
        </w:rPr>
        <w:t>Freemasons’ Property Act 1956</w:t>
      </w:r>
      <w:r>
        <w:rPr>
          <w:snapToGrid w:val="0"/>
        </w:rPr>
        <w:t>.  The following Table contains information about that Act.</w:t>
      </w:r>
    </w:p>
    <w:p>
      <w:pPr>
        <w:pStyle w:val="nHeading3"/>
        <w:rPr>
          <w:snapToGrid w:val="0"/>
        </w:rPr>
      </w:pPr>
      <w:bookmarkStart w:id="14" w:name="_Toc415581719"/>
      <w:r>
        <w:rPr>
          <w:snapToGrid w:val="0"/>
        </w:rPr>
        <w:t>Compilation table</w:t>
      </w:r>
      <w:bookmarkEnd w:id="14"/>
    </w:p>
    <w:tbl>
      <w:tblPr>
        <w:tblW w:w="0" w:type="auto"/>
        <w:tblInd w:w="28" w:type="dxa"/>
        <w:tblBorders>
          <w:top w:val="single" w:sz="4" w:space="0" w:color="auto"/>
          <w:bottom w:val="single" w:sz="4" w:space="0" w:color="auto"/>
          <w:insideH w:val="single" w:sz="4" w:space="0" w:color="auto"/>
        </w:tblBorders>
        <w:tblLayout w:type="fixed"/>
        <w:tblCellMar>
          <w:left w:w="56" w:type="dxa"/>
          <w:right w:w="56" w:type="dxa"/>
        </w:tblCellMar>
        <w:tblLook w:val="0000" w:firstRow="0" w:lastRow="0" w:firstColumn="0" w:lastColumn="0" w:noHBand="0" w:noVBand="0"/>
      </w:tblPr>
      <w:tblGrid>
        <w:gridCol w:w="2268"/>
        <w:gridCol w:w="1134"/>
        <w:gridCol w:w="1134"/>
        <w:gridCol w:w="2551"/>
      </w:tblGrid>
      <w:tr>
        <w:trPr>
          <w:cantSplit/>
          <w:tblHeader/>
        </w:trPr>
        <w:tc>
          <w:tcPr>
            <w:tcW w:w="2268" w:type="dxa"/>
            <w:tcBorders>
              <w:top w:val="single" w:sz="8" w:space="0" w:color="auto"/>
              <w:bottom w:val="single" w:sz="8" w:space="0" w:color="auto"/>
            </w:tcBorders>
            <w:shd w:val="clear" w:color="auto" w:fill="auto"/>
          </w:tcPr>
          <w:p>
            <w:pPr>
              <w:pStyle w:val="nTable"/>
              <w:spacing w:after="40"/>
              <w:ind w:right="113"/>
              <w:rPr>
                <w:b/>
              </w:rPr>
            </w:pPr>
            <w:r>
              <w:rPr>
                <w:b/>
              </w:rPr>
              <w:t>Short title</w:t>
            </w:r>
          </w:p>
        </w:tc>
        <w:tc>
          <w:tcPr>
            <w:tcW w:w="1134" w:type="dxa"/>
            <w:tcBorders>
              <w:top w:val="single" w:sz="8" w:space="0" w:color="auto"/>
              <w:bottom w:val="single" w:sz="8" w:space="0" w:color="auto"/>
            </w:tcBorders>
            <w:shd w:val="clear" w:color="auto" w:fill="auto"/>
          </w:tcPr>
          <w:p>
            <w:pPr>
              <w:pStyle w:val="nTable"/>
              <w:spacing w:after="40"/>
              <w:rPr>
                <w:b/>
              </w:rPr>
            </w:pPr>
            <w:r>
              <w:rPr>
                <w:b/>
              </w:rPr>
              <w:t>Number and year</w:t>
            </w:r>
          </w:p>
        </w:tc>
        <w:tc>
          <w:tcPr>
            <w:tcW w:w="1134" w:type="dxa"/>
            <w:tcBorders>
              <w:top w:val="single" w:sz="8" w:space="0" w:color="auto"/>
              <w:bottom w:val="single" w:sz="8" w:space="0" w:color="auto"/>
            </w:tcBorders>
            <w:shd w:val="clear" w:color="auto" w:fill="auto"/>
          </w:tcPr>
          <w:p>
            <w:pPr>
              <w:pStyle w:val="nTable"/>
              <w:spacing w:after="40"/>
              <w:rPr>
                <w:b/>
              </w:rPr>
            </w:pPr>
            <w:r>
              <w:rPr>
                <w:b/>
              </w:rPr>
              <w:t>Assent</w:t>
            </w:r>
          </w:p>
        </w:tc>
        <w:tc>
          <w:tcPr>
            <w:tcW w:w="2551" w:type="dxa"/>
            <w:tcBorders>
              <w:top w:val="single" w:sz="8" w:space="0" w:color="auto"/>
              <w:bottom w:val="single" w:sz="8" w:space="0" w:color="auto"/>
            </w:tcBorders>
            <w:shd w:val="clear" w:color="auto" w:fill="auto"/>
          </w:tcPr>
          <w:p>
            <w:pPr>
              <w:pStyle w:val="nTable"/>
              <w:spacing w:after="40"/>
              <w:rPr>
                <w:b/>
              </w:rPr>
            </w:pPr>
            <w:r>
              <w:rPr>
                <w:b/>
              </w:rPr>
              <w:t>Commencement</w:t>
            </w:r>
          </w:p>
        </w:tc>
      </w:tr>
      <w:tr>
        <w:trPr>
          <w:cantSplit/>
        </w:trPr>
        <w:tc>
          <w:tcPr>
            <w:tcW w:w="2268" w:type="dxa"/>
            <w:tcBorders>
              <w:top w:val="single" w:sz="8" w:space="0" w:color="auto"/>
              <w:bottom w:val="single" w:sz="8" w:space="0" w:color="auto"/>
            </w:tcBorders>
            <w:shd w:val="clear" w:color="auto" w:fill="auto"/>
          </w:tcPr>
          <w:p>
            <w:pPr>
              <w:pStyle w:val="nTable"/>
              <w:spacing w:after="40"/>
              <w:ind w:right="113"/>
            </w:pPr>
            <w:r>
              <w:rPr>
                <w:i/>
              </w:rPr>
              <w:t>Freemasons’ Property Act 1956</w:t>
            </w:r>
          </w:p>
        </w:tc>
        <w:tc>
          <w:tcPr>
            <w:tcW w:w="1134" w:type="dxa"/>
            <w:tcBorders>
              <w:top w:val="single" w:sz="8" w:space="0" w:color="auto"/>
              <w:bottom w:val="single" w:sz="8" w:space="0" w:color="auto"/>
            </w:tcBorders>
            <w:shd w:val="clear" w:color="auto" w:fill="auto"/>
          </w:tcPr>
          <w:p>
            <w:pPr>
              <w:pStyle w:val="nTable"/>
              <w:spacing w:after="40"/>
            </w:pPr>
            <w:r>
              <w:t>53 of 1956</w:t>
            </w:r>
          </w:p>
        </w:tc>
        <w:tc>
          <w:tcPr>
            <w:tcW w:w="1134" w:type="dxa"/>
            <w:tcBorders>
              <w:top w:val="single" w:sz="8" w:space="0" w:color="auto"/>
              <w:bottom w:val="single" w:sz="8" w:space="0" w:color="auto"/>
            </w:tcBorders>
            <w:shd w:val="clear" w:color="auto" w:fill="auto"/>
          </w:tcPr>
          <w:p>
            <w:pPr>
              <w:pStyle w:val="nTable"/>
              <w:spacing w:after="40"/>
            </w:pPr>
            <w:r>
              <w:t>27 Dec 1956</w:t>
            </w:r>
          </w:p>
        </w:tc>
        <w:tc>
          <w:tcPr>
            <w:tcW w:w="2551" w:type="dxa"/>
            <w:tcBorders>
              <w:top w:val="single" w:sz="8" w:space="0" w:color="auto"/>
              <w:bottom w:val="single" w:sz="8" w:space="0" w:color="auto"/>
            </w:tcBorders>
            <w:shd w:val="clear" w:color="auto" w:fill="auto"/>
          </w:tcPr>
          <w:p>
            <w:pPr>
              <w:pStyle w:val="nTable"/>
              <w:spacing w:after="40"/>
            </w:pPr>
            <w:r>
              <w:t>27 Dec 1956</w:t>
            </w:r>
          </w:p>
        </w:tc>
      </w:tr>
    </w:tbl>
    <w:p/>
    <w:p/>
    <w:p>
      <w:pPr>
        <w:sectPr>
          <w:headerReference w:type="even" r:id="rId24"/>
          <w:headerReference w:type="default" r:id="rId25"/>
          <w:headerReference w:type="first" r:id="rId26"/>
          <w:pgSz w:w="11907" w:h="16840" w:code="9"/>
          <w:pgMar w:top="2376" w:right="2404" w:bottom="3544" w:left="2404" w:header="720" w:footer="3380" w:gutter="0"/>
          <w:cols w:space="720"/>
          <w:noEndnote/>
          <w:docGrid w:linePitch="326"/>
        </w:sectPr>
      </w:pPr>
    </w:p>
    <w:p>
      <w:pPr>
        <w:pStyle w:val="nHeading2"/>
        <w:rPr>
          <w:sz w:val="28"/>
        </w:rPr>
      </w:pPr>
      <w:bookmarkStart w:id="16" w:name="_Toc415581720"/>
      <w:r>
        <w:rPr>
          <w:sz w:val="28"/>
        </w:rPr>
        <w:t>Defined terms</w:t>
      </w:r>
      <w:bookmarkEnd w:id="16"/>
    </w:p>
    <w:p>
      <w:pPr>
        <w:ind w:left="850" w:right="850"/>
        <w:jc w:val="center"/>
        <w:rPr>
          <w:i/>
          <w:sz w:val="18"/>
        </w:rPr>
      </w:pPr>
    </w:p>
    <w:p>
      <w:pPr>
        <w:ind w:left="850" w:right="850"/>
        <w:jc w:val="center"/>
        <w:rPr>
          <w:i/>
          <w:sz w:val="18"/>
        </w:rPr>
      </w:pPr>
      <w:r>
        <w:rPr>
          <w:i/>
          <w:sz w:val="18"/>
        </w:rPr>
        <w:t>[This is a list of terms defined and the provisions where they are defined.  The list is not part of the law.]</w:t>
      </w:r>
    </w:p>
    <w:p>
      <w:pPr>
        <w:pBdr>
          <w:bottom w:val="single" w:sz="4" w:space="1" w:color="auto"/>
        </w:pBdr>
        <w:tabs>
          <w:tab w:val="right" w:pos="7070"/>
        </w:tabs>
        <w:ind w:left="578"/>
        <w:rPr>
          <w:b/>
          <w:sz w:val="20"/>
        </w:rPr>
      </w:pPr>
      <w:r>
        <w:rPr>
          <w:b/>
          <w:sz w:val="20"/>
        </w:rPr>
        <w:t>Defined term</w:t>
      </w:r>
      <w:r>
        <w:rPr>
          <w:b/>
          <w:sz w:val="20"/>
        </w:rPr>
        <w:tab/>
        <w:t>Provision(s)</w:t>
      </w:r>
    </w:p>
    <w:p>
      <w:pPr>
        <w:pStyle w:val="DefinedTerms"/>
      </w:pPr>
      <w:r>
        <w:t>Constituent Lodge</w:t>
      </w:r>
      <w:r>
        <w:tab/>
        <w:t>2</w:t>
      </w:r>
    </w:p>
    <w:p>
      <w:pPr>
        <w:pStyle w:val="DefinedTerms"/>
      </w:pPr>
      <w:r>
        <w:t>Grand Lodge</w:t>
      </w:r>
      <w:r>
        <w:tab/>
        <w:t>2</w:t>
      </w:r>
    </w:p>
    <w:p>
      <w:pPr>
        <w:pStyle w:val="DefinedTerms"/>
      </w:pPr>
      <w:r>
        <w:t>Lodge</w:t>
      </w:r>
      <w:r>
        <w:tab/>
        <w:t>2</w:t>
      </w:r>
    </w:p>
    <w:p>
      <w:pPr>
        <w:pStyle w:val="DefinedTerms"/>
      </w:pPr>
      <w:r>
        <w:t>personal property</w:t>
      </w:r>
      <w:r>
        <w:tab/>
        <w:t>2</w:t>
      </w:r>
    </w:p>
    <w:p>
      <w:pPr>
        <w:pStyle w:val="DefinedTerms"/>
      </w:pPr>
      <w:r>
        <w:t>property</w:t>
      </w:r>
      <w:r>
        <w:tab/>
        <w:t>2</w:t>
      </w:r>
    </w:p>
    <w:p>
      <w:pPr>
        <w:pStyle w:val="DefinedTerms"/>
      </w:pPr>
      <w:r>
        <w:t>real property</w:t>
      </w:r>
      <w:r>
        <w:tab/>
        <w:t>2</w:t>
      </w:r>
    </w:p>
    <w:p>
      <w:pPr>
        <w:pStyle w:val="DefinedTerms"/>
      </w:pPr>
      <w:r>
        <w:t>registration authority</w:t>
      </w:r>
      <w:r>
        <w:tab/>
        <w:t>2</w:t>
      </w:r>
    </w:p>
    <w:p>
      <w:pPr>
        <w:pStyle w:val="DefinedTerms"/>
      </w:pPr>
      <w:r>
        <w:t>Trustee</w:t>
      </w:r>
      <w:r>
        <w:tab/>
        <w:t>2</w:t>
      </w:r>
    </w:p>
    <w:p/>
    <w:p>
      <w:pPr>
        <w:sectPr>
          <w:headerReference w:type="even" r:id="rId27"/>
          <w:headerReference w:type="default" r:id="rId28"/>
          <w:pgSz w:w="11907" w:h="16840" w:code="9"/>
          <w:pgMar w:top="2381" w:right="2409" w:bottom="3543" w:left="2409" w:header="720" w:footer="3380" w:gutter="0"/>
          <w:cols w:space="720"/>
          <w:noEndnote/>
          <w:docGrid w:linePitch="326"/>
        </w:sectPr>
      </w:pPr>
    </w:p>
    <w:p/>
    <w:sectPr>
      <w:headerReference w:type="even" r:id="rId29"/>
      <w:headerReference w:type="default" r:id="rId30"/>
      <w:footerReference w:type="even" r:id="rId31"/>
      <w:footerReference w:type="default" r:id="rId32"/>
      <w:headerReference w:type="first" r:id="rId33"/>
      <w:footerReference w:type="first" r:id="rId34"/>
      <w:type w:val="continuous"/>
      <w:pgSz w:w="11907" w:h="16840" w:code="9"/>
      <w:pgMar w:top="2381" w:right="2410" w:bottom="2977" w:left="2410" w:header="720" w:footer="3380" w:gutter="0"/>
      <w:paperSrc w:first="15" w:other="15"/>
      <w:pgNumType w:start="1"/>
      <w:cols w:space="720"/>
      <w:noEndnote/>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64"/>
    </w:tblGrid>
    <w:tr>
      <w:trPr>
        <w:cantSplit/>
      </w:trPr>
      <w:tc>
        <w:tcPr>
          <w:tcW w:w="7312" w:type="dxa"/>
          <w:gridSpan w:val="2"/>
        </w:tcPr>
        <w:p>
          <w:pPr>
            <w:pStyle w:val="Header"/>
          </w:pPr>
          <w:r>
            <w:rPr>
              <w:b/>
              <w:i/>
            </w:rPr>
            <w:fldChar w:fldCharType="begin"/>
          </w:r>
          <w:r>
            <w:rPr>
              <w:b/>
              <w:i/>
            </w:rPr>
            <w:instrText xml:space="preserve"> Styleref "Name of Act/Reg" </w:instrText>
          </w:r>
          <w:r>
            <w:rPr>
              <w:b/>
              <w:i/>
            </w:rPr>
            <w:fldChar w:fldCharType="separate"/>
          </w:r>
          <w:r>
            <w:rPr>
              <w:b/>
              <w:i/>
            </w:rPr>
            <w:t>Freemasons’ Property Act 1956</w:t>
          </w:r>
          <w:r>
            <w:rPr>
              <w:b/>
              <w:i/>
            </w:rPr>
            <w:fldChar w:fldCharType="end"/>
          </w:r>
        </w:p>
      </w:tc>
    </w:tr>
    <w:tr>
      <w:tc>
        <w:tcPr>
          <w:tcW w:w="1548" w:type="dxa"/>
        </w:tcPr>
        <w:p>
          <w:pPr>
            <w:pStyle w:val="Header"/>
            <w:spacing w:before="40"/>
          </w:pPr>
        </w:p>
      </w:tc>
      <w:tc>
        <w:tcPr>
          <w:tcW w:w="5764" w:type="dxa"/>
        </w:tcPr>
        <w:p>
          <w:pPr>
            <w:pStyle w:val="Header"/>
            <w:spacing w:before="40"/>
          </w:pPr>
        </w:p>
      </w:tc>
    </w:tr>
    <w:tr>
      <w:tc>
        <w:tcPr>
          <w:tcW w:w="1548" w:type="dxa"/>
        </w:tcPr>
        <w:p>
          <w:pPr>
            <w:pStyle w:val="Header"/>
            <w:spacing w:before="40"/>
          </w:pPr>
        </w:p>
      </w:tc>
      <w:tc>
        <w:tcPr>
          <w:tcW w:w="5764" w:type="dxa"/>
        </w:tcPr>
        <w:p>
          <w:pPr>
            <w:pStyle w:val="Header"/>
            <w:spacing w:before="40"/>
          </w:pPr>
        </w:p>
      </w:tc>
    </w:tr>
    <w:tr>
      <w:trPr>
        <w:cantSplit/>
      </w:trPr>
      <w:tc>
        <w:tcPr>
          <w:tcW w:w="7312" w:type="dxa"/>
          <w:gridSpan w:val="2"/>
        </w:tcPr>
        <w:p>
          <w:pPr>
            <w:pStyle w:val="Header"/>
            <w:spacing w:before="40"/>
          </w:pPr>
        </w:p>
      </w:tc>
    </w:tr>
  </w:tbl>
  <w:p>
    <w:pPr>
      <w:pStyle w:val="Header"/>
      <w:pBdr>
        <w:top w:val="single" w:sz="4" w:space="1" w:color="auto"/>
      </w:pBd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Freemasons’ Property Act 1956</w:t>
          </w:r>
          <w:r>
            <w:rPr>
              <w:b/>
              <w:i/>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r>
      <w:tc>
        <w:tcPr>
          <w:tcW w:w="5715" w:type="dxa"/>
        </w:tcPr>
        <w:p>
          <w:pPr>
            <w:pStyle w:val="Header"/>
            <w:spacing w:before="40"/>
            <w:jc w:val="right"/>
          </w:pPr>
        </w:p>
      </w:tc>
      <w:tc>
        <w:tcPr>
          <w:tcW w:w="1548" w:type="dxa"/>
        </w:tcPr>
        <w:p>
          <w:pPr>
            <w:pStyle w:val="Header"/>
            <w:spacing w:before="40"/>
            <w:ind w:right="17"/>
            <w:jc w:val="right"/>
          </w:pPr>
        </w:p>
      </w:tc>
    </w:tr>
    <w:tr>
      <w:trPr>
        <w:cantSplit/>
      </w:trPr>
      <w:tc>
        <w:tcPr>
          <w:tcW w:w="7258" w:type="dxa"/>
          <w:gridSpan w:val="2"/>
        </w:tcPr>
        <w:p>
          <w:pPr>
            <w:pStyle w:val="Header"/>
            <w:spacing w:before="40"/>
            <w:ind w:right="17"/>
            <w:jc w:val="right"/>
          </w:pPr>
        </w:p>
      </w:tc>
    </w:tr>
  </w:tbl>
  <w:p>
    <w:pPr>
      <w:pStyle w:val="Header"/>
      <w:pBdr>
        <w:top w:val="single" w:sz="4" w:space="1" w:color="auto"/>
      </w:pBdr>
    </w:pPr>
    <w:bookmarkStart w:id="15" w:name="Compilation"/>
    <w:bookmarkEnd w:id="15"/>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348"/>
      <w:gridCol w:w="5915"/>
    </w:tblGrid>
    <w:tr>
      <w:trPr>
        <w:cantSplit/>
      </w:trPr>
      <w:tc>
        <w:tcPr>
          <w:tcW w:w="7263" w:type="dxa"/>
          <w:gridSpan w:val="2"/>
        </w:tcPr>
        <w:p>
          <w:pPr>
            <w:pStyle w:val="Header"/>
          </w:pPr>
          <w:r>
            <w:rPr>
              <w:b/>
              <w:i/>
            </w:rPr>
            <w:fldChar w:fldCharType="begin"/>
          </w:r>
          <w:r>
            <w:rPr>
              <w:b/>
              <w:i/>
            </w:rPr>
            <w:instrText xml:space="preserve"> STYLEREF "Name of Act/Reg" </w:instrText>
          </w:r>
          <w:r>
            <w:rPr>
              <w:b/>
              <w:i/>
            </w:rPr>
            <w:fldChar w:fldCharType="separate"/>
          </w:r>
          <w:r>
            <w:rPr>
              <w:b/>
              <w:i/>
            </w:rPr>
            <w:t>Freemasons’ Property Act 1956</w:t>
          </w:r>
          <w:r>
            <w:rPr>
              <w:b/>
              <w:i/>
            </w:rPr>
            <w:fldChar w:fldCharType="end"/>
          </w:r>
        </w:p>
      </w:tc>
    </w:tr>
    <w:tr>
      <w:tc>
        <w:tcPr>
          <w:tcW w:w="1348" w:type="dxa"/>
        </w:tcPr>
        <w:p>
          <w:pPr>
            <w:pStyle w:val="Header"/>
            <w:spacing w:before="40"/>
          </w:pPr>
        </w:p>
      </w:tc>
      <w:tc>
        <w:tcPr>
          <w:tcW w:w="5915" w:type="dxa"/>
        </w:tcPr>
        <w:p>
          <w:pPr>
            <w:pStyle w:val="Header"/>
            <w:spacing w:before="40"/>
          </w:pPr>
        </w:p>
      </w:tc>
    </w:tr>
    <w:tr>
      <w:tc>
        <w:tcPr>
          <w:tcW w:w="1348" w:type="dxa"/>
        </w:tcPr>
        <w:p>
          <w:pPr>
            <w:pStyle w:val="Header"/>
            <w:spacing w:before="40"/>
          </w:pPr>
        </w:p>
      </w:tc>
      <w:tc>
        <w:tcPr>
          <w:tcW w:w="5915" w:type="dxa"/>
        </w:tcPr>
        <w:p>
          <w:pPr>
            <w:pStyle w:val="Header"/>
            <w:spacing w:before="40"/>
          </w:pPr>
        </w:p>
      </w:tc>
    </w:tr>
    <w:tr>
      <w:trPr>
        <w:cantSplit/>
      </w:trPr>
      <w:tc>
        <w:tcPr>
          <w:tcW w:w="7263" w:type="dxa"/>
          <w:gridSpan w:val="2"/>
        </w:tcPr>
        <w:p>
          <w:pPr>
            <w:pStyle w:val="Header"/>
            <w:spacing w:before="40"/>
          </w:pPr>
          <w:r>
            <w:t>Defined terms</w:t>
          </w:r>
        </w:p>
      </w:tc>
    </w:tr>
  </w:tbl>
  <w:p>
    <w:pPr>
      <w:pStyle w:val="Header"/>
      <w:pBdr>
        <w:top w:val="single" w:sz="4" w:space="1" w:color="auto"/>
      </w:pBdr>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884"/>
      <w:gridCol w:w="1379"/>
    </w:tblGrid>
    <w:tr>
      <w:trPr>
        <w:cantSplit/>
      </w:trPr>
      <w:tc>
        <w:tcPr>
          <w:tcW w:w="7263" w:type="dxa"/>
          <w:gridSpan w:val="2"/>
        </w:tcPr>
        <w:p>
          <w:pPr>
            <w:pStyle w:val="Header"/>
            <w:spacing w:before="40"/>
            <w:ind w:right="17"/>
            <w:jc w:val="right"/>
          </w:pPr>
          <w:r>
            <w:rPr>
              <w:b/>
              <w:i/>
            </w:rPr>
            <w:fldChar w:fldCharType="begin"/>
          </w:r>
          <w:r>
            <w:rPr>
              <w:b/>
              <w:i/>
            </w:rPr>
            <w:instrText xml:space="preserve"> STYLEREF "Name of Act/Reg" </w:instrText>
          </w:r>
          <w:r>
            <w:rPr>
              <w:b/>
              <w:i/>
            </w:rPr>
            <w:fldChar w:fldCharType="separate"/>
          </w:r>
          <w:r>
            <w:rPr>
              <w:b/>
              <w:i/>
            </w:rPr>
            <w:t>Freemasons’ Property Act 1956</w:t>
          </w:r>
          <w:r>
            <w:rPr>
              <w:b/>
              <w:i/>
            </w:rPr>
            <w:fldChar w:fldCharType="end"/>
          </w:r>
        </w:p>
      </w:tc>
    </w:tr>
    <w:tr>
      <w:tc>
        <w:tcPr>
          <w:tcW w:w="5884" w:type="dxa"/>
        </w:tcPr>
        <w:p>
          <w:pPr>
            <w:pStyle w:val="Header"/>
            <w:spacing w:before="40"/>
            <w:jc w:val="right"/>
          </w:pPr>
        </w:p>
      </w:tc>
      <w:tc>
        <w:tcPr>
          <w:tcW w:w="1379" w:type="dxa"/>
        </w:tcPr>
        <w:p>
          <w:pPr>
            <w:pStyle w:val="Header"/>
            <w:spacing w:before="40"/>
            <w:ind w:right="17"/>
            <w:jc w:val="right"/>
          </w:pPr>
        </w:p>
      </w:tc>
    </w:tr>
    <w:tr>
      <w:tc>
        <w:tcPr>
          <w:tcW w:w="5884" w:type="dxa"/>
        </w:tcPr>
        <w:p>
          <w:pPr>
            <w:pStyle w:val="Header"/>
            <w:spacing w:before="40"/>
            <w:jc w:val="right"/>
          </w:pPr>
        </w:p>
      </w:tc>
      <w:tc>
        <w:tcPr>
          <w:tcW w:w="1379" w:type="dxa"/>
        </w:tcPr>
        <w:p>
          <w:pPr>
            <w:pStyle w:val="Header"/>
            <w:spacing w:before="40"/>
            <w:ind w:right="17"/>
            <w:jc w:val="right"/>
          </w:pPr>
        </w:p>
      </w:tc>
    </w:tr>
    <w:tr>
      <w:trPr>
        <w:cantSplit/>
      </w:trPr>
      <w:tc>
        <w:tcPr>
          <w:tcW w:w="7263" w:type="dxa"/>
          <w:gridSpan w:val="2"/>
        </w:tcPr>
        <w:p>
          <w:pPr>
            <w:pStyle w:val="Header"/>
            <w:spacing w:before="40"/>
            <w:ind w:right="17"/>
            <w:jc w:val="right"/>
          </w:pPr>
          <w:r>
            <w:t>Defined terms</w:t>
          </w:r>
        </w:p>
      </w:tc>
    </w:tr>
  </w:tbl>
  <w:p>
    <w:pPr>
      <w:pStyle w:val="Header"/>
      <w:pBdr>
        <w:top w:val="single" w:sz="4" w:space="1" w:color="auto"/>
      </w:pBdr>
    </w:pPr>
    <w:bookmarkStart w:id="17" w:name="DefinedTerms"/>
    <w:bookmarkEnd w:id="17"/>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bookmarkStart w:id="18" w:name="Coversheet"/>
    <w:bookmarkEnd w:id="18"/>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bookmarkStart w:id="1" w:name="TitlePage"/>
    <w:bookmarkEnd w:id="1"/>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Freemasons’ Property Act 1956</w:t>
          </w:r>
          <w:r>
            <w:rPr>
              <w:b/>
              <w:i/>
            </w:rPr>
            <w:fldChar w:fldCharType="end"/>
          </w:r>
        </w:p>
      </w:tc>
    </w:tr>
    <w:tr>
      <w:tc>
        <w:tcPr>
          <w:tcW w:w="1548" w:type="dxa"/>
        </w:tcPr>
        <w:p>
          <w:pPr>
            <w:pStyle w:val="Header"/>
            <w:spacing w:before="40"/>
          </w:pPr>
        </w:p>
      </w:tc>
      <w:tc>
        <w:tcPr>
          <w:tcW w:w="5715" w:type="dxa"/>
        </w:tcPr>
        <w:p>
          <w:pPr>
            <w:pStyle w:val="Header"/>
            <w:spacing w:before="40"/>
          </w:pPr>
        </w:p>
      </w:tc>
    </w:tr>
    <w:tr>
      <w:tc>
        <w:tcPr>
          <w:tcW w:w="1548" w:type="dxa"/>
        </w:tcPr>
        <w:p>
          <w:pPr>
            <w:pStyle w:val="Header"/>
            <w:spacing w:before="40"/>
          </w:pPr>
        </w:p>
      </w:tc>
      <w:tc>
        <w:tcPr>
          <w:tcW w:w="5715" w:type="dxa"/>
        </w:tcPr>
        <w:p>
          <w:pPr>
            <w:pStyle w:val="Header"/>
            <w:spacing w:before="40"/>
          </w:pPr>
        </w:p>
      </w:tc>
    </w:tr>
    <w:tr>
      <w:trPr>
        <w:cantSplit/>
      </w:trPr>
      <w:tc>
        <w:tcPr>
          <w:tcW w:w="7258" w:type="dxa"/>
          <w:gridSpan w:val="2"/>
        </w:tcPr>
        <w:p>
          <w:pPr>
            <w:pStyle w:val="Header"/>
            <w:spacing w:before="40"/>
          </w:pPr>
          <w:r>
            <w:t>Contents</w:t>
          </w:r>
        </w:p>
      </w:tc>
    </w:tr>
  </w:tbl>
  <w:p>
    <w:pPr>
      <w:pStyle w:val="Header"/>
      <w:pBdr>
        <w:top w:val="single" w:sz="4" w:space="1" w:color="auto"/>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Freemasons’ Property Act 1956</w:t>
          </w:r>
          <w:r>
            <w:rPr>
              <w:b/>
              <w:i/>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r>
      <w:tc>
        <w:tcPr>
          <w:tcW w:w="5715" w:type="dxa"/>
        </w:tcPr>
        <w:p>
          <w:pPr>
            <w:pStyle w:val="Header"/>
            <w:spacing w:before="40"/>
            <w:jc w:val="right"/>
          </w:pPr>
        </w:p>
      </w:tc>
      <w:tc>
        <w:tcPr>
          <w:tcW w:w="1548" w:type="dxa"/>
        </w:tcPr>
        <w:p>
          <w:pPr>
            <w:pStyle w:val="Header"/>
            <w:spacing w:before="40"/>
            <w:ind w:right="17"/>
            <w:jc w:val="right"/>
          </w:pPr>
        </w:p>
      </w:tc>
    </w:tr>
    <w:tr>
      <w:trPr>
        <w:cantSplit/>
      </w:trPr>
      <w:tc>
        <w:tcPr>
          <w:tcW w:w="7258" w:type="dxa"/>
          <w:gridSpan w:val="2"/>
        </w:tcPr>
        <w:p>
          <w:pPr>
            <w:pStyle w:val="Header"/>
            <w:spacing w:before="40"/>
            <w:ind w:right="17"/>
            <w:jc w:val="right"/>
          </w:pPr>
          <w:r>
            <w:t>Contents</w:t>
          </w:r>
        </w:p>
      </w:tc>
    </w:tr>
  </w:tbl>
  <w:p>
    <w:pPr>
      <w:pStyle w:val="Header"/>
      <w:pBdr>
        <w:top w:val="single" w:sz="4" w:space="1" w:color="auto"/>
      </w:pBdr>
    </w:pPr>
    <w:bookmarkStart w:id="2" w:name="TOC"/>
    <w:bookmarkEnd w:id="2"/>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Freemasons’ Property Act 1956</w:t>
          </w:r>
          <w:r>
            <w:rPr>
              <w:b/>
              <w:i/>
            </w:rPr>
            <w:fldChar w:fldCharType="end"/>
          </w:r>
        </w:p>
      </w:tc>
    </w:tr>
    <w:tr>
      <w:tc>
        <w:tcPr>
          <w:tcW w:w="1548" w:type="dxa"/>
        </w:tcPr>
        <w:p>
          <w:pPr>
            <w:pStyle w:val="Header"/>
            <w:spacing w:before="40"/>
          </w:pPr>
          <w:r>
            <w:rPr>
              <w:b/>
            </w:rPr>
            <w:fldChar w:fldCharType="begin"/>
          </w:r>
          <w:r>
            <w:rPr>
              <w:b/>
            </w:rPr>
            <w:instrText xml:space="preserve"> styleref CharPartNo </w:instrText>
          </w:r>
          <w:r>
            <w:rPr>
              <w:b/>
            </w:rPr>
            <w:fldChar w:fldCharType="end"/>
          </w:r>
        </w:p>
      </w:tc>
      <w:tc>
        <w:tcPr>
          <w:tcW w:w="5715" w:type="dxa"/>
        </w:tcPr>
        <w:p>
          <w:pPr>
            <w:pStyle w:val="Header"/>
            <w:spacing w:before="40"/>
          </w:pPr>
          <w:r>
            <w:fldChar w:fldCharType="begin"/>
          </w:r>
          <w:r>
            <w:instrText xml:space="preserve"> styleref CharPartText </w:instrText>
          </w:r>
          <w:r>
            <w:fldChar w:fldCharType="end"/>
          </w:r>
        </w:p>
      </w:tc>
    </w:tr>
    <w:tr>
      <w:tc>
        <w:tcPr>
          <w:tcW w:w="1548" w:type="dxa"/>
        </w:tcPr>
        <w:p>
          <w:pPr>
            <w:pStyle w:val="Header"/>
            <w:spacing w:before="40"/>
          </w:pPr>
          <w:r>
            <w:rPr>
              <w:b/>
            </w:rPr>
            <w:fldChar w:fldCharType="begin"/>
          </w:r>
          <w:r>
            <w:rPr>
              <w:b/>
            </w:rPr>
            <w:instrText xml:space="preserve"> styleref CharDivNo </w:instrText>
          </w:r>
          <w:r>
            <w:rPr>
              <w:b/>
            </w:rPr>
            <w:fldChar w:fldCharType="end"/>
          </w:r>
        </w:p>
      </w:tc>
      <w:tc>
        <w:tcPr>
          <w:tcW w:w="5715" w:type="dxa"/>
        </w:tcPr>
        <w:p>
          <w:pPr>
            <w:pStyle w:val="Header"/>
            <w:spacing w:before="40"/>
          </w:pPr>
          <w:r>
            <w:fldChar w:fldCharType="begin"/>
          </w:r>
          <w:r>
            <w:instrText xml:space="preserve"> styleref CharDivText </w:instrText>
          </w:r>
          <w:r>
            <w:fldChar w:fldCharType="end"/>
          </w:r>
        </w:p>
      </w:tc>
    </w:tr>
    <w:tr>
      <w:trPr>
        <w:cantSplit/>
      </w:trPr>
      <w:tc>
        <w:tcPr>
          <w:tcW w:w="7258" w:type="dxa"/>
          <w:gridSpan w:val="2"/>
        </w:tcPr>
        <w:p>
          <w:pPr>
            <w:pStyle w:val="Header"/>
            <w:spacing w:before="40"/>
          </w:pPr>
          <w:r>
            <w:rPr>
              <w:b/>
            </w:rPr>
            <w:t xml:space="preserve">s. </w:t>
          </w:r>
          <w:r>
            <w:rPr>
              <w:b/>
            </w:rPr>
            <w:fldChar w:fldCharType="begin"/>
          </w:r>
          <w:r>
            <w:rPr>
              <w:b/>
            </w:rPr>
            <w:instrText xml:space="preserve"> styleref CharSectno </w:instrText>
          </w:r>
          <w:r>
            <w:rPr>
              <w:b/>
            </w:rPr>
            <w:fldChar w:fldCharType="separate"/>
          </w:r>
          <w:r>
            <w:rPr>
              <w:b/>
            </w:rPr>
            <w:t>1</w:t>
          </w:r>
          <w:r>
            <w:rPr>
              <w:b/>
            </w:rPr>
            <w:fldChar w:fldCharType="end"/>
          </w:r>
        </w:p>
      </w:tc>
    </w:tr>
  </w:tbl>
  <w:p>
    <w:pPr>
      <w:pStyle w:val="Header"/>
      <w:pBdr>
        <w:top w:val="single" w:sz="4" w:space="1" w:color="auto"/>
      </w:pBd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Freemasons’ Property Act 1956</w:t>
          </w:r>
          <w:r>
            <w:rPr>
              <w:b/>
              <w:i/>
            </w:rPr>
            <w:fldChar w:fldCharType="end"/>
          </w:r>
        </w:p>
      </w:tc>
    </w:tr>
    <w:tr>
      <w:tc>
        <w:tcPr>
          <w:tcW w:w="5715" w:type="dxa"/>
        </w:tcPr>
        <w:p>
          <w:pPr>
            <w:pStyle w:val="Header"/>
            <w:spacing w:before="40"/>
            <w:jc w:val="right"/>
          </w:pPr>
          <w:r>
            <w:fldChar w:fldCharType="begin"/>
          </w:r>
          <w:r>
            <w:instrText xml:space="preserve"> styleref CharPartText </w:instrText>
          </w:r>
          <w:r>
            <w:fldChar w:fldCharType="end"/>
          </w:r>
        </w:p>
      </w:tc>
      <w:tc>
        <w:tcPr>
          <w:tcW w:w="1548" w:type="dxa"/>
        </w:tcPr>
        <w:p>
          <w:pPr>
            <w:pStyle w:val="Header"/>
            <w:spacing w:before="40"/>
            <w:ind w:right="17"/>
            <w:jc w:val="right"/>
          </w:pPr>
          <w:r>
            <w:rPr>
              <w:b/>
            </w:rPr>
            <w:fldChar w:fldCharType="begin"/>
          </w:r>
          <w:r>
            <w:rPr>
              <w:b/>
            </w:rPr>
            <w:instrText xml:space="preserve"> styleref CharPartNo </w:instrText>
          </w:r>
          <w:r>
            <w:rPr>
              <w:b/>
            </w:rPr>
            <w:fldChar w:fldCharType="end"/>
          </w:r>
        </w:p>
      </w:tc>
    </w:tr>
    <w:tr>
      <w:tc>
        <w:tcPr>
          <w:tcW w:w="5715" w:type="dxa"/>
        </w:tcPr>
        <w:p>
          <w:pPr>
            <w:pStyle w:val="Header"/>
            <w:spacing w:before="40"/>
            <w:jc w:val="right"/>
          </w:pPr>
          <w:r>
            <w:fldChar w:fldCharType="begin"/>
          </w:r>
          <w:r>
            <w:instrText xml:space="preserve"> styleref CharDivText </w:instrText>
          </w:r>
          <w:r>
            <w:fldChar w:fldCharType="end"/>
          </w:r>
        </w:p>
      </w:tc>
      <w:tc>
        <w:tcPr>
          <w:tcW w:w="1548" w:type="dxa"/>
        </w:tcPr>
        <w:p>
          <w:pPr>
            <w:pStyle w:val="Header"/>
            <w:spacing w:before="40"/>
            <w:ind w:right="17"/>
            <w:jc w:val="right"/>
          </w:pPr>
          <w:r>
            <w:rPr>
              <w:b/>
            </w:rPr>
            <w:fldChar w:fldCharType="begin"/>
          </w:r>
          <w:r>
            <w:rPr>
              <w:b/>
            </w:rPr>
            <w:instrText xml:space="preserve"> styleref CharDivNo </w:instrText>
          </w:r>
          <w:r>
            <w:rPr>
              <w:b/>
            </w:rPr>
            <w:fldChar w:fldCharType="end"/>
          </w:r>
        </w:p>
      </w:tc>
    </w:tr>
    <w:tr>
      <w:trPr>
        <w:cantSplit/>
      </w:trPr>
      <w:tc>
        <w:tcPr>
          <w:tcW w:w="7258" w:type="dxa"/>
          <w:gridSpan w:val="2"/>
        </w:tcPr>
        <w:p>
          <w:pPr>
            <w:pStyle w:val="Header"/>
            <w:spacing w:before="40"/>
            <w:ind w:right="17"/>
            <w:jc w:val="right"/>
          </w:pPr>
          <w:r>
            <w:rPr>
              <w:b/>
            </w:rPr>
            <w:t xml:space="preserve">s. </w:t>
          </w:r>
          <w:r>
            <w:rPr>
              <w:b/>
            </w:rPr>
            <w:fldChar w:fldCharType="begin"/>
          </w:r>
          <w:r>
            <w:rPr>
              <w:b/>
            </w:rPr>
            <w:instrText xml:space="preserve"> styleref CharSectno </w:instrText>
          </w:r>
          <w:r>
            <w:rPr>
              <w:b/>
            </w:rPr>
            <w:fldChar w:fldCharType="separate"/>
          </w:r>
          <w:r>
            <w:rPr>
              <w:b/>
            </w:rPr>
            <w:t>1</w:t>
          </w:r>
          <w:r>
            <w:rPr>
              <w:b/>
            </w:rPr>
            <w:fldChar w:fldCharType="end"/>
          </w:r>
        </w:p>
      </w:tc>
    </w:tr>
  </w:tbl>
  <w:p>
    <w:pPr>
      <w:pStyle w:val="Header"/>
      <w:pBdr>
        <w:top w:val="single" w:sz="4" w:space="1" w:color="auto"/>
      </w:pBd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71FE9080"/>
    <w:lvl w:ilvl="0">
      <w:start w:val="1"/>
      <w:numFmt w:val="decimal"/>
      <w:lvlText w:val="%1."/>
      <w:lvlJc w:val="left"/>
      <w:pPr>
        <w:tabs>
          <w:tab w:val="num" w:pos="1800"/>
        </w:tabs>
        <w:ind w:left="1800" w:hanging="360"/>
      </w:pPr>
    </w:lvl>
  </w:abstractNum>
  <w:abstractNum w:abstractNumId="1">
    <w:nsid w:val="FFFFFF7D"/>
    <w:multiLevelType w:val="singleLevel"/>
    <w:tmpl w:val="43CA18F2"/>
    <w:lvl w:ilvl="0">
      <w:start w:val="1"/>
      <w:numFmt w:val="decimal"/>
      <w:lvlText w:val="%1."/>
      <w:lvlJc w:val="left"/>
      <w:pPr>
        <w:tabs>
          <w:tab w:val="num" w:pos="1440"/>
        </w:tabs>
        <w:ind w:left="1440" w:hanging="360"/>
      </w:pPr>
    </w:lvl>
  </w:abstractNum>
  <w:abstractNum w:abstractNumId="2">
    <w:nsid w:val="FFFFFF7E"/>
    <w:multiLevelType w:val="singleLevel"/>
    <w:tmpl w:val="A4164DE8"/>
    <w:lvl w:ilvl="0">
      <w:start w:val="1"/>
      <w:numFmt w:val="decimal"/>
      <w:lvlText w:val="%1."/>
      <w:lvlJc w:val="left"/>
      <w:pPr>
        <w:tabs>
          <w:tab w:val="num" w:pos="1080"/>
        </w:tabs>
        <w:ind w:left="1080" w:hanging="360"/>
      </w:pPr>
    </w:lvl>
  </w:abstractNum>
  <w:abstractNum w:abstractNumId="3">
    <w:nsid w:val="FFFFFF7F"/>
    <w:multiLevelType w:val="singleLevel"/>
    <w:tmpl w:val="97869DE4"/>
    <w:lvl w:ilvl="0">
      <w:start w:val="1"/>
      <w:numFmt w:val="decimal"/>
      <w:lvlText w:val="%1."/>
      <w:lvlJc w:val="left"/>
      <w:pPr>
        <w:tabs>
          <w:tab w:val="num" w:pos="720"/>
        </w:tabs>
        <w:ind w:left="720" w:hanging="360"/>
      </w:pPr>
    </w:lvl>
  </w:abstractNum>
  <w:abstractNum w:abstractNumId="4">
    <w:nsid w:val="FFFFFF80"/>
    <w:multiLevelType w:val="singleLevel"/>
    <w:tmpl w:val="F896259A"/>
    <w:lvl w:ilvl="0">
      <w:start w:val="1"/>
      <w:numFmt w:val="bullet"/>
      <w:lvlText w:val=""/>
      <w:lvlJc w:val="left"/>
      <w:pPr>
        <w:tabs>
          <w:tab w:val="num" w:pos="1800"/>
        </w:tabs>
        <w:ind w:left="1800" w:hanging="360"/>
      </w:pPr>
      <w:rPr>
        <w:rFonts w:ascii="Symbol" w:hAnsi="Symbol" w:hint="default"/>
      </w:rPr>
    </w:lvl>
  </w:abstractNum>
  <w:abstractNum w:abstractNumId="5">
    <w:nsid w:val="FFFFFF81"/>
    <w:multiLevelType w:val="singleLevel"/>
    <w:tmpl w:val="60C01DD6"/>
    <w:lvl w:ilvl="0">
      <w:start w:val="1"/>
      <w:numFmt w:val="bullet"/>
      <w:lvlText w:val=""/>
      <w:lvlJc w:val="left"/>
      <w:pPr>
        <w:tabs>
          <w:tab w:val="num" w:pos="1440"/>
        </w:tabs>
        <w:ind w:left="1440" w:hanging="360"/>
      </w:pPr>
      <w:rPr>
        <w:rFonts w:ascii="Symbol" w:hAnsi="Symbol" w:hint="default"/>
      </w:rPr>
    </w:lvl>
  </w:abstractNum>
  <w:abstractNum w:abstractNumId="6">
    <w:nsid w:val="FFFFFF82"/>
    <w:multiLevelType w:val="singleLevel"/>
    <w:tmpl w:val="C9B255AE"/>
    <w:lvl w:ilvl="0">
      <w:start w:val="1"/>
      <w:numFmt w:val="bullet"/>
      <w:lvlText w:val=""/>
      <w:lvlJc w:val="left"/>
      <w:pPr>
        <w:tabs>
          <w:tab w:val="num" w:pos="1080"/>
        </w:tabs>
        <w:ind w:left="1080" w:hanging="360"/>
      </w:pPr>
      <w:rPr>
        <w:rFonts w:ascii="Symbol" w:hAnsi="Symbol" w:hint="default"/>
      </w:rPr>
    </w:lvl>
  </w:abstractNum>
  <w:abstractNum w:abstractNumId="7">
    <w:nsid w:val="FFFFFF83"/>
    <w:multiLevelType w:val="singleLevel"/>
    <w:tmpl w:val="42F2941E"/>
    <w:lvl w:ilvl="0">
      <w:start w:val="1"/>
      <w:numFmt w:val="bullet"/>
      <w:lvlText w:val=""/>
      <w:lvlJc w:val="left"/>
      <w:pPr>
        <w:tabs>
          <w:tab w:val="num" w:pos="720"/>
        </w:tabs>
        <w:ind w:left="720" w:hanging="360"/>
      </w:pPr>
      <w:rPr>
        <w:rFonts w:ascii="Symbol" w:hAnsi="Symbol" w:hint="default"/>
      </w:rPr>
    </w:lvl>
  </w:abstractNum>
  <w:abstractNum w:abstractNumId="8">
    <w:nsid w:val="FFFFFF88"/>
    <w:multiLevelType w:val="singleLevel"/>
    <w:tmpl w:val="CECAAD22"/>
    <w:lvl w:ilvl="0">
      <w:start w:val="1"/>
      <w:numFmt w:val="decimal"/>
      <w:lvlText w:val="%1."/>
      <w:lvlJc w:val="left"/>
      <w:pPr>
        <w:tabs>
          <w:tab w:val="num" w:pos="360"/>
        </w:tabs>
        <w:ind w:left="360" w:hanging="360"/>
      </w:pPr>
    </w:lvl>
  </w:abstractNum>
  <w:abstractNum w:abstractNumId="9">
    <w:nsid w:val="FFFFFF89"/>
    <w:multiLevelType w:val="singleLevel"/>
    <w:tmpl w:val="955A0B00"/>
    <w:lvl w:ilvl="0">
      <w:start w:val="1"/>
      <w:numFmt w:val="bullet"/>
      <w:lvlText w:val=""/>
      <w:lvlJc w:val="left"/>
      <w:pPr>
        <w:tabs>
          <w:tab w:val="num" w:pos="360"/>
        </w:tabs>
        <w:ind w:left="360" w:hanging="360"/>
      </w:pPr>
      <w:rPr>
        <w:rFonts w:ascii="Symbol" w:hAnsi="Symbol" w:hint="default"/>
      </w:rPr>
    </w:lvl>
  </w:abstractNum>
  <w:abstractNum w:abstractNumId="10">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1">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2">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3">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4">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5">
    <w:nsid w:val="3C2808C0"/>
    <w:multiLevelType w:val="singleLevel"/>
    <w:tmpl w:val="BDD2BB06"/>
    <w:lvl w:ilvl="0">
      <w:start w:val="1"/>
      <w:numFmt w:val="bullet"/>
      <w:lvlText w:val=""/>
      <w:lvlJc w:val="left"/>
      <w:pPr>
        <w:tabs>
          <w:tab w:val="num" w:pos="1446"/>
        </w:tabs>
        <w:ind w:left="1446" w:hanging="567"/>
      </w:pPr>
      <w:rPr>
        <w:rFonts w:ascii="Symbol" w:hAnsi="Symbol" w:hint="default"/>
      </w:rPr>
    </w:lvl>
  </w:abstractNum>
  <w:abstractNum w:abstractNumId="16">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7">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8">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9">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0">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bordersDoNotSurroundHeader/>
  <w:bordersDoNotSurroundFooter/>
  <w:hideSpellingErrors/>
  <w:revisionView w:formatting="0"/>
  <w:defaultTabStop w:val="720"/>
  <w:doNotHyphenateCaps/>
  <w:evenAndOddHeaders/>
  <w:drawingGridHorizontalSpacing w:val="120"/>
  <w:drawingGridVerticalSpacing w:val="163"/>
  <w:displayHorizontalDrawingGridEvery w:val="0"/>
  <w:displayVerticalDrawingGridEvery w:val="0"/>
  <w:doNotShadeFormData/>
  <w:noPunctuationKerning/>
  <w:characterSpacingControl w:val="doNotCompress"/>
  <w:hdrShapeDefaults>
    <o:shapedefaults v:ext="edit" spidmax="1126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WAFER" w:val="20151105100628"/>
    <w:docVar w:name="WAFER_20140123151801" w:val="RemoveTocBookmarks,RemoveUnusedBookmarks,RemoveLanguageTags,UsedStyles,ResetPageSize,UpdateArrangement"/>
    <w:docVar w:name="WAFER_20140123151801_GUID" w:val="8dbb758c-cab0-46a6-9f0c-566df4a26161"/>
    <w:docVar w:name="WAFER_20140123152102" w:val="RemoveTocBookmarks,RunningHeaders"/>
    <w:docVar w:name="WAFER_20140123152102_GUID" w:val="46845640-9d45-4146-9acc-ae24ac646336"/>
    <w:docVar w:name="WAFER_20150331161150" w:val="ResetPageSize,UpdateArrangement,UpdateNTable"/>
    <w:docVar w:name="WAFER_20150331161150_GUID" w:val="360a849b-e342-4445-9057-e851c9cab9b0"/>
    <w:docVar w:name="WAFER_20151105100628" w:val="UpdateStyles,UsedStyles"/>
    <w:docVar w:name="WAFER_20151105100628_GUID" w:val="475877b9-0de7-4296-8ed1-e30b5a8de2bc"/>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126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0"/>
    <w:lsdException w:name="toc 2" w:uiPriority="39"/>
    <w:lsdException w:name="toc 3" w:uiPriority="0"/>
    <w:lsdException w:name="toc 4" w:uiPriority="0"/>
    <w:lsdException w:name="toc 5" w:uiPriority="0"/>
    <w:lsdException w:name="toc 6" w:uiPriority="0"/>
    <w:lsdException w:name="toc 7" w:uiPriority="0"/>
    <w:lsdException w:name="toc 8" w:uiPriority="39"/>
    <w:lsdException w:name="toc 9" w:uiPriority="0"/>
    <w:lsdException w:name="header" w:uiPriority="0"/>
    <w:lsdException w:name="footer" w:uiPriority="0"/>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Note Heading"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basedOn w:val="Heading1"/>
    <w:next w:val="Normal"/>
    <w:qFormat/>
    <w:pPr>
      <w:outlineLvl w:val="5"/>
    </w:pPr>
    <w:rPr>
      <w:sz w:val="36"/>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spacing w:before="240"/>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pPr>
      <w:tabs>
        <w:tab w:val="right" w:pos="3459"/>
      </w:tabs>
      <w:spacing w:before="80"/>
      <w:ind w:left="3686" w:right="284" w:hanging="3119"/>
    </w:pPr>
    <w:rPr>
      <w:snapToGrid w:val="0"/>
      <w:sz w:val="22"/>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rPr>
  </w:style>
  <w:style w:type="paragraph" w:customStyle="1" w:styleId="Defpara">
    <w:name w:val="Defpara"/>
    <w:pPr>
      <w:tabs>
        <w:tab w:val="right" w:pos="1332"/>
      </w:tabs>
      <w:spacing w:before="80" w:line="260" w:lineRule="atLeast"/>
      <w:ind w:left="1616" w:hanging="1616"/>
    </w:pPr>
    <w:rPr>
      <w:snapToGrid w:val="0"/>
      <w:sz w:val="24"/>
    </w:rPr>
  </w:style>
  <w:style w:type="paragraph" w:styleId="Footer">
    <w:name w:val="footer"/>
    <w:basedOn w:val="Normal"/>
    <w:rPr>
      <w:rFonts w:ascii="Arial" w:hAnsi="Arial"/>
    </w:rPr>
  </w:style>
  <w:style w:type="paragraph" w:styleId="Header">
    <w:name w:val="header"/>
    <w:rPr>
      <w:rFonts w:ascii="Arial" w:hAnsi="Arial"/>
      <w:noProof/>
    </w:rPr>
  </w:style>
  <w:style w:type="paragraph" w:customStyle="1" w:styleId="Ednotesection">
    <w:name w:val="Ednote(section)"/>
    <w:pPr>
      <w:tabs>
        <w:tab w:val="right" w:pos="605"/>
        <w:tab w:val="left" w:pos="893"/>
      </w:tabs>
      <w:spacing w:before="220" w:line="260" w:lineRule="atLeast"/>
      <w:ind w:left="893" w:hanging="893"/>
      <w:outlineLvl w:val="4"/>
    </w:pPr>
    <w:rPr>
      <w:i/>
      <w:snapToGrid w:val="0"/>
      <w:sz w:val="24"/>
    </w:rPr>
  </w:style>
  <w:style w:type="character" w:styleId="LineNumber">
    <w:name w:val="line number"/>
    <w:basedOn w:val="DefaultParagraphFont"/>
    <w:semiHidden/>
    <w:rPr>
      <w:rFonts w:ascii="Times" w:hAnsi="Times"/>
      <w:sz w:val="18"/>
    </w:rPr>
  </w:style>
  <w:style w:type="paragraph" w:customStyle="1" w:styleId="zPenstart">
    <w:name w:val="zPenstart"/>
    <w:basedOn w:val="Penstart"/>
    <w:pPr>
      <w:shd w:val="clear" w:color="808080" w:fill="auto"/>
      <w:tabs>
        <w:tab w:val="clear" w:pos="879"/>
        <w:tab w:val="left" w:pos="1446"/>
      </w:tabs>
      <w:ind w:left="2155"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sz w:val="24"/>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4">
    <w:name w:val="toc 4"/>
    <w:next w:val="Normal"/>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customStyle="1" w:styleId="Defstart">
    <w:name w:val="Defstart"/>
    <w:pPr>
      <w:spacing w:before="80" w:line="260" w:lineRule="atLeast"/>
      <w:ind w:left="879" w:hanging="879"/>
    </w:pPr>
    <w:rPr>
      <w:snapToGrid w:val="0"/>
      <w:sz w:val="24"/>
    </w:rPr>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styleId="EndnoteReference">
    <w:name w:val="endnote reference"/>
    <w:basedOn w:val="DefaultParagraphFont"/>
    <w:semiHidden/>
    <w:rPr>
      <w:sz w:val="24"/>
      <w:vertAlign w:val="superscript"/>
    </w:rPr>
  </w:style>
  <w:style w:type="paragraph" w:styleId="BodyText">
    <w:name w:val="Body Text"/>
    <w:basedOn w:val="Normal"/>
    <w:semiHidden/>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Subsection"/>
    <w:pPr>
      <w:shd w:val="clear" w:color="808080" w:fill="auto"/>
      <w:tabs>
        <w:tab w:val="clear" w:pos="595"/>
        <w:tab w:val="clear" w:pos="879"/>
        <w:tab w:val="right" w:pos="1162"/>
        <w:tab w:val="left" w:pos="1446"/>
      </w:tabs>
      <w:ind w:left="1446" w:right="284" w:hanging="851"/>
    </w:pPr>
  </w:style>
  <w:style w:type="character" w:styleId="Hyperlink">
    <w:name w:val="Hyperlink"/>
    <w:basedOn w:val="DefaultParagraphFont"/>
    <w:semiHidden/>
    <w:rPr>
      <w:color w:val="0000FF"/>
      <w:sz w:val="24"/>
      <w:u w:val="single"/>
    </w:rPr>
  </w:style>
  <w:style w:type="character" w:styleId="FollowedHyperlink">
    <w:name w:val="FollowedHyperlink"/>
    <w:basedOn w:val="DefaultParagraphFont"/>
    <w:semiHidden/>
    <w:rPr>
      <w:color w:val="800080"/>
      <w:sz w:val="24"/>
      <w:u w:val="single"/>
    </w:rPr>
  </w:style>
  <w:style w:type="paragraph" w:customStyle="1" w:styleId="AssentNote">
    <w:name w:val="Assent Note"/>
    <w:pPr>
      <w:keepLines/>
      <w:spacing w:before="160" w:after="240"/>
      <w:jc w:val="right"/>
    </w:pPr>
    <w:rPr>
      <w:i/>
      <w:snapToGrid w:val="0"/>
      <w:sz w:val="24"/>
    </w:rPr>
  </w:style>
  <w:style w:type="paragraph" w:customStyle="1" w:styleId="Enactment">
    <w:name w:val="Enactment"/>
    <w:pPr>
      <w:spacing w:before="800"/>
    </w:pPr>
    <w:rPr>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styleId="FootnoteText">
    <w:name w:val="footnote text"/>
    <w:basedOn w:val="Normal"/>
    <w:semiHidden/>
  </w:style>
  <w:style w:type="paragraph" w:customStyle="1" w:styleId="LongTitle">
    <w:name w:val="Long Title"/>
    <w:rPr>
      <w:b/>
      <w:sz w:val="24"/>
    </w:rPr>
  </w:style>
  <w:style w:type="paragraph" w:styleId="Signature">
    <w:name w:val="Signature"/>
    <w:basedOn w:val="Normal"/>
    <w:semiHidden/>
    <w:pPr>
      <w:ind w:left="4252"/>
    </w:pPr>
  </w:style>
  <w:style w:type="paragraph" w:styleId="List">
    <w:name w:val="List"/>
    <w:basedOn w:val="Normal"/>
    <w:semiHidden/>
    <w:pPr>
      <w:ind w:left="283" w:hanging="283"/>
    </w:p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character" w:customStyle="1" w:styleId="CharChapNo">
    <w:name w:val="CharChapNo"/>
    <w:rPr>
      <w:noProof w:val="0"/>
    </w:rPr>
  </w:style>
  <w:style w:type="paragraph" w:customStyle="1" w:styleId="Ednotesubpara">
    <w:name w:val="Ednote(subpara)"/>
    <w:pPr>
      <w:tabs>
        <w:tab w:val="right" w:pos="2047"/>
        <w:tab w:val="left" w:pos="2333"/>
      </w:tabs>
      <w:spacing w:before="160" w:line="260" w:lineRule="atLeast"/>
      <w:ind w:left="2333" w:hanging="2333"/>
    </w:pPr>
    <w:rPr>
      <w:sz w:val="24"/>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Footnoteheading">
    <w:name w:val="Footnote(heading)"/>
    <w:pPr>
      <w:spacing w:before="160" w:line="260" w:lineRule="atLeast"/>
      <w:jc w:val="center"/>
    </w:pPr>
    <w:rPr>
      <w:i/>
      <w:sz w:val="24"/>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Sectno">
    <w:name w:val="CharSectno"/>
    <w:rPr>
      <w:noProof w:val="0"/>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rPr>
  </w:style>
  <w:style w:type="paragraph" w:customStyle="1" w:styleId="Ednoteitem">
    <w:name w:val="Ednote(item)"/>
    <w:pPr>
      <w:tabs>
        <w:tab w:val="right" w:pos="2765"/>
        <w:tab w:val="left" w:pos="3053"/>
      </w:tabs>
      <w:spacing w:before="120" w:line="260" w:lineRule="atLeast"/>
      <w:ind w:left="3053" w:hanging="3053"/>
    </w:pPr>
    <w:rPr>
      <w:sz w:val="24"/>
    </w:rPr>
  </w:style>
  <w:style w:type="paragraph" w:customStyle="1" w:styleId="zHeading1">
    <w:name w:val="zHeading 1"/>
    <w:basedOn w:val="Heading1"/>
    <w:pPr>
      <w:shd w:val="clear" w:color="808080" w:fill="auto"/>
      <w:ind w:left="567" w:right="284"/>
      <w:outlineLvl w:val="9"/>
    </w:pPr>
  </w:style>
  <w:style w:type="paragraph" w:customStyle="1" w:styleId="zHeading2">
    <w:name w:val="zHeading 2"/>
    <w:basedOn w:val="Heading2"/>
    <w:pPr>
      <w:pageBreakBefore w:val="0"/>
      <w:shd w:val="clear" w:color="808080" w:fill="auto"/>
      <w:spacing w:before="240"/>
      <w:ind w:left="567" w:right="284"/>
      <w:outlineLvl w:val="9"/>
    </w:pPr>
  </w:style>
  <w:style w:type="paragraph" w:customStyle="1" w:styleId="zHeading3">
    <w:name w:val="zHeading 3"/>
    <w:basedOn w:val="Heading3"/>
    <w:pPr>
      <w:shd w:val="clear" w:color="808080" w:fill="auto"/>
      <w:ind w:left="567" w:right="284"/>
      <w:outlineLvl w:val="9"/>
    </w:pPr>
  </w:style>
  <w:style w:type="paragraph" w:customStyle="1" w:styleId="zHeading4">
    <w:name w:val="zHeading 4"/>
    <w:basedOn w:val="Heading4"/>
    <w:pPr>
      <w:shd w:val="clear" w:color="808080" w:fill="auto"/>
      <w:ind w:left="567" w:right="284"/>
      <w:outlineLvl w:val="9"/>
    </w:pPr>
  </w:style>
  <w:style w:type="paragraph" w:customStyle="1" w:styleId="zHeading5">
    <w:name w:val="zHeading 5"/>
    <w:basedOn w:val="Heading5"/>
    <w:pPr>
      <w:shd w:val="clear" w:color="808080" w:fill="auto"/>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160" w:line="260" w:lineRule="atLeast"/>
      <w:ind w:left="3773" w:hanging="3773"/>
    </w:pPr>
    <w:rPr>
      <w:sz w:val="24"/>
    </w:rPr>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enitem">
    <w:name w:val="Penitem"/>
    <w:pPr>
      <w:tabs>
        <w:tab w:val="right" w:pos="3119"/>
        <w:tab w:val="left" w:pos="3402"/>
      </w:tabs>
      <w:spacing w:before="80" w:line="260" w:lineRule="atLeast"/>
      <w:ind w:left="3402" w:hanging="3402"/>
    </w:pPr>
    <w:rPr>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Indenta"/>
    <w:pPr>
      <w:shd w:val="clear" w:color="808080" w:fill="auto"/>
      <w:tabs>
        <w:tab w:val="clear" w:pos="1332"/>
        <w:tab w:val="clear" w:pos="1616"/>
        <w:tab w:val="right" w:pos="1899"/>
        <w:tab w:val="left" w:pos="2183"/>
      </w:tabs>
      <w:ind w:left="2183" w:right="284" w:hanging="851"/>
    </w:pPr>
  </w:style>
  <w:style w:type="paragraph" w:customStyle="1" w:styleId="zIndentA0">
    <w:name w:val="zIndent(A)"/>
    <w:basedOn w:val="IndentA0"/>
    <w:pPr>
      <w:shd w:val="clear" w:color="808080" w:fill="auto"/>
      <w:tabs>
        <w:tab w:val="clear" w:pos="3686"/>
        <w:tab w:val="clear" w:pos="3969"/>
        <w:tab w:val="right" w:pos="4253"/>
        <w:tab w:val="left" w:pos="4536"/>
      </w:tabs>
      <w:ind w:left="4537" w:right="284" w:hanging="851"/>
    </w:pPr>
  </w:style>
  <w:style w:type="paragraph" w:customStyle="1" w:styleId="zIndenti">
    <w:name w:val="zIndent(i)"/>
    <w:basedOn w:val="Indenti"/>
    <w:pPr>
      <w:shd w:val="clear" w:color="808080" w:fill="auto"/>
      <w:tabs>
        <w:tab w:val="clear" w:pos="2041"/>
        <w:tab w:val="clear" w:pos="2325"/>
        <w:tab w:val="right" w:pos="2608"/>
        <w:tab w:val="left" w:pos="2892"/>
      </w:tabs>
      <w:ind w:left="2892" w:right="284" w:hanging="851"/>
    </w:pPr>
  </w:style>
  <w:style w:type="paragraph" w:customStyle="1" w:styleId="zIndentI0">
    <w:name w:val="zIndent(I)"/>
    <w:basedOn w:val="IndentI0"/>
    <w:pPr>
      <w:shd w:val="clear" w:color="808080" w:fill="auto"/>
      <w:tabs>
        <w:tab w:val="clear" w:pos="2892"/>
        <w:tab w:val="clear" w:pos="3204"/>
        <w:tab w:val="right" w:pos="3459"/>
        <w:tab w:val="left" w:pos="3771"/>
      </w:tabs>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Penpara"/>
    <w:pPr>
      <w:shd w:val="clear" w:color="808080" w:fill="auto"/>
      <w:tabs>
        <w:tab w:val="clear" w:pos="1616"/>
        <w:tab w:val="right" w:pos="1899"/>
        <w:tab w:val="left" w:pos="2183"/>
      </w:tabs>
      <w:ind w:left="2183" w:right="284" w:hanging="851"/>
    </w:pPr>
  </w:style>
  <w:style w:type="paragraph" w:customStyle="1" w:styleId="zPensubpara">
    <w:name w:val="zPensubpara"/>
    <w:basedOn w:val="Pensubpara"/>
    <w:pPr>
      <w:shd w:val="clear" w:color="808080" w:fill="auto"/>
      <w:tabs>
        <w:tab w:val="clear" w:pos="2325"/>
        <w:tab w:val="right" w:pos="2608"/>
        <w:tab w:val="left" w:pos="2892"/>
      </w:tabs>
      <w:ind w:left="2892" w:right="284" w:hanging="851"/>
    </w:pPr>
  </w:style>
  <w:style w:type="paragraph" w:customStyle="1" w:styleId="zPenitem">
    <w:name w:val="zPenitem"/>
    <w:basedOn w:val="Penitem"/>
    <w:pPr>
      <w:shd w:val="clear" w:color="808080" w:fill="auto"/>
      <w:tabs>
        <w:tab w:val="clear" w:pos="3119"/>
        <w:tab w:val="right" w:pos="3402"/>
        <w:tab w:val="left" w:pos="3686"/>
      </w:tabs>
      <w:ind w:left="3686" w:right="284" w:hanging="851"/>
    </w:p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Defitem">
    <w:name w:val="yDefitem"/>
    <w:pPr>
      <w:tabs>
        <w:tab w:val="right" w:pos="2892"/>
      </w:tabs>
      <w:spacing w:before="80"/>
      <w:ind w:left="3204" w:hanging="3204"/>
    </w:pPr>
    <w:rPr>
      <w:snapToGrid w:val="0"/>
      <w:sz w:val="22"/>
    </w:rPr>
  </w:style>
  <w:style w:type="paragraph" w:customStyle="1" w:styleId="zDefstart">
    <w:name w:val="zDefstart"/>
    <w:pPr>
      <w:spacing w:before="80" w:line="260" w:lineRule="atLeast"/>
      <w:ind w:left="1446" w:right="284" w:hanging="879"/>
    </w:pPr>
    <w:rPr>
      <w:snapToGrid w:val="0"/>
      <w:sz w:val="24"/>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semiHidden/>
    <w:pPr>
      <w:spacing w:after="120"/>
      <w:ind w:left="1440" w:right="144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emiHidden/>
  </w:style>
  <w:style w:type="character" w:styleId="Emphasis">
    <w:name w:val="Emphasis"/>
    <w:basedOn w:val="DefaultParagraphFont"/>
    <w:qFormat/>
    <w:rPr>
      <w:i/>
      <w:sz w:val="24"/>
    </w:rPr>
  </w:style>
  <w:style w:type="paragraph" w:styleId="EndnoteText">
    <w:name w:val="endnote text"/>
    <w:basedOn w:val="Normal"/>
    <w:semiHidden/>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tabs>
        <w:tab w:val="num" w:pos="360"/>
      </w:tabs>
    </w:pPr>
  </w:style>
  <w:style w:type="paragraph" w:styleId="ListBullet2">
    <w:name w:val="List Bullet 2"/>
    <w:basedOn w:val="Normal"/>
    <w:autoRedefine/>
    <w:semiHidden/>
    <w:pPr>
      <w:tabs>
        <w:tab w:val="num" w:pos="360"/>
      </w:tabs>
    </w:pPr>
  </w:style>
  <w:style w:type="paragraph" w:styleId="ListBullet3">
    <w:name w:val="List Bullet 3"/>
    <w:basedOn w:val="Normal"/>
    <w:autoRedefine/>
    <w:semiHidden/>
    <w:pPr>
      <w:tabs>
        <w:tab w:val="num" w:pos="360"/>
      </w:tabs>
    </w:pPr>
  </w:style>
  <w:style w:type="paragraph" w:styleId="ListBullet4">
    <w:name w:val="List Bullet 4"/>
    <w:basedOn w:val="Normal"/>
    <w:autoRedefine/>
    <w:semiHidden/>
    <w:pPr>
      <w:tabs>
        <w:tab w:val="num" w:pos="360"/>
      </w:tabs>
    </w:pPr>
  </w:style>
  <w:style w:type="paragraph" w:styleId="ListBullet5">
    <w:name w:val="List Bullet 5"/>
    <w:basedOn w:val="Normal"/>
    <w:autoRedefine/>
    <w:semiHidden/>
    <w:pPr>
      <w:tabs>
        <w:tab w:val="num" w:pos="360"/>
      </w:tabs>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tabs>
        <w:tab w:val="num" w:pos="360"/>
      </w:tabs>
    </w:pPr>
  </w:style>
  <w:style w:type="paragraph" w:styleId="ListNumber2">
    <w:name w:val="List Number 2"/>
    <w:basedOn w:val="Normal"/>
    <w:semiHidden/>
    <w:pPr>
      <w:tabs>
        <w:tab w:val="num" w:pos="360"/>
      </w:tabs>
    </w:pPr>
  </w:style>
  <w:style w:type="paragraph" w:styleId="ListNumber3">
    <w:name w:val="List Number 3"/>
    <w:basedOn w:val="Normal"/>
    <w:semiHidden/>
    <w:pPr>
      <w:tabs>
        <w:tab w:val="num" w:pos="360"/>
      </w:tabs>
    </w:pPr>
  </w:style>
  <w:style w:type="paragraph" w:styleId="ListNumber4">
    <w:name w:val="List Number 4"/>
    <w:basedOn w:val="Normal"/>
    <w:semiHidden/>
    <w:pPr>
      <w:tabs>
        <w:tab w:val="num" w:pos="360"/>
      </w:tabs>
    </w:pPr>
  </w:style>
  <w:style w:type="paragraph" w:styleId="ListNumber5">
    <w:name w:val="List Number 5"/>
    <w:basedOn w:val="Normal"/>
    <w:semiHidden/>
    <w:pPr>
      <w:tabs>
        <w:tab w:val="num" w:pos="360"/>
      </w:tabs>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semiHidden/>
    <w:pPr>
      <w:ind w:left="720"/>
    </w:pPr>
  </w:style>
  <w:style w:type="paragraph" w:styleId="NoteHeading">
    <w:name w:val="Note Heading"/>
    <w:basedOn w:val="Normal"/>
    <w:next w:val="Normal"/>
  </w:style>
  <w:style w:type="paragraph" w:styleId="Salutation">
    <w:name w:val="Salutation"/>
    <w:basedOn w:val="Normal"/>
    <w:next w:val="Normal"/>
    <w:semiHidden/>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outlineLvl w:val="9"/>
    </w:pPr>
    <w:rPr>
      <w:sz w:val="22"/>
    </w:rPr>
  </w:style>
  <w:style w:type="paragraph" w:customStyle="1" w:styleId="yEdnotepara">
    <w:name w:val="yEdnote(para)"/>
    <w:basedOn w:val="Ednotepara"/>
    <w:pPr>
      <w:spacing w:line="240" w:lineRule="auto"/>
      <w:ind w:left="1610" w:hanging="1610"/>
    </w:pPr>
    <w:rPr>
      <w:sz w:val="22"/>
    </w:rPr>
  </w:style>
  <w:style w:type="paragraph" w:customStyle="1" w:styleId="yEdnotesubpara">
    <w:name w:val="yEdnote(subpara)"/>
    <w:basedOn w:val="Ednotesubpara"/>
    <w:pPr>
      <w:spacing w:line="240" w:lineRule="auto"/>
      <w:ind w:left="2330" w:hanging="2330"/>
    </w:pPr>
    <w:rPr>
      <w:sz w:val="22"/>
    </w:rPr>
  </w:style>
  <w:style w:type="paragraph" w:customStyle="1" w:styleId="yEdnoteitem">
    <w:name w:val="yEdnote(item)"/>
    <w:basedOn w:val="Ednoteitem"/>
    <w:pPr>
      <w:spacing w:line="240" w:lineRule="auto"/>
      <w:ind w:left="3050" w:hanging="3050"/>
    </w:pPr>
    <w:rPr>
      <w:sz w:val="22"/>
    </w:rPr>
  </w:style>
  <w:style w:type="paragraph" w:customStyle="1" w:styleId="yEdnotesubitem">
    <w:name w:val="yEdnote(subitem)"/>
    <w:basedOn w:val="Ednotesubitem"/>
    <w:pPr>
      <w:spacing w:line="240" w:lineRule="auto"/>
      <w:ind w:left="3771" w:hanging="3771"/>
    </w:pPr>
  </w:style>
  <w:style w:type="paragraph" w:customStyle="1" w:styleId="Ednotedefpara">
    <w:name w:val="Ednote(defpara)"/>
    <w:basedOn w:val="Defpara"/>
    <w:rPr>
      <w:i/>
    </w:rPr>
  </w:style>
  <w:style w:type="paragraph" w:customStyle="1" w:styleId="Ednotedefitem">
    <w:name w:val="Ednote(defitem)"/>
    <w:basedOn w:val="Defitem"/>
    <w:rPr>
      <w:i/>
    </w:rPr>
  </w:style>
  <w:style w:type="paragraph" w:customStyle="1" w:styleId="Ednotedefsubpara">
    <w:name w:val="Ednote(defsubpara)"/>
    <w:basedOn w:val="Defsubpara"/>
    <w:rPr>
      <w:i/>
    </w:r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spacing w:after="480"/>
      <w:ind w:left="2304" w:right="2304"/>
      <w:jc w:val="center"/>
    </w:pPr>
    <w:rPr>
      <w:b/>
      <w:sz w:val="28"/>
    </w:rPr>
  </w:style>
  <w:style w:type="paragraph" w:customStyle="1" w:styleId="yFootnotesection">
    <w:name w:val="yFootnote(section)"/>
    <w:basedOn w:val="Footnotesection"/>
    <w:pPr>
      <w:spacing w:line="240" w:lineRule="auto"/>
      <w:ind w:left="890" w:hanging="890"/>
    </w:pPr>
    <w:rPr>
      <w:sz w:val="22"/>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before="120" w:line="240" w:lineRule="auto"/>
      <w:outlineLvl w:val="9"/>
    </w:pPr>
    <w:rPr>
      <w:sz w:val="22"/>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zDefpara">
    <w:name w:val="nzDefpara"/>
    <w:pPr>
      <w:tabs>
        <w:tab w:val="right" w:pos="1899"/>
      </w:tabs>
      <w:spacing w:before="40"/>
      <w:ind w:left="2183" w:right="284" w:hanging="1616"/>
    </w:pPr>
    <w:rPr>
      <w:snapToGrid w:val="0"/>
    </w:rPr>
  </w:style>
  <w:style w:type="paragraph" w:customStyle="1" w:styleId="nzDefstart">
    <w:name w:val="nzDefstart"/>
    <w:pPr>
      <w:spacing w:before="40"/>
      <w:ind w:left="1446" w:right="284" w:hanging="879"/>
    </w:pPr>
    <w:rPr>
      <w:snapToGrid w:val="0"/>
    </w:rPr>
  </w:style>
  <w:style w:type="paragraph" w:customStyle="1" w:styleId="nzDefsubpara">
    <w:name w:val="nzDefsubpara"/>
    <w:pPr>
      <w:keepLines/>
      <w:tabs>
        <w:tab w:val="right" w:pos="2608"/>
      </w:tabs>
      <w:spacing w:before="40"/>
      <w:ind w:left="2892" w:right="284" w:hanging="2325"/>
    </w:pPr>
    <w:rPr>
      <w:snapToGrid w:val="0"/>
    </w:rPr>
  </w:style>
  <w:style w:type="paragraph" w:customStyle="1" w:styleId="MiscOpen">
    <w:name w:val="MiscOpen"/>
    <w:pPr>
      <w:keepNext/>
      <w:keepLines/>
      <w:tabs>
        <w:tab w:val="left" w:pos="893"/>
      </w:tabs>
      <w:spacing w:before="120" w:line="260" w:lineRule="atLeast"/>
    </w:pPr>
    <w:rPr>
      <w:sz w:val="24"/>
    </w:rPr>
  </w:style>
  <w:style w:type="paragraph" w:customStyle="1" w:styleId="Ednotesubsection">
    <w:name w:val="Ednote(subsection)"/>
    <w:basedOn w:val="Ednotesection"/>
    <w:pPr>
      <w:outlineLvl w:val="9"/>
    </w:pPr>
  </w:style>
  <w:style w:type="paragraph" w:customStyle="1" w:styleId="MiscellaneousHeading">
    <w:name w:val="Miscellaneous Heading"/>
    <w:pPr>
      <w:keepNext/>
      <w:spacing w:before="160" w:line="260" w:lineRule="atLeast"/>
      <w:jc w:val="center"/>
    </w:pPr>
    <w:rPr>
      <w:sz w:val="24"/>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rPr>
  </w:style>
  <w:style w:type="paragraph" w:customStyle="1" w:styleId="FooterDisclaimer">
    <w:name w:val="Footer.Disclaimer"/>
    <w:pPr>
      <w:jc w:val="center"/>
    </w:pPr>
    <w:rPr>
      <w:rFonts w:ascii="Arial" w:hAnsi="Arial"/>
      <w:i/>
      <w:sz w:val="16"/>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customStyle="1" w:styleId="yTable">
    <w:name w:val="yTable"/>
    <w:basedOn w:val="Table"/>
    <w:pPr>
      <w:spacing w:line="240" w:lineRule="auto"/>
    </w:pPr>
  </w:style>
  <w:style w:type="paragraph" w:customStyle="1" w:styleId="nTable">
    <w:name w:val="nTable"/>
    <w:pPr>
      <w:spacing w:before="40"/>
    </w:pPr>
    <w:rPr>
      <w:sz w:val="19"/>
    </w:rPr>
  </w:style>
  <w:style w:type="paragraph" w:customStyle="1" w:styleId="nzTable">
    <w:name w:val="nzTable"/>
    <w:basedOn w:val="Normal"/>
    <w:pPr>
      <w:shd w:val="clear" w:color="808080" w:fill="auto"/>
    </w:pPr>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MiscellaneousBody"/>
    <w:pPr>
      <w:shd w:val="clear" w:color="808080" w:fill="auto"/>
      <w:ind w:left="567" w:right="284"/>
    </w:pPr>
  </w:style>
  <w:style w:type="paragraph" w:customStyle="1" w:styleId="DefinedTerms">
    <w:name w:val="Defined Terms"/>
    <w:pPr>
      <w:tabs>
        <w:tab w:val="right" w:leader="dot" w:pos="7070"/>
      </w:tabs>
      <w:ind w:left="578" w:right="578"/>
    </w:pPr>
  </w:style>
  <w:style w:type="paragraph" w:customStyle="1" w:styleId="yFootnoteheading">
    <w:name w:val="yFootnote(heading)"/>
    <w:basedOn w:val="Footnoteheading"/>
    <w:pPr>
      <w:spacing w:line="240" w:lineRule="auto"/>
    </w:pPr>
    <w:rPr>
      <w:sz w:val="22"/>
    </w:rPr>
  </w:style>
  <w:style w:type="paragraph" w:customStyle="1" w:styleId="ABillFor">
    <w:name w:val="ABillFor"/>
    <w:basedOn w:val="Normal"/>
    <w:pPr>
      <w:spacing w:before="240" w:after="600"/>
      <w:jc w:val="center"/>
    </w:pPr>
    <w:rPr>
      <w:b/>
    </w:rPr>
  </w:style>
  <w:style w:type="paragraph" w:customStyle="1" w:styleId="PrincipalActReg">
    <w:name w:val="PrincipalAct_Reg"/>
    <w:pPr>
      <w:spacing w:after="480"/>
      <w:jc w:val="center"/>
    </w:pPr>
    <w:rPr>
      <w:sz w:val="24"/>
    </w:rPr>
  </w:style>
  <w:style w:type="paragraph" w:customStyle="1" w:styleId="CentredBaseLine">
    <w:name w:val="CentredBaseLine"/>
    <w:pPr>
      <w:suppressLineNumbers/>
      <w:spacing w:before="240"/>
    </w:pPr>
  </w:style>
  <w:style w:type="paragraph" w:customStyle="1" w:styleId="MadeBy">
    <w:name w:val="MadeBy"/>
    <w:pPr>
      <w:spacing w:before="600"/>
    </w:pPr>
    <w:rPr>
      <w:sz w:val="24"/>
    </w:rPr>
  </w:style>
  <w:style w:type="paragraph" w:customStyle="1" w:styleId="ParlHouse">
    <w:name w:val="ParlHouse"/>
    <w:basedOn w:val="WA"/>
    <w:pPr>
      <w:spacing w:after="300"/>
    </w:pPr>
    <w:rPr>
      <w:u w:val="single"/>
    </w:rPr>
  </w:style>
  <w:style w:type="paragraph" w:customStyle="1" w:styleId="Equation">
    <w:name w:val="Equation"/>
    <w:rPr>
      <w:noProof/>
      <w:sz w:val="24"/>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character" w:customStyle="1" w:styleId="DraftersNotes">
    <w:name w:val="DraftersNotes"/>
    <w:basedOn w:val="DefaultParagraphFont"/>
    <w:rPr>
      <w:b/>
      <w:i/>
      <w:sz w:val="20"/>
    </w:rPr>
  </w:style>
  <w:style w:type="paragraph" w:customStyle="1" w:styleId="ByCommand">
    <w:name w:val="ByCommand"/>
    <w:basedOn w:val="Normal"/>
    <w:pPr>
      <w:tabs>
        <w:tab w:val="left" w:pos="4536"/>
      </w:tabs>
      <w:spacing w:before="240"/>
    </w:pPr>
  </w:style>
  <w:style w:type="character" w:customStyle="1" w:styleId="CharDefText">
    <w:name w:val="CharDefText"/>
    <w:basedOn w:val="DefaultParagraphFont"/>
    <w:rPr>
      <w:b/>
      <w:i/>
    </w:rPr>
  </w:style>
  <w:style w:type="character" w:customStyle="1" w:styleId="CharSchText">
    <w:name w:val="CharSchText"/>
    <w:rPr>
      <w:noProof w:val="0"/>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nzMiscellaneousBody">
    <w:name w:val="nzMiscellaneous Body"/>
    <w:basedOn w:val="zMiscellaneousBody"/>
    <w:pPr>
      <w:spacing w:before="80" w:line="240" w:lineRule="auto"/>
    </w:pPr>
    <w:rPr>
      <w:sz w:val="20"/>
    </w:rPr>
  </w:style>
  <w:style w:type="paragraph" w:customStyle="1" w:styleId="OmitFootnote">
    <w:name w:val="OmitFootnote"/>
    <w:basedOn w:val="yEdnotesection"/>
    <w:pPr>
      <w:spacing w:before="600"/>
      <w:outlineLvl w:val="1"/>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nzLongTitle">
    <w:name w:val="nzLong Title"/>
    <w:basedOn w:val="zLongTitle"/>
    <w:pPr>
      <w:spacing w:before="40"/>
    </w:pPr>
    <w:rPr>
      <w:sz w:val="20"/>
    </w:rPr>
  </w:style>
  <w:style w:type="paragraph" w:customStyle="1" w:styleId="nzNumberedItem">
    <w:name w:val="nzNumberedItem"/>
    <w:pPr>
      <w:spacing w:before="40"/>
      <w:ind w:left="1446" w:right="284" w:hanging="879"/>
    </w:pPr>
  </w:style>
  <w:style w:type="paragraph" w:customStyle="1" w:styleId="TableAm">
    <w:name w:val="TableAm"/>
    <w:basedOn w:val="Normal"/>
    <w:pPr>
      <w:spacing w:before="120"/>
    </w:pPr>
  </w:style>
  <w:style w:type="paragraph" w:customStyle="1" w:styleId="TableAmNote">
    <w:name w:val="TableAmNote"/>
    <w:pPr>
      <w:spacing w:before="60"/>
    </w:pPr>
    <w:rPr>
      <w:rFonts w:ascii="Arial" w:hAnsi="Arial"/>
    </w:r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PrincipalActRegPage1">
    <w:name w:val="PrincipalAct_Reg(Page 1)"/>
    <w:pPr>
      <w:spacing w:before="2600"/>
      <w:jc w:val="center"/>
    </w:pPr>
    <w:rPr>
      <w:sz w:val="24"/>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ReprintNo">
    <w:name w:val="ReprintNo"/>
    <w:rPr>
      <w:b/>
      <w:noProof/>
      <w:sz w:val="28"/>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defitem">
    <w:name w:val="yEdnote(defitem)"/>
    <w:basedOn w:val="yDefitem"/>
    <w:rPr>
      <w:i/>
    </w:rPr>
  </w:style>
  <w:style w:type="paragraph" w:customStyle="1" w:styleId="nzDefitem">
    <w:name w:val="nzDefitem"/>
    <w:pPr>
      <w:tabs>
        <w:tab w:val="right" w:pos="3459"/>
      </w:tabs>
      <w:spacing w:before="40"/>
      <w:ind w:left="3686" w:right="284" w:hanging="3119"/>
    </w:pPr>
    <w:rPr>
      <w:snapToGrid w:val="0"/>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nzDefsubitem">
    <w:name w:val="nzDefsubitem"/>
    <w:qFormat/>
    <w:pPr>
      <w:tabs>
        <w:tab w:val="right" w:pos="4167"/>
      </w:tabs>
      <w:spacing w:before="40"/>
      <w:ind w:left="4451" w:right="284" w:hanging="3884"/>
    </w:pPr>
    <w:rPr>
      <w:snapToGrid w:val="0"/>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nzPensubpara">
    <w:name w:val="nzPensubpara"/>
    <w:basedOn w:val="zPensubpara"/>
    <w:pPr>
      <w:spacing w:before="40" w:line="240" w:lineRule="auto"/>
    </w:pPr>
    <w:rPr>
      <w:sz w:val="20"/>
    </w:rPr>
  </w:style>
  <w:style w:type="paragraph" w:customStyle="1" w:styleId="nzPenitem">
    <w:name w:val="nzPenitem"/>
    <w:basedOn w:val="zPenitem"/>
    <w:pPr>
      <w:spacing w:before="40" w:line="240" w:lineRule="auto"/>
    </w:pPr>
    <w:rPr>
      <w:sz w:val="20"/>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nzNumberedItemPara">
    <w:name w:val="nzNumberedItemPara"/>
    <w:pPr>
      <w:tabs>
        <w:tab w:val="right" w:pos="1899"/>
      </w:tabs>
      <w:spacing w:before="40"/>
      <w:ind w:left="2183" w:right="284" w:hanging="1616"/>
    </w:p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nzNumberedItemSubPara">
    <w:name w:val="nzNumberedItemSubPara"/>
    <w:pPr>
      <w:tabs>
        <w:tab w:val="right" w:pos="2608"/>
      </w:tabs>
      <w:spacing w:before="40"/>
      <w:ind w:left="2892" w:right="284" w:hanging="2325"/>
    </w:p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nzPermNoteHeading">
    <w:name w:val="nzPermNoteHeading"/>
    <w:pPr>
      <w:spacing w:before="40"/>
      <w:ind w:left="1446" w:right="284" w:hanging="879"/>
    </w:pPr>
    <w:rPr>
      <w:rFonts w:ascii="Arial" w:hAnsi="Arial"/>
      <w:sz w:val="14"/>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nzPermNoteText">
    <w:name w:val="nzPermNoteText"/>
    <w:pPr>
      <w:tabs>
        <w:tab w:val="left" w:pos="1446"/>
      </w:tabs>
      <w:spacing w:before="40"/>
      <w:ind w:left="2013" w:right="284" w:hanging="1446"/>
    </w:pPr>
    <w:rPr>
      <w:rFonts w:ascii="Arial" w:hAnsi="Arial"/>
      <w:sz w:val="14"/>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nzPermNotePara">
    <w:name w:val="nzPermNotePara"/>
    <w:pPr>
      <w:tabs>
        <w:tab w:val="right" w:pos="2410"/>
      </w:tabs>
      <w:spacing w:before="40"/>
      <w:ind w:left="2580" w:right="284" w:hanging="2013"/>
    </w:pPr>
    <w:rPr>
      <w:rFonts w:ascii="Arial" w:hAnsi="Arial"/>
      <w:sz w:val="14"/>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nzPermNoteSubPara">
    <w:name w:val="nzPermNoteSubPara"/>
    <w:pPr>
      <w:tabs>
        <w:tab w:val="right" w:pos="2863"/>
      </w:tabs>
      <w:spacing w:before="40"/>
      <w:ind w:left="3147" w:right="284" w:hanging="2580"/>
    </w:pPr>
    <w:rPr>
      <w:rFonts w:ascii="Arial" w:hAnsi="Arial"/>
      <w:sz w:val="14"/>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nzSectAltNote">
    <w:name w:val="nzSectAltNote"/>
    <w:qFormat/>
    <w:pPr>
      <w:tabs>
        <w:tab w:val="left" w:pos="1446"/>
      </w:tabs>
      <w:spacing w:before="40"/>
      <w:ind w:left="1990" w:hanging="1423"/>
    </w:pPr>
    <w:rPr>
      <w:rFonts w:ascii="Arial" w:hAnsi="Arial"/>
      <w:sz w:val="14"/>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nzSectAltHeading">
    <w:name w:val="nzSectAltHeading"/>
    <w:qFormat/>
    <w:pPr>
      <w:tabs>
        <w:tab w:val="left" w:pos="1446"/>
      </w:tabs>
      <w:spacing w:before="40"/>
      <w:ind w:left="1990" w:hanging="1423"/>
    </w:pPr>
    <w:rPr>
      <w:rFonts w:ascii="Arial" w:hAnsi="Arial"/>
      <w:b/>
      <w:sz w:val="14"/>
    </w:rPr>
  </w:style>
  <w:style w:type="paragraph" w:customStyle="1" w:styleId="nzShoulderClause">
    <w:name w:val="nzShoulderClause"/>
    <w:next w:val="ySubsection"/>
    <w:pPr>
      <w:spacing w:before="80"/>
      <w:jc w:val="right"/>
    </w:pPr>
  </w:style>
  <w:style w:type="paragraph" w:customStyle="1" w:styleId="nzDeleteListSub">
    <w:name w:val="nzDeleteListSub"/>
    <w:pPr>
      <w:spacing w:before="80"/>
      <w:ind w:left="1446"/>
    </w:pPr>
  </w:style>
  <w:style w:type="paragraph" w:customStyle="1" w:styleId="nzDeleteListPara">
    <w:name w:val="nzDeleteListPara"/>
    <w:pPr>
      <w:spacing w:before="80"/>
      <w:ind w:left="2183"/>
    </w:pPr>
  </w:style>
  <w:style w:type="paragraph" w:customStyle="1" w:styleId="nzEdnotepart">
    <w:name w:val="nzEdnote(part)"/>
    <w:basedOn w:val="nzHeading2"/>
    <w:rPr>
      <w:b w:val="0"/>
      <w:i/>
    </w:rPr>
  </w:style>
  <w:style w:type="paragraph" w:customStyle="1" w:styleId="nzEdnotedivision">
    <w:name w:val="nzEdnote(division)"/>
    <w:basedOn w:val="nzHeading3"/>
    <w:rPr>
      <w:b w:val="0"/>
      <w:i/>
    </w:rPr>
  </w:style>
  <w:style w:type="paragraph" w:customStyle="1" w:styleId="nzEdnotesubdivision">
    <w:name w:val="nzEdnote(subdivision)"/>
    <w:basedOn w:val="nzHeading4"/>
    <w:rPr>
      <w:i/>
    </w:rPr>
  </w:style>
  <w:style w:type="paragraph" w:customStyle="1" w:styleId="nzEdnotesection">
    <w:name w:val="nzEdnote(section)"/>
    <w:basedOn w:val="nzHeading5"/>
    <w:rPr>
      <w:b w:val="0"/>
      <w:i/>
    </w:rPr>
  </w:style>
  <w:style w:type="paragraph" w:customStyle="1" w:styleId="nzEdnotesubsection">
    <w:name w:val="nzEdnote(subsection)"/>
    <w:basedOn w:val="nzSubsection"/>
    <w:rPr>
      <w:i/>
    </w:rPr>
  </w:style>
  <w:style w:type="paragraph" w:customStyle="1" w:styleId="nzEdnotepara">
    <w:name w:val="nzEdnote(para)"/>
    <w:basedOn w:val="nzIndenta"/>
    <w:rPr>
      <w:i/>
    </w:rPr>
  </w:style>
  <w:style w:type="paragraph" w:customStyle="1" w:styleId="nzEdnotesubpara">
    <w:name w:val="nzEdnote(subpara)"/>
    <w:basedOn w:val="nzIndenti"/>
    <w:rPr>
      <w:i/>
    </w:rPr>
  </w:style>
  <w:style w:type="paragraph" w:customStyle="1" w:styleId="nzEdnoteitem">
    <w:name w:val="nzEdnote(item)"/>
    <w:basedOn w:val="nzIndentI0"/>
    <w:rPr>
      <w:i/>
    </w:rPr>
  </w:style>
  <w:style w:type="paragraph" w:customStyle="1" w:styleId="nzEdnotesubitem">
    <w:name w:val="nzEdnote(subitem)"/>
    <w:basedOn w:val="nzIndentA0"/>
    <w:rPr>
      <w:i/>
    </w:rPr>
  </w:style>
  <w:style w:type="paragraph" w:customStyle="1" w:styleId="nzEdnotedefpara">
    <w:name w:val="nzEdnote(defpara)"/>
    <w:basedOn w:val="nzDefpara"/>
    <w:rPr>
      <w:i/>
    </w:rPr>
  </w:style>
  <w:style w:type="paragraph" w:customStyle="1" w:styleId="nzEdnotedefsubpara">
    <w:name w:val="nzEdnote(defsubpara)"/>
    <w:basedOn w:val="nzDefsubpara"/>
    <w:rPr>
      <w:i/>
    </w:rPr>
  </w:style>
  <w:style w:type="paragraph" w:customStyle="1" w:styleId="nzEdnotedefitem">
    <w:name w:val="nzEdnote(defitem)"/>
    <w:basedOn w:val="nzDefitem"/>
    <w:rPr>
      <w:i/>
    </w:rPr>
  </w:style>
  <w:style w:type="paragraph" w:customStyle="1" w:styleId="nzEdnotedefsubitem">
    <w:name w:val="nzEdnote(defsubitem)"/>
    <w:basedOn w:val="nzDefsubitem"/>
    <w:rPr>
      <w:i/>
    </w:rPr>
  </w:style>
  <w:style w:type="paragraph" w:customStyle="1" w:styleId="nzEdnotepenpara">
    <w:name w:val="nzEdnote(penpara)"/>
    <w:basedOn w:val="nzPenpara"/>
    <w:rPr>
      <w:i/>
    </w:rPr>
  </w:style>
  <w:style w:type="paragraph" w:customStyle="1" w:styleId="nzEdnotepensubpara">
    <w:name w:val="nzEdnote(pensubpara)"/>
    <w:basedOn w:val="nzPensubpara"/>
    <w:rPr>
      <w:i/>
    </w:rPr>
  </w:style>
  <w:style w:type="paragraph" w:customStyle="1" w:styleId="nzEdnotepenitem">
    <w:name w:val="nzEdnote(penitem)"/>
    <w:basedOn w:val="nzPenitem"/>
    <w:rPr>
      <w:i/>
    </w:rPr>
  </w:style>
  <w:style w:type="paragraph" w:customStyle="1" w:styleId="nzFootnoteheading">
    <w:name w:val="nzFootnote(heading)"/>
    <w:pPr>
      <w:tabs>
        <w:tab w:val="left" w:pos="879"/>
      </w:tabs>
      <w:spacing w:before="40"/>
      <w:ind w:left="879" w:hanging="879"/>
    </w:pPr>
    <w:rPr>
      <w:i/>
      <w:snapToGrid w:val="0"/>
    </w:rPr>
  </w:style>
  <w:style w:type="paragraph" w:customStyle="1" w:styleId="nzFootnotesection">
    <w:name w:val="nzFootnote(section)"/>
    <w:pPr>
      <w:keepLines/>
      <w:tabs>
        <w:tab w:val="left" w:pos="893"/>
      </w:tabs>
      <w:spacing w:before="40"/>
      <w:ind w:left="893" w:hanging="893"/>
    </w:pPr>
    <w:rPr>
      <w:i/>
      <w:snapToGrid w:val="0"/>
    </w:rPr>
  </w:style>
  <w:style w:type="paragraph" w:customStyle="1" w:styleId="nzFootnotelongtitle">
    <w:name w:val="nzFootnote(longtitle)"/>
    <w:basedOn w:val="nzFootnotesection"/>
  </w:style>
  <w:style w:type="paragraph" w:customStyle="1" w:styleId="nzFootnotepreamble">
    <w:name w:val="nzFootnote(preamble)"/>
    <w:basedOn w:val="nzFootnotesection"/>
  </w:style>
  <w:style w:type="paragraph" w:customStyle="1" w:styleId="nzOmitFootnote">
    <w:name w:val="nzOmitFootnote"/>
    <w:basedOn w:val="nzEdnotesection"/>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0"/>
    <w:lsdException w:name="toc 2" w:uiPriority="39"/>
    <w:lsdException w:name="toc 3" w:uiPriority="0"/>
    <w:lsdException w:name="toc 4" w:uiPriority="0"/>
    <w:lsdException w:name="toc 5" w:uiPriority="0"/>
    <w:lsdException w:name="toc 6" w:uiPriority="0"/>
    <w:lsdException w:name="toc 7" w:uiPriority="0"/>
    <w:lsdException w:name="toc 8" w:uiPriority="39"/>
    <w:lsdException w:name="toc 9" w:uiPriority="0"/>
    <w:lsdException w:name="header" w:uiPriority="0"/>
    <w:lsdException w:name="footer" w:uiPriority="0"/>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Note Heading"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basedOn w:val="Heading1"/>
    <w:next w:val="Normal"/>
    <w:qFormat/>
    <w:pPr>
      <w:outlineLvl w:val="5"/>
    </w:pPr>
    <w:rPr>
      <w:sz w:val="36"/>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spacing w:before="240"/>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pPr>
      <w:tabs>
        <w:tab w:val="right" w:pos="3459"/>
      </w:tabs>
      <w:spacing w:before="80"/>
      <w:ind w:left="3686" w:right="284" w:hanging="3119"/>
    </w:pPr>
    <w:rPr>
      <w:snapToGrid w:val="0"/>
      <w:sz w:val="22"/>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rPr>
  </w:style>
  <w:style w:type="paragraph" w:customStyle="1" w:styleId="Defpara">
    <w:name w:val="Defpara"/>
    <w:pPr>
      <w:tabs>
        <w:tab w:val="right" w:pos="1332"/>
      </w:tabs>
      <w:spacing w:before="80" w:line="260" w:lineRule="atLeast"/>
      <w:ind w:left="1616" w:hanging="1616"/>
    </w:pPr>
    <w:rPr>
      <w:snapToGrid w:val="0"/>
      <w:sz w:val="24"/>
    </w:rPr>
  </w:style>
  <w:style w:type="paragraph" w:styleId="Footer">
    <w:name w:val="footer"/>
    <w:basedOn w:val="Normal"/>
    <w:rPr>
      <w:rFonts w:ascii="Arial" w:hAnsi="Arial"/>
    </w:rPr>
  </w:style>
  <w:style w:type="paragraph" w:styleId="Header">
    <w:name w:val="header"/>
    <w:rPr>
      <w:rFonts w:ascii="Arial" w:hAnsi="Arial"/>
      <w:noProof/>
    </w:rPr>
  </w:style>
  <w:style w:type="paragraph" w:customStyle="1" w:styleId="Ednotesection">
    <w:name w:val="Ednote(section)"/>
    <w:pPr>
      <w:tabs>
        <w:tab w:val="right" w:pos="605"/>
        <w:tab w:val="left" w:pos="893"/>
      </w:tabs>
      <w:spacing w:before="220" w:line="260" w:lineRule="atLeast"/>
      <w:ind w:left="893" w:hanging="893"/>
      <w:outlineLvl w:val="4"/>
    </w:pPr>
    <w:rPr>
      <w:i/>
      <w:snapToGrid w:val="0"/>
      <w:sz w:val="24"/>
    </w:rPr>
  </w:style>
  <w:style w:type="character" w:styleId="LineNumber">
    <w:name w:val="line number"/>
    <w:basedOn w:val="DefaultParagraphFont"/>
    <w:semiHidden/>
    <w:rPr>
      <w:rFonts w:ascii="Times" w:hAnsi="Times"/>
      <w:sz w:val="18"/>
    </w:rPr>
  </w:style>
  <w:style w:type="paragraph" w:customStyle="1" w:styleId="zPenstart">
    <w:name w:val="zPenstart"/>
    <w:basedOn w:val="Penstart"/>
    <w:pPr>
      <w:shd w:val="clear" w:color="808080" w:fill="auto"/>
      <w:tabs>
        <w:tab w:val="clear" w:pos="879"/>
        <w:tab w:val="left" w:pos="1446"/>
      </w:tabs>
      <w:ind w:left="2155"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sz w:val="24"/>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4">
    <w:name w:val="toc 4"/>
    <w:next w:val="Normal"/>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customStyle="1" w:styleId="Defstart">
    <w:name w:val="Defstart"/>
    <w:pPr>
      <w:spacing w:before="80" w:line="260" w:lineRule="atLeast"/>
      <w:ind w:left="879" w:hanging="879"/>
    </w:pPr>
    <w:rPr>
      <w:snapToGrid w:val="0"/>
      <w:sz w:val="24"/>
    </w:rPr>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styleId="EndnoteReference">
    <w:name w:val="endnote reference"/>
    <w:basedOn w:val="DefaultParagraphFont"/>
    <w:semiHidden/>
    <w:rPr>
      <w:sz w:val="24"/>
      <w:vertAlign w:val="superscript"/>
    </w:rPr>
  </w:style>
  <w:style w:type="paragraph" w:styleId="BodyText">
    <w:name w:val="Body Text"/>
    <w:basedOn w:val="Normal"/>
    <w:semiHidden/>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Subsection"/>
    <w:pPr>
      <w:shd w:val="clear" w:color="808080" w:fill="auto"/>
      <w:tabs>
        <w:tab w:val="clear" w:pos="595"/>
        <w:tab w:val="clear" w:pos="879"/>
        <w:tab w:val="right" w:pos="1162"/>
        <w:tab w:val="left" w:pos="1446"/>
      </w:tabs>
      <w:ind w:left="1446" w:right="284" w:hanging="851"/>
    </w:pPr>
  </w:style>
  <w:style w:type="character" w:styleId="Hyperlink">
    <w:name w:val="Hyperlink"/>
    <w:basedOn w:val="DefaultParagraphFont"/>
    <w:semiHidden/>
    <w:rPr>
      <w:color w:val="0000FF"/>
      <w:sz w:val="24"/>
      <w:u w:val="single"/>
    </w:rPr>
  </w:style>
  <w:style w:type="character" w:styleId="FollowedHyperlink">
    <w:name w:val="FollowedHyperlink"/>
    <w:basedOn w:val="DefaultParagraphFont"/>
    <w:semiHidden/>
    <w:rPr>
      <w:color w:val="800080"/>
      <w:sz w:val="24"/>
      <w:u w:val="single"/>
    </w:rPr>
  </w:style>
  <w:style w:type="paragraph" w:customStyle="1" w:styleId="AssentNote">
    <w:name w:val="Assent Note"/>
    <w:pPr>
      <w:keepLines/>
      <w:spacing w:before="160" w:after="240"/>
      <w:jc w:val="right"/>
    </w:pPr>
    <w:rPr>
      <w:i/>
      <w:snapToGrid w:val="0"/>
      <w:sz w:val="24"/>
    </w:rPr>
  </w:style>
  <w:style w:type="paragraph" w:customStyle="1" w:styleId="Enactment">
    <w:name w:val="Enactment"/>
    <w:pPr>
      <w:spacing w:before="800"/>
    </w:pPr>
    <w:rPr>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styleId="FootnoteText">
    <w:name w:val="footnote text"/>
    <w:basedOn w:val="Normal"/>
    <w:semiHidden/>
  </w:style>
  <w:style w:type="paragraph" w:customStyle="1" w:styleId="LongTitle">
    <w:name w:val="Long Title"/>
    <w:rPr>
      <w:b/>
      <w:sz w:val="24"/>
    </w:rPr>
  </w:style>
  <w:style w:type="paragraph" w:styleId="Signature">
    <w:name w:val="Signature"/>
    <w:basedOn w:val="Normal"/>
    <w:semiHidden/>
    <w:pPr>
      <w:ind w:left="4252"/>
    </w:pPr>
  </w:style>
  <w:style w:type="paragraph" w:styleId="List">
    <w:name w:val="List"/>
    <w:basedOn w:val="Normal"/>
    <w:semiHidden/>
    <w:pPr>
      <w:ind w:left="283" w:hanging="283"/>
    </w:p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character" w:customStyle="1" w:styleId="CharChapNo">
    <w:name w:val="CharChapNo"/>
    <w:rPr>
      <w:noProof w:val="0"/>
    </w:rPr>
  </w:style>
  <w:style w:type="paragraph" w:customStyle="1" w:styleId="Ednotesubpara">
    <w:name w:val="Ednote(subpara)"/>
    <w:pPr>
      <w:tabs>
        <w:tab w:val="right" w:pos="2047"/>
        <w:tab w:val="left" w:pos="2333"/>
      </w:tabs>
      <w:spacing w:before="160" w:line="260" w:lineRule="atLeast"/>
      <w:ind w:left="2333" w:hanging="2333"/>
    </w:pPr>
    <w:rPr>
      <w:sz w:val="24"/>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Footnoteheading">
    <w:name w:val="Footnote(heading)"/>
    <w:pPr>
      <w:spacing w:before="160" w:line="260" w:lineRule="atLeast"/>
      <w:jc w:val="center"/>
    </w:pPr>
    <w:rPr>
      <w:i/>
      <w:sz w:val="24"/>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Sectno">
    <w:name w:val="CharSectno"/>
    <w:rPr>
      <w:noProof w:val="0"/>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rPr>
  </w:style>
  <w:style w:type="paragraph" w:customStyle="1" w:styleId="Ednoteitem">
    <w:name w:val="Ednote(item)"/>
    <w:pPr>
      <w:tabs>
        <w:tab w:val="right" w:pos="2765"/>
        <w:tab w:val="left" w:pos="3053"/>
      </w:tabs>
      <w:spacing w:before="120" w:line="260" w:lineRule="atLeast"/>
      <w:ind w:left="3053" w:hanging="3053"/>
    </w:pPr>
    <w:rPr>
      <w:sz w:val="24"/>
    </w:rPr>
  </w:style>
  <w:style w:type="paragraph" w:customStyle="1" w:styleId="zHeading1">
    <w:name w:val="zHeading 1"/>
    <w:basedOn w:val="Heading1"/>
    <w:pPr>
      <w:shd w:val="clear" w:color="808080" w:fill="auto"/>
      <w:ind w:left="567" w:right="284"/>
      <w:outlineLvl w:val="9"/>
    </w:pPr>
  </w:style>
  <w:style w:type="paragraph" w:customStyle="1" w:styleId="zHeading2">
    <w:name w:val="zHeading 2"/>
    <w:basedOn w:val="Heading2"/>
    <w:pPr>
      <w:pageBreakBefore w:val="0"/>
      <w:shd w:val="clear" w:color="808080" w:fill="auto"/>
      <w:spacing w:before="240"/>
      <w:ind w:left="567" w:right="284"/>
      <w:outlineLvl w:val="9"/>
    </w:pPr>
  </w:style>
  <w:style w:type="paragraph" w:customStyle="1" w:styleId="zHeading3">
    <w:name w:val="zHeading 3"/>
    <w:basedOn w:val="Heading3"/>
    <w:pPr>
      <w:shd w:val="clear" w:color="808080" w:fill="auto"/>
      <w:ind w:left="567" w:right="284"/>
      <w:outlineLvl w:val="9"/>
    </w:pPr>
  </w:style>
  <w:style w:type="paragraph" w:customStyle="1" w:styleId="zHeading4">
    <w:name w:val="zHeading 4"/>
    <w:basedOn w:val="Heading4"/>
    <w:pPr>
      <w:shd w:val="clear" w:color="808080" w:fill="auto"/>
      <w:ind w:left="567" w:right="284"/>
      <w:outlineLvl w:val="9"/>
    </w:pPr>
  </w:style>
  <w:style w:type="paragraph" w:customStyle="1" w:styleId="zHeading5">
    <w:name w:val="zHeading 5"/>
    <w:basedOn w:val="Heading5"/>
    <w:pPr>
      <w:shd w:val="clear" w:color="808080" w:fill="auto"/>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160" w:line="260" w:lineRule="atLeast"/>
      <w:ind w:left="3773" w:hanging="3773"/>
    </w:pPr>
    <w:rPr>
      <w:sz w:val="24"/>
    </w:rPr>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enitem">
    <w:name w:val="Penitem"/>
    <w:pPr>
      <w:tabs>
        <w:tab w:val="right" w:pos="3119"/>
        <w:tab w:val="left" w:pos="3402"/>
      </w:tabs>
      <w:spacing w:before="80" w:line="260" w:lineRule="atLeast"/>
      <w:ind w:left="3402" w:hanging="3402"/>
    </w:pPr>
    <w:rPr>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Indenta"/>
    <w:pPr>
      <w:shd w:val="clear" w:color="808080" w:fill="auto"/>
      <w:tabs>
        <w:tab w:val="clear" w:pos="1332"/>
        <w:tab w:val="clear" w:pos="1616"/>
        <w:tab w:val="right" w:pos="1899"/>
        <w:tab w:val="left" w:pos="2183"/>
      </w:tabs>
      <w:ind w:left="2183" w:right="284" w:hanging="851"/>
    </w:pPr>
  </w:style>
  <w:style w:type="paragraph" w:customStyle="1" w:styleId="zIndentA0">
    <w:name w:val="zIndent(A)"/>
    <w:basedOn w:val="IndentA0"/>
    <w:pPr>
      <w:shd w:val="clear" w:color="808080" w:fill="auto"/>
      <w:tabs>
        <w:tab w:val="clear" w:pos="3686"/>
        <w:tab w:val="clear" w:pos="3969"/>
        <w:tab w:val="right" w:pos="4253"/>
        <w:tab w:val="left" w:pos="4536"/>
      </w:tabs>
      <w:ind w:left="4537" w:right="284" w:hanging="851"/>
    </w:pPr>
  </w:style>
  <w:style w:type="paragraph" w:customStyle="1" w:styleId="zIndenti">
    <w:name w:val="zIndent(i)"/>
    <w:basedOn w:val="Indenti"/>
    <w:pPr>
      <w:shd w:val="clear" w:color="808080" w:fill="auto"/>
      <w:tabs>
        <w:tab w:val="clear" w:pos="2041"/>
        <w:tab w:val="clear" w:pos="2325"/>
        <w:tab w:val="right" w:pos="2608"/>
        <w:tab w:val="left" w:pos="2892"/>
      </w:tabs>
      <w:ind w:left="2892" w:right="284" w:hanging="851"/>
    </w:pPr>
  </w:style>
  <w:style w:type="paragraph" w:customStyle="1" w:styleId="zIndentI0">
    <w:name w:val="zIndent(I)"/>
    <w:basedOn w:val="IndentI0"/>
    <w:pPr>
      <w:shd w:val="clear" w:color="808080" w:fill="auto"/>
      <w:tabs>
        <w:tab w:val="clear" w:pos="2892"/>
        <w:tab w:val="clear" w:pos="3204"/>
        <w:tab w:val="right" w:pos="3459"/>
        <w:tab w:val="left" w:pos="3771"/>
      </w:tabs>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Penpara"/>
    <w:pPr>
      <w:shd w:val="clear" w:color="808080" w:fill="auto"/>
      <w:tabs>
        <w:tab w:val="clear" w:pos="1616"/>
        <w:tab w:val="right" w:pos="1899"/>
        <w:tab w:val="left" w:pos="2183"/>
      </w:tabs>
      <w:ind w:left="2183" w:right="284" w:hanging="851"/>
    </w:pPr>
  </w:style>
  <w:style w:type="paragraph" w:customStyle="1" w:styleId="zPensubpara">
    <w:name w:val="zPensubpara"/>
    <w:basedOn w:val="Pensubpara"/>
    <w:pPr>
      <w:shd w:val="clear" w:color="808080" w:fill="auto"/>
      <w:tabs>
        <w:tab w:val="clear" w:pos="2325"/>
        <w:tab w:val="right" w:pos="2608"/>
        <w:tab w:val="left" w:pos="2892"/>
      </w:tabs>
      <w:ind w:left="2892" w:right="284" w:hanging="851"/>
    </w:pPr>
  </w:style>
  <w:style w:type="paragraph" w:customStyle="1" w:styleId="zPenitem">
    <w:name w:val="zPenitem"/>
    <w:basedOn w:val="Penitem"/>
    <w:pPr>
      <w:shd w:val="clear" w:color="808080" w:fill="auto"/>
      <w:tabs>
        <w:tab w:val="clear" w:pos="3119"/>
        <w:tab w:val="right" w:pos="3402"/>
        <w:tab w:val="left" w:pos="3686"/>
      </w:tabs>
      <w:ind w:left="3686" w:right="284" w:hanging="851"/>
    </w:p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Defitem">
    <w:name w:val="yDefitem"/>
    <w:pPr>
      <w:tabs>
        <w:tab w:val="right" w:pos="2892"/>
      </w:tabs>
      <w:spacing w:before="80"/>
      <w:ind w:left="3204" w:hanging="3204"/>
    </w:pPr>
    <w:rPr>
      <w:snapToGrid w:val="0"/>
      <w:sz w:val="22"/>
    </w:rPr>
  </w:style>
  <w:style w:type="paragraph" w:customStyle="1" w:styleId="zDefstart">
    <w:name w:val="zDefstart"/>
    <w:pPr>
      <w:spacing w:before="80" w:line="260" w:lineRule="atLeast"/>
      <w:ind w:left="1446" w:right="284" w:hanging="879"/>
    </w:pPr>
    <w:rPr>
      <w:snapToGrid w:val="0"/>
      <w:sz w:val="24"/>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semiHidden/>
    <w:pPr>
      <w:spacing w:after="120"/>
      <w:ind w:left="1440" w:right="144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emiHidden/>
  </w:style>
  <w:style w:type="character" w:styleId="Emphasis">
    <w:name w:val="Emphasis"/>
    <w:basedOn w:val="DefaultParagraphFont"/>
    <w:qFormat/>
    <w:rPr>
      <w:i/>
      <w:sz w:val="24"/>
    </w:rPr>
  </w:style>
  <w:style w:type="paragraph" w:styleId="EndnoteText">
    <w:name w:val="endnote text"/>
    <w:basedOn w:val="Normal"/>
    <w:semiHidden/>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tabs>
        <w:tab w:val="num" w:pos="360"/>
      </w:tabs>
    </w:pPr>
  </w:style>
  <w:style w:type="paragraph" w:styleId="ListBullet2">
    <w:name w:val="List Bullet 2"/>
    <w:basedOn w:val="Normal"/>
    <w:autoRedefine/>
    <w:semiHidden/>
    <w:pPr>
      <w:tabs>
        <w:tab w:val="num" w:pos="360"/>
      </w:tabs>
    </w:pPr>
  </w:style>
  <w:style w:type="paragraph" w:styleId="ListBullet3">
    <w:name w:val="List Bullet 3"/>
    <w:basedOn w:val="Normal"/>
    <w:autoRedefine/>
    <w:semiHidden/>
    <w:pPr>
      <w:tabs>
        <w:tab w:val="num" w:pos="360"/>
      </w:tabs>
    </w:pPr>
  </w:style>
  <w:style w:type="paragraph" w:styleId="ListBullet4">
    <w:name w:val="List Bullet 4"/>
    <w:basedOn w:val="Normal"/>
    <w:autoRedefine/>
    <w:semiHidden/>
    <w:pPr>
      <w:tabs>
        <w:tab w:val="num" w:pos="360"/>
      </w:tabs>
    </w:pPr>
  </w:style>
  <w:style w:type="paragraph" w:styleId="ListBullet5">
    <w:name w:val="List Bullet 5"/>
    <w:basedOn w:val="Normal"/>
    <w:autoRedefine/>
    <w:semiHidden/>
    <w:pPr>
      <w:tabs>
        <w:tab w:val="num" w:pos="360"/>
      </w:tabs>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tabs>
        <w:tab w:val="num" w:pos="360"/>
      </w:tabs>
    </w:pPr>
  </w:style>
  <w:style w:type="paragraph" w:styleId="ListNumber2">
    <w:name w:val="List Number 2"/>
    <w:basedOn w:val="Normal"/>
    <w:semiHidden/>
    <w:pPr>
      <w:tabs>
        <w:tab w:val="num" w:pos="360"/>
      </w:tabs>
    </w:pPr>
  </w:style>
  <w:style w:type="paragraph" w:styleId="ListNumber3">
    <w:name w:val="List Number 3"/>
    <w:basedOn w:val="Normal"/>
    <w:semiHidden/>
    <w:pPr>
      <w:tabs>
        <w:tab w:val="num" w:pos="360"/>
      </w:tabs>
    </w:pPr>
  </w:style>
  <w:style w:type="paragraph" w:styleId="ListNumber4">
    <w:name w:val="List Number 4"/>
    <w:basedOn w:val="Normal"/>
    <w:semiHidden/>
    <w:pPr>
      <w:tabs>
        <w:tab w:val="num" w:pos="360"/>
      </w:tabs>
    </w:pPr>
  </w:style>
  <w:style w:type="paragraph" w:styleId="ListNumber5">
    <w:name w:val="List Number 5"/>
    <w:basedOn w:val="Normal"/>
    <w:semiHidden/>
    <w:pPr>
      <w:tabs>
        <w:tab w:val="num" w:pos="360"/>
      </w:tabs>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semiHidden/>
    <w:pPr>
      <w:ind w:left="720"/>
    </w:pPr>
  </w:style>
  <w:style w:type="paragraph" w:styleId="NoteHeading">
    <w:name w:val="Note Heading"/>
    <w:basedOn w:val="Normal"/>
    <w:next w:val="Normal"/>
  </w:style>
  <w:style w:type="paragraph" w:styleId="Salutation">
    <w:name w:val="Salutation"/>
    <w:basedOn w:val="Normal"/>
    <w:next w:val="Normal"/>
    <w:semiHidden/>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outlineLvl w:val="9"/>
    </w:pPr>
    <w:rPr>
      <w:sz w:val="22"/>
    </w:rPr>
  </w:style>
  <w:style w:type="paragraph" w:customStyle="1" w:styleId="yEdnotepara">
    <w:name w:val="yEdnote(para)"/>
    <w:basedOn w:val="Ednotepara"/>
    <w:pPr>
      <w:spacing w:line="240" w:lineRule="auto"/>
      <w:ind w:left="1610" w:hanging="1610"/>
    </w:pPr>
    <w:rPr>
      <w:sz w:val="22"/>
    </w:rPr>
  </w:style>
  <w:style w:type="paragraph" w:customStyle="1" w:styleId="yEdnotesubpara">
    <w:name w:val="yEdnote(subpara)"/>
    <w:basedOn w:val="Ednotesubpara"/>
    <w:pPr>
      <w:spacing w:line="240" w:lineRule="auto"/>
      <w:ind w:left="2330" w:hanging="2330"/>
    </w:pPr>
    <w:rPr>
      <w:sz w:val="22"/>
    </w:rPr>
  </w:style>
  <w:style w:type="paragraph" w:customStyle="1" w:styleId="yEdnoteitem">
    <w:name w:val="yEdnote(item)"/>
    <w:basedOn w:val="Ednoteitem"/>
    <w:pPr>
      <w:spacing w:line="240" w:lineRule="auto"/>
      <w:ind w:left="3050" w:hanging="3050"/>
    </w:pPr>
    <w:rPr>
      <w:sz w:val="22"/>
    </w:rPr>
  </w:style>
  <w:style w:type="paragraph" w:customStyle="1" w:styleId="yEdnotesubitem">
    <w:name w:val="yEdnote(subitem)"/>
    <w:basedOn w:val="Ednotesubitem"/>
    <w:pPr>
      <w:spacing w:line="240" w:lineRule="auto"/>
      <w:ind w:left="3771" w:hanging="3771"/>
    </w:pPr>
  </w:style>
  <w:style w:type="paragraph" w:customStyle="1" w:styleId="Ednotedefpara">
    <w:name w:val="Ednote(defpara)"/>
    <w:basedOn w:val="Defpara"/>
    <w:rPr>
      <w:i/>
    </w:rPr>
  </w:style>
  <w:style w:type="paragraph" w:customStyle="1" w:styleId="Ednotedefitem">
    <w:name w:val="Ednote(defitem)"/>
    <w:basedOn w:val="Defitem"/>
    <w:rPr>
      <w:i/>
    </w:rPr>
  </w:style>
  <w:style w:type="paragraph" w:customStyle="1" w:styleId="Ednotedefsubpara">
    <w:name w:val="Ednote(defsubpara)"/>
    <w:basedOn w:val="Defsubpara"/>
    <w:rPr>
      <w:i/>
    </w:r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spacing w:after="480"/>
      <w:ind w:left="2304" w:right="2304"/>
      <w:jc w:val="center"/>
    </w:pPr>
    <w:rPr>
      <w:b/>
      <w:sz w:val="28"/>
    </w:rPr>
  </w:style>
  <w:style w:type="paragraph" w:customStyle="1" w:styleId="yFootnotesection">
    <w:name w:val="yFootnote(section)"/>
    <w:basedOn w:val="Footnotesection"/>
    <w:pPr>
      <w:spacing w:line="240" w:lineRule="auto"/>
      <w:ind w:left="890" w:hanging="890"/>
    </w:pPr>
    <w:rPr>
      <w:sz w:val="22"/>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before="120" w:line="240" w:lineRule="auto"/>
      <w:outlineLvl w:val="9"/>
    </w:pPr>
    <w:rPr>
      <w:sz w:val="22"/>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zDefpara">
    <w:name w:val="nzDefpara"/>
    <w:pPr>
      <w:tabs>
        <w:tab w:val="right" w:pos="1899"/>
      </w:tabs>
      <w:spacing w:before="40"/>
      <w:ind w:left="2183" w:right="284" w:hanging="1616"/>
    </w:pPr>
    <w:rPr>
      <w:snapToGrid w:val="0"/>
    </w:rPr>
  </w:style>
  <w:style w:type="paragraph" w:customStyle="1" w:styleId="nzDefstart">
    <w:name w:val="nzDefstart"/>
    <w:pPr>
      <w:spacing w:before="40"/>
      <w:ind w:left="1446" w:right="284" w:hanging="879"/>
    </w:pPr>
    <w:rPr>
      <w:snapToGrid w:val="0"/>
    </w:rPr>
  </w:style>
  <w:style w:type="paragraph" w:customStyle="1" w:styleId="nzDefsubpara">
    <w:name w:val="nzDefsubpara"/>
    <w:pPr>
      <w:keepLines/>
      <w:tabs>
        <w:tab w:val="right" w:pos="2608"/>
      </w:tabs>
      <w:spacing w:before="40"/>
      <w:ind w:left="2892" w:right="284" w:hanging="2325"/>
    </w:pPr>
    <w:rPr>
      <w:snapToGrid w:val="0"/>
    </w:rPr>
  </w:style>
  <w:style w:type="paragraph" w:customStyle="1" w:styleId="MiscOpen">
    <w:name w:val="MiscOpen"/>
    <w:pPr>
      <w:keepNext/>
      <w:keepLines/>
      <w:tabs>
        <w:tab w:val="left" w:pos="893"/>
      </w:tabs>
      <w:spacing w:before="120" w:line="260" w:lineRule="atLeast"/>
    </w:pPr>
    <w:rPr>
      <w:sz w:val="24"/>
    </w:rPr>
  </w:style>
  <w:style w:type="paragraph" w:customStyle="1" w:styleId="Ednotesubsection">
    <w:name w:val="Ednote(subsection)"/>
    <w:basedOn w:val="Ednotesection"/>
    <w:pPr>
      <w:outlineLvl w:val="9"/>
    </w:pPr>
  </w:style>
  <w:style w:type="paragraph" w:customStyle="1" w:styleId="MiscellaneousHeading">
    <w:name w:val="Miscellaneous Heading"/>
    <w:pPr>
      <w:keepNext/>
      <w:spacing w:before="160" w:line="260" w:lineRule="atLeast"/>
      <w:jc w:val="center"/>
    </w:pPr>
    <w:rPr>
      <w:sz w:val="24"/>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rPr>
  </w:style>
  <w:style w:type="paragraph" w:customStyle="1" w:styleId="FooterDisclaimer">
    <w:name w:val="Footer.Disclaimer"/>
    <w:pPr>
      <w:jc w:val="center"/>
    </w:pPr>
    <w:rPr>
      <w:rFonts w:ascii="Arial" w:hAnsi="Arial"/>
      <w:i/>
      <w:sz w:val="16"/>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customStyle="1" w:styleId="yTable">
    <w:name w:val="yTable"/>
    <w:basedOn w:val="Table"/>
    <w:pPr>
      <w:spacing w:line="240" w:lineRule="auto"/>
    </w:pPr>
  </w:style>
  <w:style w:type="paragraph" w:customStyle="1" w:styleId="nTable">
    <w:name w:val="nTable"/>
    <w:pPr>
      <w:spacing w:before="40"/>
    </w:pPr>
    <w:rPr>
      <w:sz w:val="19"/>
    </w:rPr>
  </w:style>
  <w:style w:type="paragraph" w:customStyle="1" w:styleId="nzTable">
    <w:name w:val="nzTable"/>
    <w:basedOn w:val="Normal"/>
    <w:pPr>
      <w:shd w:val="clear" w:color="808080" w:fill="auto"/>
    </w:pPr>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MiscellaneousBody"/>
    <w:pPr>
      <w:shd w:val="clear" w:color="808080" w:fill="auto"/>
      <w:ind w:left="567" w:right="284"/>
    </w:pPr>
  </w:style>
  <w:style w:type="paragraph" w:customStyle="1" w:styleId="DefinedTerms">
    <w:name w:val="Defined Terms"/>
    <w:pPr>
      <w:tabs>
        <w:tab w:val="right" w:leader="dot" w:pos="7070"/>
      </w:tabs>
      <w:ind w:left="578" w:right="578"/>
    </w:pPr>
  </w:style>
  <w:style w:type="paragraph" w:customStyle="1" w:styleId="yFootnoteheading">
    <w:name w:val="yFootnote(heading)"/>
    <w:basedOn w:val="Footnoteheading"/>
    <w:pPr>
      <w:spacing w:line="240" w:lineRule="auto"/>
    </w:pPr>
    <w:rPr>
      <w:sz w:val="22"/>
    </w:rPr>
  </w:style>
  <w:style w:type="paragraph" w:customStyle="1" w:styleId="ABillFor">
    <w:name w:val="ABillFor"/>
    <w:basedOn w:val="Normal"/>
    <w:pPr>
      <w:spacing w:before="240" w:after="600"/>
      <w:jc w:val="center"/>
    </w:pPr>
    <w:rPr>
      <w:b/>
    </w:rPr>
  </w:style>
  <w:style w:type="paragraph" w:customStyle="1" w:styleId="PrincipalActReg">
    <w:name w:val="PrincipalAct_Reg"/>
    <w:pPr>
      <w:spacing w:after="480"/>
      <w:jc w:val="center"/>
    </w:pPr>
    <w:rPr>
      <w:sz w:val="24"/>
    </w:rPr>
  </w:style>
  <w:style w:type="paragraph" w:customStyle="1" w:styleId="CentredBaseLine">
    <w:name w:val="CentredBaseLine"/>
    <w:pPr>
      <w:suppressLineNumbers/>
      <w:spacing w:before="240"/>
    </w:pPr>
  </w:style>
  <w:style w:type="paragraph" w:customStyle="1" w:styleId="MadeBy">
    <w:name w:val="MadeBy"/>
    <w:pPr>
      <w:spacing w:before="600"/>
    </w:pPr>
    <w:rPr>
      <w:sz w:val="24"/>
    </w:rPr>
  </w:style>
  <w:style w:type="paragraph" w:customStyle="1" w:styleId="ParlHouse">
    <w:name w:val="ParlHouse"/>
    <w:basedOn w:val="WA"/>
    <w:pPr>
      <w:spacing w:after="300"/>
    </w:pPr>
    <w:rPr>
      <w:u w:val="single"/>
    </w:rPr>
  </w:style>
  <w:style w:type="paragraph" w:customStyle="1" w:styleId="Equation">
    <w:name w:val="Equation"/>
    <w:rPr>
      <w:noProof/>
      <w:sz w:val="24"/>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character" w:customStyle="1" w:styleId="DraftersNotes">
    <w:name w:val="DraftersNotes"/>
    <w:basedOn w:val="DefaultParagraphFont"/>
    <w:rPr>
      <w:b/>
      <w:i/>
      <w:sz w:val="20"/>
    </w:rPr>
  </w:style>
  <w:style w:type="paragraph" w:customStyle="1" w:styleId="ByCommand">
    <w:name w:val="ByCommand"/>
    <w:basedOn w:val="Normal"/>
    <w:pPr>
      <w:tabs>
        <w:tab w:val="left" w:pos="4536"/>
      </w:tabs>
      <w:spacing w:before="240"/>
    </w:pPr>
  </w:style>
  <w:style w:type="character" w:customStyle="1" w:styleId="CharDefText">
    <w:name w:val="CharDefText"/>
    <w:basedOn w:val="DefaultParagraphFont"/>
    <w:rPr>
      <w:b/>
      <w:i/>
    </w:rPr>
  </w:style>
  <w:style w:type="character" w:customStyle="1" w:styleId="CharSchText">
    <w:name w:val="CharSchText"/>
    <w:rPr>
      <w:noProof w:val="0"/>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nzMiscellaneousBody">
    <w:name w:val="nzMiscellaneous Body"/>
    <w:basedOn w:val="zMiscellaneousBody"/>
    <w:pPr>
      <w:spacing w:before="80" w:line="240" w:lineRule="auto"/>
    </w:pPr>
    <w:rPr>
      <w:sz w:val="20"/>
    </w:rPr>
  </w:style>
  <w:style w:type="paragraph" w:customStyle="1" w:styleId="OmitFootnote">
    <w:name w:val="OmitFootnote"/>
    <w:basedOn w:val="yEdnotesection"/>
    <w:pPr>
      <w:spacing w:before="600"/>
      <w:outlineLvl w:val="1"/>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nzLongTitle">
    <w:name w:val="nzLong Title"/>
    <w:basedOn w:val="zLongTitle"/>
    <w:pPr>
      <w:spacing w:before="40"/>
    </w:pPr>
    <w:rPr>
      <w:sz w:val="20"/>
    </w:rPr>
  </w:style>
  <w:style w:type="paragraph" w:customStyle="1" w:styleId="nzNumberedItem">
    <w:name w:val="nzNumberedItem"/>
    <w:pPr>
      <w:spacing w:before="40"/>
      <w:ind w:left="1446" w:right="284" w:hanging="879"/>
    </w:pPr>
  </w:style>
  <w:style w:type="paragraph" w:customStyle="1" w:styleId="TableAm">
    <w:name w:val="TableAm"/>
    <w:basedOn w:val="Normal"/>
    <w:pPr>
      <w:spacing w:before="120"/>
    </w:pPr>
  </w:style>
  <w:style w:type="paragraph" w:customStyle="1" w:styleId="TableAmNote">
    <w:name w:val="TableAmNote"/>
    <w:pPr>
      <w:spacing w:before="60"/>
    </w:pPr>
    <w:rPr>
      <w:rFonts w:ascii="Arial" w:hAnsi="Arial"/>
    </w:r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PrincipalActRegPage1">
    <w:name w:val="PrincipalAct_Reg(Page 1)"/>
    <w:pPr>
      <w:spacing w:before="2600"/>
      <w:jc w:val="center"/>
    </w:pPr>
    <w:rPr>
      <w:sz w:val="24"/>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ReprintNo">
    <w:name w:val="ReprintNo"/>
    <w:rPr>
      <w:b/>
      <w:noProof/>
      <w:sz w:val="28"/>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defitem">
    <w:name w:val="yEdnote(defitem)"/>
    <w:basedOn w:val="yDefitem"/>
    <w:rPr>
      <w:i/>
    </w:rPr>
  </w:style>
  <w:style w:type="paragraph" w:customStyle="1" w:styleId="nzDefitem">
    <w:name w:val="nzDefitem"/>
    <w:pPr>
      <w:tabs>
        <w:tab w:val="right" w:pos="3459"/>
      </w:tabs>
      <w:spacing w:before="40"/>
      <w:ind w:left="3686" w:right="284" w:hanging="3119"/>
    </w:pPr>
    <w:rPr>
      <w:snapToGrid w:val="0"/>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nzDefsubitem">
    <w:name w:val="nzDefsubitem"/>
    <w:qFormat/>
    <w:pPr>
      <w:tabs>
        <w:tab w:val="right" w:pos="4167"/>
      </w:tabs>
      <w:spacing w:before="40"/>
      <w:ind w:left="4451" w:right="284" w:hanging="3884"/>
    </w:pPr>
    <w:rPr>
      <w:snapToGrid w:val="0"/>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nzPensubpara">
    <w:name w:val="nzPensubpara"/>
    <w:basedOn w:val="zPensubpara"/>
    <w:pPr>
      <w:spacing w:before="40" w:line="240" w:lineRule="auto"/>
    </w:pPr>
    <w:rPr>
      <w:sz w:val="20"/>
    </w:rPr>
  </w:style>
  <w:style w:type="paragraph" w:customStyle="1" w:styleId="nzPenitem">
    <w:name w:val="nzPenitem"/>
    <w:basedOn w:val="zPenitem"/>
    <w:pPr>
      <w:spacing w:before="40" w:line="240" w:lineRule="auto"/>
    </w:pPr>
    <w:rPr>
      <w:sz w:val="20"/>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nzNumberedItemPara">
    <w:name w:val="nzNumberedItemPara"/>
    <w:pPr>
      <w:tabs>
        <w:tab w:val="right" w:pos="1899"/>
      </w:tabs>
      <w:spacing w:before="40"/>
      <w:ind w:left="2183" w:right="284" w:hanging="1616"/>
    </w:p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nzNumberedItemSubPara">
    <w:name w:val="nzNumberedItemSubPara"/>
    <w:pPr>
      <w:tabs>
        <w:tab w:val="right" w:pos="2608"/>
      </w:tabs>
      <w:spacing w:before="40"/>
      <w:ind w:left="2892" w:right="284" w:hanging="2325"/>
    </w:p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nzPermNoteHeading">
    <w:name w:val="nzPermNoteHeading"/>
    <w:pPr>
      <w:spacing w:before="40"/>
      <w:ind w:left="1446" w:right="284" w:hanging="879"/>
    </w:pPr>
    <w:rPr>
      <w:rFonts w:ascii="Arial" w:hAnsi="Arial"/>
      <w:sz w:val="14"/>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nzPermNoteText">
    <w:name w:val="nzPermNoteText"/>
    <w:pPr>
      <w:tabs>
        <w:tab w:val="left" w:pos="1446"/>
      </w:tabs>
      <w:spacing w:before="40"/>
      <w:ind w:left="2013" w:right="284" w:hanging="1446"/>
    </w:pPr>
    <w:rPr>
      <w:rFonts w:ascii="Arial" w:hAnsi="Arial"/>
      <w:sz w:val="14"/>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nzPermNotePara">
    <w:name w:val="nzPermNotePara"/>
    <w:pPr>
      <w:tabs>
        <w:tab w:val="right" w:pos="2410"/>
      </w:tabs>
      <w:spacing w:before="40"/>
      <w:ind w:left="2580" w:right="284" w:hanging="2013"/>
    </w:pPr>
    <w:rPr>
      <w:rFonts w:ascii="Arial" w:hAnsi="Arial"/>
      <w:sz w:val="14"/>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nzPermNoteSubPara">
    <w:name w:val="nzPermNoteSubPara"/>
    <w:pPr>
      <w:tabs>
        <w:tab w:val="right" w:pos="2863"/>
      </w:tabs>
      <w:spacing w:before="40"/>
      <w:ind w:left="3147" w:right="284" w:hanging="2580"/>
    </w:pPr>
    <w:rPr>
      <w:rFonts w:ascii="Arial" w:hAnsi="Arial"/>
      <w:sz w:val="14"/>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nzSectAltNote">
    <w:name w:val="nzSectAltNote"/>
    <w:qFormat/>
    <w:pPr>
      <w:tabs>
        <w:tab w:val="left" w:pos="1446"/>
      </w:tabs>
      <w:spacing w:before="40"/>
      <w:ind w:left="1990" w:hanging="1423"/>
    </w:pPr>
    <w:rPr>
      <w:rFonts w:ascii="Arial" w:hAnsi="Arial"/>
      <w:sz w:val="14"/>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nzSectAltHeading">
    <w:name w:val="nzSectAltHeading"/>
    <w:qFormat/>
    <w:pPr>
      <w:tabs>
        <w:tab w:val="left" w:pos="1446"/>
      </w:tabs>
      <w:spacing w:before="40"/>
      <w:ind w:left="1990" w:hanging="1423"/>
    </w:pPr>
    <w:rPr>
      <w:rFonts w:ascii="Arial" w:hAnsi="Arial"/>
      <w:b/>
      <w:sz w:val="14"/>
    </w:rPr>
  </w:style>
  <w:style w:type="paragraph" w:customStyle="1" w:styleId="nzShoulderClause">
    <w:name w:val="nzShoulderClause"/>
    <w:next w:val="ySubsection"/>
    <w:pPr>
      <w:spacing w:before="80"/>
      <w:jc w:val="right"/>
    </w:pPr>
  </w:style>
  <w:style w:type="paragraph" w:customStyle="1" w:styleId="nzDeleteListSub">
    <w:name w:val="nzDeleteListSub"/>
    <w:pPr>
      <w:spacing w:before="80"/>
      <w:ind w:left="1446"/>
    </w:pPr>
  </w:style>
  <w:style w:type="paragraph" w:customStyle="1" w:styleId="nzDeleteListPara">
    <w:name w:val="nzDeleteListPara"/>
    <w:pPr>
      <w:spacing w:before="80"/>
      <w:ind w:left="2183"/>
    </w:pPr>
  </w:style>
  <w:style w:type="paragraph" w:customStyle="1" w:styleId="nzEdnotepart">
    <w:name w:val="nzEdnote(part)"/>
    <w:basedOn w:val="nzHeading2"/>
    <w:rPr>
      <w:b w:val="0"/>
      <w:i/>
    </w:rPr>
  </w:style>
  <w:style w:type="paragraph" w:customStyle="1" w:styleId="nzEdnotedivision">
    <w:name w:val="nzEdnote(division)"/>
    <w:basedOn w:val="nzHeading3"/>
    <w:rPr>
      <w:b w:val="0"/>
      <w:i/>
    </w:rPr>
  </w:style>
  <w:style w:type="paragraph" w:customStyle="1" w:styleId="nzEdnotesubdivision">
    <w:name w:val="nzEdnote(subdivision)"/>
    <w:basedOn w:val="nzHeading4"/>
    <w:rPr>
      <w:i/>
    </w:rPr>
  </w:style>
  <w:style w:type="paragraph" w:customStyle="1" w:styleId="nzEdnotesection">
    <w:name w:val="nzEdnote(section)"/>
    <w:basedOn w:val="nzHeading5"/>
    <w:rPr>
      <w:b w:val="0"/>
      <w:i/>
    </w:rPr>
  </w:style>
  <w:style w:type="paragraph" w:customStyle="1" w:styleId="nzEdnotesubsection">
    <w:name w:val="nzEdnote(subsection)"/>
    <w:basedOn w:val="nzSubsection"/>
    <w:rPr>
      <w:i/>
    </w:rPr>
  </w:style>
  <w:style w:type="paragraph" w:customStyle="1" w:styleId="nzEdnotepara">
    <w:name w:val="nzEdnote(para)"/>
    <w:basedOn w:val="nzIndenta"/>
    <w:rPr>
      <w:i/>
    </w:rPr>
  </w:style>
  <w:style w:type="paragraph" w:customStyle="1" w:styleId="nzEdnotesubpara">
    <w:name w:val="nzEdnote(subpara)"/>
    <w:basedOn w:val="nzIndenti"/>
    <w:rPr>
      <w:i/>
    </w:rPr>
  </w:style>
  <w:style w:type="paragraph" w:customStyle="1" w:styleId="nzEdnoteitem">
    <w:name w:val="nzEdnote(item)"/>
    <w:basedOn w:val="nzIndentI0"/>
    <w:rPr>
      <w:i/>
    </w:rPr>
  </w:style>
  <w:style w:type="paragraph" w:customStyle="1" w:styleId="nzEdnotesubitem">
    <w:name w:val="nzEdnote(subitem)"/>
    <w:basedOn w:val="nzIndentA0"/>
    <w:rPr>
      <w:i/>
    </w:rPr>
  </w:style>
  <w:style w:type="paragraph" w:customStyle="1" w:styleId="nzEdnotedefpara">
    <w:name w:val="nzEdnote(defpara)"/>
    <w:basedOn w:val="nzDefpara"/>
    <w:rPr>
      <w:i/>
    </w:rPr>
  </w:style>
  <w:style w:type="paragraph" w:customStyle="1" w:styleId="nzEdnotedefsubpara">
    <w:name w:val="nzEdnote(defsubpara)"/>
    <w:basedOn w:val="nzDefsubpara"/>
    <w:rPr>
      <w:i/>
    </w:rPr>
  </w:style>
  <w:style w:type="paragraph" w:customStyle="1" w:styleId="nzEdnotedefitem">
    <w:name w:val="nzEdnote(defitem)"/>
    <w:basedOn w:val="nzDefitem"/>
    <w:rPr>
      <w:i/>
    </w:rPr>
  </w:style>
  <w:style w:type="paragraph" w:customStyle="1" w:styleId="nzEdnotedefsubitem">
    <w:name w:val="nzEdnote(defsubitem)"/>
    <w:basedOn w:val="nzDefsubitem"/>
    <w:rPr>
      <w:i/>
    </w:rPr>
  </w:style>
  <w:style w:type="paragraph" w:customStyle="1" w:styleId="nzEdnotepenpara">
    <w:name w:val="nzEdnote(penpara)"/>
    <w:basedOn w:val="nzPenpara"/>
    <w:rPr>
      <w:i/>
    </w:rPr>
  </w:style>
  <w:style w:type="paragraph" w:customStyle="1" w:styleId="nzEdnotepensubpara">
    <w:name w:val="nzEdnote(pensubpara)"/>
    <w:basedOn w:val="nzPensubpara"/>
    <w:rPr>
      <w:i/>
    </w:rPr>
  </w:style>
  <w:style w:type="paragraph" w:customStyle="1" w:styleId="nzEdnotepenitem">
    <w:name w:val="nzEdnote(penitem)"/>
    <w:basedOn w:val="nzPenitem"/>
    <w:rPr>
      <w:i/>
    </w:rPr>
  </w:style>
  <w:style w:type="paragraph" w:customStyle="1" w:styleId="nzFootnoteheading">
    <w:name w:val="nzFootnote(heading)"/>
    <w:pPr>
      <w:tabs>
        <w:tab w:val="left" w:pos="879"/>
      </w:tabs>
      <w:spacing w:before="40"/>
      <w:ind w:left="879" w:hanging="879"/>
    </w:pPr>
    <w:rPr>
      <w:i/>
      <w:snapToGrid w:val="0"/>
    </w:rPr>
  </w:style>
  <w:style w:type="paragraph" w:customStyle="1" w:styleId="nzFootnotesection">
    <w:name w:val="nzFootnote(section)"/>
    <w:pPr>
      <w:keepLines/>
      <w:tabs>
        <w:tab w:val="left" w:pos="893"/>
      </w:tabs>
      <w:spacing w:before="40"/>
      <w:ind w:left="893" w:hanging="893"/>
    </w:pPr>
    <w:rPr>
      <w:i/>
      <w:snapToGrid w:val="0"/>
    </w:rPr>
  </w:style>
  <w:style w:type="paragraph" w:customStyle="1" w:styleId="nzFootnotelongtitle">
    <w:name w:val="nzFootnote(longtitle)"/>
    <w:basedOn w:val="nzFootnotesection"/>
  </w:style>
  <w:style w:type="paragraph" w:customStyle="1" w:styleId="nzFootnotepreamble">
    <w:name w:val="nzFootnote(preamble)"/>
    <w:basedOn w:val="nzFootnotesection"/>
  </w:style>
  <w:style w:type="paragraph" w:customStyle="1" w:styleId="nzOmitFootnote">
    <w:name w:val="nzOmitFootnote"/>
    <w:basedOn w:val="nzEdnotesectio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18" Type="http://schemas.openxmlformats.org/officeDocument/2006/relationships/footer" Target="footer5.xml"/><Relationship Id="rId26" Type="http://schemas.openxmlformats.org/officeDocument/2006/relationships/header" Target="header12.xml"/><Relationship Id="rId3" Type="http://schemas.microsoft.com/office/2007/relationships/stylesWithEffects" Target="stylesWithEffects.xml"/><Relationship Id="rId21" Type="http://schemas.openxmlformats.org/officeDocument/2006/relationships/header" Target="header7.xml"/><Relationship Id="rId34" Type="http://schemas.openxmlformats.org/officeDocument/2006/relationships/footer" Target="footer9.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header" Target="header11.xml"/><Relationship Id="rId33" Type="http://schemas.openxmlformats.org/officeDocument/2006/relationships/header" Target="header17.xml"/><Relationship Id="rId2" Type="http://schemas.openxmlformats.org/officeDocument/2006/relationships/styles" Target="styles.xml"/><Relationship Id="rId16" Type="http://schemas.openxmlformats.org/officeDocument/2006/relationships/header" Target="header5.xml"/><Relationship Id="rId20" Type="http://schemas.openxmlformats.org/officeDocument/2006/relationships/footer" Target="footer6.xml"/><Relationship Id="rId29" Type="http://schemas.openxmlformats.org/officeDocument/2006/relationships/header" Target="header15.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header" Target="header10.xml"/><Relationship Id="rId32" Type="http://schemas.openxmlformats.org/officeDocument/2006/relationships/footer" Target="footer8.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header" Target="header9.xml"/><Relationship Id="rId28" Type="http://schemas.openxmlformats.org/officeDocument/2006/relationships/header" Target="header14.xml"/><Relationship Id="rId36" Type="http://schemas.openxmlformats.org/officeDocument/2006/relationships/theme" Target="theme/theme1.xml"/><Relationship Id="rId10" Type="http://schemas.openxmlformats.org/officeDocument/2006/relationships/header" Target="header2.xml"/><Relationship Id="rId19" Type="http://schemas.openxmlformats.org/officeDocument/2006/relationships/header" Target="header6.xml"/><Relationship Id="rId31" Type="http://schemas.openxmlformats.org/officeDocument/2006/relationships/footer" Target="footer7.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eader" Target="header8.xml"/><Relationship Id="rId27" Type="http://schemas.openxmlformats.org/officeDocument/2006/relationships/header" Target="header13.xml"/><Relationship Id="rId30" Type="http://schemas.openxmlformats.org/officeDocument/2006/relationships/header" Target="header16.xml"/><Relationship Id="rId35"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10</Pages>
  <Words>1108</Words>
  <Characters>5590</Characters>
  <Application>Microsoft Office Word</Application>
  <DocSecurity>0</DocSecurity>
  <Lines>174</Lines>
  <Paragraphs>90</Paragraphs>
  <ScaleCrop>false</ScaleCrop>
  <HeadingPairs>
    <vt:vector size="2" baseType="variant">
      <vt:variant>
        <vt:lpstr>Title</vt:lpstr>
      </vt:variant>
      <vt:variant>
        <vt:i4>1</vt:i4>
      </vt:variant>
    </vt:vector>
  </HeadingPairs>
  <TitlesOfParts>
    <vt:vector size="1" baseType="lpstr">
      <vt:lpstr>WESTERN AUSTRALIA</vt:lpstr>
    </vt:vector>
  </TitlesOfParts>
  <Manager/>
  <Company/>
  <LinksUpToDate>false</LinksUpToDate>
  <CharactersWithSpaces>6608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Freemasons' Property Act 1956 - 01-a0-11</dc:title>
  <dc:subject/>
  <dc:creator/>
  <cp:keywords/>
  <dc:description/>
  <cp:lastModifiedBy>svcMRProcess</cp:lastModifiedBy>
  <cp:revision>4</cp:revision>
  <cp:lastPrinted>2000-02-24T01:32:00Z</cp:lastPrinted>
  <dcterms:created xsi:type="dcterms:W3CDTF">2015-11-05T02:37:00Z</dcterms:created>
  <dcterms:modified xsi:type="dcterms:W3CDTF">2015-11-05T02:37:00Z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ctNo">
    <vt:lpwstr>53 of 1956</vt:lpwstr>
  </property>
  <property fmtid="{D5CDD505-2E9C-101B-9397-08002B2CF9AE}" pid="3" name="CommencementDate">
    <vt:lpwstr>20000225</vt:lpwstr>
  </property>
  <property fmtid="{D5CDD505-2E9C-101B-9397-08002B2CF9AE}" pid="4" name="DocumentType">
    <vt:lpwstr>Act</vt:lpwstr>
  </property>
  <property fmtid="{D5CDD505-2E9C-101B-9397-08002B2CF9AE}" pid="5" name="AsAtDate">
    <vt:lpwstr>25 Feb 2000</vt:lpwstr>
  </property>
  <property fmtid="{D5CDD505-2E9C-101B-9397-08002B2CF9AE}" pid="6" name="Suffix">
    <vt:lpwstr>01-a0-11</vt:lpwstr>
  </property>
</Properties>
</file>