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Fuel, Energy and Power Resources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Fuel, Energy and Power Resources Act 1972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_Toc378255615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_Toc378255616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Crown bound</w:t>
      </w:r>
      <w:r>
        <w:rPr>
          <w:noProof/>
        </w:rPr>
        <w:tab/>
      </w:r>
      <w:r>
        <w:rPr>
          <w:noProof/>
        </w:rPr>
        <w:fldChar w:fldCharType="begin"/>
      </w:r>
      <w:r>
        <w:rPr>
          <w:noProof/>
        </w:rPr>
        <w:instrText xml:space="preserve"> PAGEREF _Toc378255617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Emergency provisions</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This Part to prevail over other Acts, etc.</w:t>
      </w:r>
      <w:r>
        <w:rPr>
          <w:noProof/>
        </w:rPr>
        <w:tab/>
      </w:r>
      <w:r>
        <w:rPr>
          <w:noProof/>
        </w:rPr>
        <w:fldChar w:fldCharType="begin"/>
      </w:r>
      <w:r>
        <w:rPr>
          <w:noProof/>
        </w:rPr>
        <w:instrText xml:space="preserve"> PAGEREF _Toc378255619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Administration in emergency</w:t>
      </w:r>
      <w:r>
        <w:rPr>
          <w:noProof/>
        </w:rPr>
        <w:tab/>
      </w:r>
      <w:r>
        <w:rPr>
          <w:noProof/>
        </w:rPr>
        <w:fldChar w:fldCharType="begin"/>
      </w:r>
      <w:r>
        <w:rPr>
          <w:noProof/>
        </w:rPr>
        <w:instrText xml:space="preserve"> PAGEREF _Toc378255620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Declaration of state of emergency</w:t>
      </w:r>
      <w:r>
        <w:rPr>
          <w:noProof/>
        </w:rPr>
        <w:tab/>
      </w:r>
      <w:r>
        <w:rPr>
          <w:noProof/>
        </w:rPr>
        <w:fldChar w:fldCharType="begin"/>
      </w:r>
      <w:r>
        <w:rPr>
          <w:noProof/>
        </w:rPr>
        <w:instrText xml:space="preserve"> PAGEREF _Toc378255621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w:t>
      </w:r>
      <w:r>
        <w:rPr>
          <w:rFonts w:asciiTheme="minorHAnsi" w:eastAsiaTheme="minorEastAsia" w:hAnsiTheme="minorHAnsi" w:cstheme="minorBidi"/>
          <w:noProof/>
          <w:szCs w:val="22"/>
        </w:rPr>
        <w:tab/>
      </w:r>
      <w:r>
        <w:rPr>
          <w:noProof/>
          <w:snapToGrid w:val="0"/>
        </w:rPr>
        <w:t>Order to be subject to ratification</w:t>
      </w:r>
      <w:r>
        <w:rPr>
          <w:noProof/>
        </w:rPr>
        <w:tab/>
      </w:r>
      <w:r>
        <w:rPr>
          <w:noProof/>
        </w:rPr>
        <w:fldChar w:fldCharType="begin"/>
      </w:r>
      <w:r>
        <w:rPr>
          <w:noProof/>
        </w:rPr>
        <w:instrText xml:space="preserve"> PAGEREF _Toc378255622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Limitation on operation of this Part</w:t>
      </w:r>
      <w:r>
        <w:rPr>
          <w:noProof/>
        </w:rPr>
        <w:tab/>
      </w:r>
      <w:r>
        <w:rPr>
          <w:noProof/>
        </w:rPr>
        <w:fldChar w:fldCharType="begin"/>
      </w:r>
      <w:r>
        <w:rPr>
          <w:noProof/>
        </w:rPr>
        <w:instrText xml:space="preserve"> PAGEREF _Toc378255623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w:t>
      </w:r>
      <w:r>
        <w:rPr>
          <w:rFonts w:asciiTheme="minorHAnsi" w:eastAsiaTheme="minorEastAsia" w:hAnsiTheme="minorHAnsi" w:cstheme="minorBidi"/>
          <w:noProof/>
          <w:szCs w:val="22"/>
        </w:rPr>
        <w:tab/>
      </w:r>
      <w:r>
        <w:rPr>
          <w:noProof/>
          <w:snapToGrid w:val="0"/>
        </w:rPr>
        <w:t>Validation of acts done in anticipation of emergency regulations</w:t>
      </w:r>
      <w:r>
        <w:rPr>
          <w:noProof/>
        </w:rPr>
        <w:tab/>
      </w:r>
      <w:r>
        <w:rPr>
          <w:noProof/>
        </w:rPr>
        <w:fldChar w:fldCharType="begin"/>
      </w:r>
      <w:r>
        <w:rPr>
          <w:noProof/>
        </w:rPr>
        <w:instrText xml:space="preserve"> PAGEREF _Toc378255624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Emergency regulations</w:t>
      </w:r>
      <w:r>
        <w:rPr>
          <w:noProof/>
        </w:rPr>
        <w:tab/>
      </w:r>
      <w:r>
        <w:rPr>
          <w:noProof/>
        </w:rPr>
        <w:fldChar w:fldCharType="begin"/>
      </w:r>
      <w:r>
        <w:rPr>
          <w:noProof/>
        </w:rPr>
        <w:instrText xml:space="preserve"> PAGEREF _Toc378255625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Intimidation, etc.</w:t>
      </w:r>
      <w:r>
        <w:rPr>
          <w:noProof/>
        </w:rPr>
        <w:tab/>
      </w:r>
      <w:r>
        <w:rPr>
          <w:noProof/>
        </w:rPr>
        <w:fldChar w:fldCharType="begin"/>
      </w:r>
      <w:r>
        <w:rPr>
          <w:noProof/>
        </w:rPr>
        <w:instrText xml:space="preserve"> PAGEREF _Toc378255626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Offences and penalties</w:t>
      </w:r>
      <w:r>
        <w:rPr>
          <w:noProof/>
        </w:rPr>
        <w:tab/>
      </w:r>
      <w:r>
        <w:rPr>
          <w:noProof/>
        </w:rPr>
        <w:fldChar w:fldCharType="begin"/>
      </w:r>
      <w:r>
        <w:rPr>
          <w:noProof/>
        </w:rPr>
        <w:instrText xml:space="preserve"> PAGEREF _Toc378255627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Orders and directions</w:t>
      </w:r>
      <w:r>
        <w:rPr>
          <w:noProof/>
        </w:rPr>
        <w:tab/>
      </w:r>
      <w:r>
        <w:rPr>
          <w:noProof/>
        </w:rPr>
        <w:fldChar w:fldCharType="begin"/>
      </w:r>
      <w:r>
        <w:rPr>
          <w:noProof/>
        </w:rPr>
        <w:instrText xml:space="preserve"> PAGEREF _Toc378255628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Delegation</w:t>
      </w:r>
      <w:r>
        <w:rPr>
          <w:noProof/>
        </w:rPr>
        <w:tab/>
      </w:r>
      <w:r>
        <w:rPr>
          <w:noProof/>
        </w:rPr>
        <w:fldChar w:fldCharType="begin"/>
      </w:r>
      <w:r>
        <w:rPr>
          <w:noProof/>
        </w:rPr>
        <w:instrText xml:space="preserve"> PAGEREF _Toc378255629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Expenses</w:t>
      </w:r>
      <w:r>
        <w:rPr>
          <w:noProof/>
        </w:rPr>
        <w:tab/>
      </w:r>
      <w:r>
        <w:rPr>
          <w:noProof/>
        </w:rPr>
        <w:fldChar w:fldCharType="begin"/>
      </w:r>
      <w:r>
        <w:rPr>
          <w:noProof/>
        </w:rPr>
        <w:instrText xml:space="preserve"> PAGEREF _Toc378255630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w:t>
      </w:r>
      <w:r>
        <w:rPr>
          <w:rFonts w:asciiTheme="minorHAnsi" w:eastAsiaTheme="minorEastAsia" w:hAnsiTheme="minorHAnsi" w:cstheme="minorBidi"/>
          <w:noProof/>
          <w:szCs w:val="22"/>
        </w:rPr>
        <w:tab/>
      </w:r>
      <w:r>
        <w:rPr>
          <w:noProof/>
          <w:snapToGrid w:val="0"/>
        </w:rPr>
        <w:t>Grants to meet expenditure</w:t>
      </w:r>
      <w:r>
        <w:rPr>
          <w:noProof/>
        </w:rPr>
        <w:tab/>
      </w:r>
      <w:r>
        <w:rPr>
          <w:noProof/>
        </w:rPr>
        <w:fldChar w:fldCharType="begin"/>
      </w:r>
      <w:r>
        <w:rPr>
          <w:noProof/>
        </w:rPr>
        <w:instrText xml:space="preserve"> PAGEREF _Toc378255631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Acts etc., not to be actionable</w:t>
      </w:r>
      <w:r>
        <w:rPr>
          <w:noProof/>
        </w:rPr>
        <w:tab/>
      </w:r>
      <w:r>
        <w:rPr>
          <w:noProof/>
        </w:rPr>
        <w:fldChar w:fldCharType="begin"/>
      </w:r>
      <w:r>
        <w:rPr>
          <w:noProof/>
        </w:rPr>
        <w:instrText xml:space="preserve"> PAGEREF _Toc378255632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Saving for personal injury claims</w:t>
      </w:r>
      <w:r>
        <w:rPr>
          <w:noProof/>
        </w:rPr>
        <w:tab/>
      </w:r>
      <w:r>
        <w:rPr>
          <w:noProof/>
        </w:rPr>
        <w:fldChar w:fldCharType="begin"/>
      </w:r>
      <w:r>
        <w:rPr>
          <w:noProof/>
        </w:rPr>
        <w:instrText xml:space="preserve"> PAGEREF _Toc378255633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Compensation</w:t>
      </w:r>
      <w:r>
        <w:rPr>
          <w:noProof/>
        </w:rPr>
        <w:tab/>
      </w:r>
      <w:r>
        <w:rPr>
          <w:noProof/>
        </w:rPr>
        <w:fldChar w:fldCharType="begin"/>
      </w:r>
      <w:r>
        <w:rPr>
          <w:noProof/>
        </w:rPr>
        <w:instrText xml:space="preserve"> PAGEREF _Toc378255634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Expiry or revocation of regulations</w:t>
      </w:r>
      <w:r>
        <w:rPr>
          <w:noProof/>
        </w:rPr>
        <w:tab/>
      </w:r>
      <w:r>
        <w:rPr>
          <w:noProof/>
        </w:rPr>
        <w:fldChar w:fldCharType="begin"/>
      </w:r>
      <w:r>
        <w:rPr>
          <w:noProof/>
        </w:rPr>
        <w:instrText xml:space="preserve"> PAGEREF _Toc378255635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Appeals</w:t>
      </w:r>
      <w:r>
        <w:rPr>
          <w:noProof/>
        </w:rPr>
        <w:tab/>
      </w:r>
      <w:r>
        <w:rPr>
          <w:noProof/>
        </w:rPr>
        <w:fldChar w:fldCharType="begin"/>
      </w:r>
      <w:r>
        <w:rPr>
          <w:noProof/>
        </w:rPr>
        <w:instrText xml:space="preserve"> PAGEREF _Toc378255636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False documents and false statements</w:t>
      </w:r>
      <w:r>
        <w:rPr>
          <w:noProof/>
        </w:rPr>
        <w:tab/>
      </w:r>
      <w:r>
        <w:rPr>
          <w:noProof/>
        </w:rPr>
        <w:fldChar w:fldCharType="begin"/>
      </w:r>
      <w:r>
        <w:rPr>
          <w:noProof/>
        </w:rPr>
        <w:instrText xml:space="preserve"> PAGEREF _Toc378255637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w:t>
      </w:r>
      <w:r>
        <w:rPr>
          <w:rFonts w:asciiTheme="minorHAnsi" w:eastAsiaTheme="minorEastAsia" w:hAnsiTheme="minorHAnsi" w:cstheme="minorBidi"/>
          <w:noProof/>
          <w:szCs w:val="22"/>
        </w:rPr>
        <w:tab/>
      </w:r>
      <w:r>
        <w:rPr>
          <w:noProof/>
          <w:snapToGrid w:val="0"/>
        </w:rPr>
        <w:t>Consent to prosecutions</w:t>
      </w:r>
      <w:r>
        <w:rPr>
          <w:noProof/>
        </w:rPr>
        <w:tab/>
      </w:r>
      <w:r>
        <w:rPr>
          <w:noProof/>
        </w:rPr>
        <w:fldChar w:fldCharType="begin"/>
      </w:r>
      <w:r>
        <w:rPr>
          <w:noProof/>
        </w:rPr>
        <w:instrText xml:space="preserve"> PAGEREF _Toc378255638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61</w:t>
      </w:r>
      <w:r>
        <w:rPr>
          <w:bCs/>
          <w:noProof/>
        </w:rPr>
        <w:t>.</w:t>
      </w:r>
      <w:r>
        <w:rPr>
          <w:rFonts w:asciiTheme="minorHAnsi" w:eastAsiaTheme="minorEastAsia" w:hAnsiTheme="minorHAnsi" w:cstheme="minorBidi"/>
          <w:noProof/>
          <w:szCs w:val="22"/>
        </w:rPr>
        <w:tab/>
      </w:r>
      <w:r>
        <w:rPr>
          <w:bCs/>
          <w:noProof/>
        </w:rPr>
        <w:t>Offences to be dealt with by magistrate</w:t>
      </w:r>
      <w:r>
        <w:rPr>
          <w:noProof/>
        </w:rPr>
        <w:tab/>
      </w:r>
      <w:r>
        <w:rPr>
          <w:noProof/>
        </w:rPr>
        <w:fldChar w:fldCharType="begin"/>
      </w:r>
      <w:r>
        <w:rPr>
          <w:noProof/>
        </w:rPr>
        <w:instrText xml:space="preserve"> PAGEREF _Toc378255639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62</w:t>
      </w:r>
      <w:r>
        <w:rPr>
          <w:noProof/>
          <w:snapToGrid w:val="0"/>
        </w:rPr>
        <w:t>.</w:t>
      </w:r>
      <w:r>
        <w:rPr>
          <w:rFonts w:asciiTheme="minorHAnsi" w:eastAsiaTheme="minorEastAsia" w:hAnsiTheme="minorHAnsi" w:cstheme="minorBidi"/>
          <w:noProof/>
          <w:szCs w:val="22"/>
        </w:rPr>
        <w:tab/>
      </w:r>
      <w:r>
        <w:rPr>
          <w:noProof/>
          <w:snapToGrid w:val="0"/>
        </w:rPr>
        <w:t>Evidence, etc.</w:t>
      </w:r>
      <w:r>
        <w:rPr>
          <w:noProof/>
        </w:rPr>
        <w:tab/>
      </w:r>
      <w:r>
        <w:rPr>
          <w:noProof/>
        </w:rPr>
        <w:fldChar w:fldCharType="begin"/>
      </w:r>
      <w:r>
        <w:rPr>
          <w:noProof/>
        </w:rPr>
        <w:instrText xml:space="preserve"> PAGEREF _Toc378255640 \h </w:instrText>
      </w:r>
      <w:r>
        <w:rPr>
          <w:noProof/>
        </w:rPr>
      </w:r>
      <w:r>
        <w:rPr>
          <w:noProof/>
        </w:rPr>
        <w:fldChar w:fldCharType="separate"/>
      </w:r>
      <w:r>
        <w:rPr>
          <w:noProof/>
        </w:rPr>
        <w:t>15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lastRenderedPageBreak/>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_Toc378255642 \h </w:instrText>
      </w:r>
      <w:r>
        <w:rPr>
          <w:noProof/>
        </w:rPr>
      </w:r>
      <w:r>
        <w:rPr>
          <w:noProof/>
        </w:rPr>
        <w:fldChar w:fldCharType="separate"/>
      </w:r>
      <w:r>
        <w:rPr>
          <w:noProof/>
        </w:rPr>
        <w:t>17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440"/>
      </w:pPr>
      <w:r>
        <w:t xml:space="preserve">Fuel, Energy and Power Resources Act 1972 </w:t>
      </w:r>
    </w:p>
    <w:p>
      <w:pPr>
        <w:pStyle w:val="LongTitle"/>
        <w:rPr>
          <w:snapToGrid w:val="0"/>
        </w:rPr>
      </w:pPr>
      <w:r>
        <w:rPr>
          <w:snapToGrid w:val="0"/>
        </w:rPr>
        <w:t xml:space="preserve">An Act to make provision for the conservation and utilisation of the present and future sources and supplies of fuel, energy, and power in and to Western Australia, the establishment and functions of the Fuel and Power Commission of Western Australia and the Fuel and Power Advisory Council, and for purposes connected therewith. </w:t>
      </w:r>
    </w:p>
    <w:p>
      <w:pPr>
        <w:pStyle w:val="Heading2"/>
      </w:pPr>
      <w:bookmarkStart w:id="1" w:name="_Toc37825561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rPr>
          <w:snapToGrid w:val="0"/>
        </w:rPr>
      </w:pPr>
      <w:r>
        <w:rPr>
          <w:snapToGrid w:val="0"/>
        </w:rPr>
        <w:tab/>
        <w:t>[Heading inserted by No. 22 of 1974 s. 3.]</w:t>
      </w:r>
    </w:p>
    <w:p>
      <w:pPr>
        <w:pStyle w:val="Heading5"/>
        <w:rPr>
          <w:snapToGrid w:val="0"/>
        </w:rPr>
      </w:pPr>
      <w:bookmarkStart w:id="2" w:name="_Toc37825561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vertAlign w:val="superscript"/>
        </w:rPr>
        <w:t xml:space="preserve"> 1</w:t>
      </w:r>
      <w:r>
        <w:rPr>
          <w:snapToGrid w:val="0"/>
        </w:rPr>
        <w:t>.</w:t>
      </w:r>
    </w:p>
    <w:p>
      <w:pPr>
        <w:pStyle w:val="Heading5"/>
        <w:rPr>
          <w:snapToGrid w:val="0"/>
        </w:rPr>
      </w:pPr>
      <w:bookmarkStart w:id="3" w:name="_Toc37825561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4" w:name="_Toc378255617"/>
      <w:r>
        <w:rPr>
          <w:rStyle w:val="CharSectno"/>
        </w:rPr>
        <w:t>3</w:t>
      </w:r>
      <w:r>
        <w:rPr>
          <w:snapToGrid w:val="0"/>
        </w:rPr>
        <w:t>.</w:t>
      </w:r>
      <w:r>
        <w:rPr>
          <w:snapToGrid w:val="0"/>
        </w:rPr>
        <w:tab/>
        <w:t>Crown bound</w:t>
      </w:r>
      <w:bookmarkEnd w:id="4"/>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w:t>
      </w:r>
      <w:r>
        <w:tab/>
        <w:t xml:space="preserve">Deleted by No. 89 of 1994 s. 109.] </w:t>
      </w:r>
    </w:p>
    <w:p>
      <w:pPr>
        <w:pStyle w:val="Ednotesection"/>
      </w:pPr>
      <w:r>
        <w:t>[</w:t>
      </w:r>
      <w:r>
        <w:rPr>
          <w:b/>
        </w:rPr>
        <w:t>4A.</w:t>
      </w:r>
      <w:r>
        <w:tab/>
        <w:t>Deleted by No. 10 of 1998 s. 76.]</w:t>
      </w:r>
    </w:p>
    <w:p>
      <w:pPr>
        <w:pStyle w:val="Ednotepart"/>
      </w:pPr>
      <w:r>
        <w:t>[Part II (s. 5-40) deleted by No. 25 of 1975 s. 32.]</w:t>
      </w:r>
    </w:p>
    <w:p>
      <w:pPr>
        <w:pStyle w:val="Heading2"/>
      </w:pPr>
      <w:bookmarkStart w:id="5" w:name="_Toc378255618"/>
      <w:r>
        <w:rPr>
          <w:rStyle w:val="CharPartNo"/>
        </w:rPr>
        <w:t>Part III</w:t>
      </w:r>
      <w:r>
        <w:rPr>
          <w:rStyle w:val="CharDivNo"/>
        </w:rPr>
        <w:t> </w:t>
      </w:r>
      <w:r>
        <w:t>—</w:t>
      </w:r>
      <w:r>
        <w:rPr>
          <w:rStyle w:val="CharDivText"/>
        </w:rPr>
        <w:t> </w:t>
      </w:r>
      <w:r>
        <w:rPr>
          <w:rStyle w:val="CharPartText"/>
        </w:rPr>
        <w:t>Emergency provisions</w:t>
      </w:r>
      <w:bookmarkEnd w:id="5"/>
      <w:r>
        <w:rPr>
          <w:rStyle w:val="CharPartText"/>
        </w:rPr>
        <w:t xml:space="preserve"> </w:t>
      </w:r>
    </w:p>
    <w:p>
      <w:pPr>
        <w:pStyle w:val="Footnoteheading"/>
        <w:rPr>
          <w:snapToGrid w:val="0"/>
        </w:rPr>
      </w:pPr>
      <w:r>
        <w:rPr>
          <w:snapToGrid w:val="0"/>
        </w:rPr>
        <w:tab/>
        <w:t>[Heading inserted by No. 22 of 1974 s. 3.]</w:t>
      </w:r>
    </w:p>
    <w:p>
      <w:pPr>
        <w:pStyle w:val="Heading5"/>
        <w:rPr>
          <w:snapToGrid w:val="0"/>
        </w:rPr>
      </w:pPr>
      <w:bookmarkStart w:id="6" w:name="_Toc378255619"/>
      <w:r>
        <w:rPr>
          <w:rStyle w:val="CharSectno"/>
        </w:rPr>
        <w:t>41</w:t>
      </w:r>
      <w:r>
        <w:rPr>
          <w:snapToGrid w:val="0"/>
        </w:rPr>
        <w:t>.</w:t>
      </w:r>
      <w:r>
        <w:rPr>
          <w:snapToGrid w:val="0"/>
        </w:rPr>
        <w:tab/>
        <w:t>This Part to prevail over other Acts, etc.</w:t>
      </w:r>
      <w:bookmarkEnd w:id="6"/>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 xml:space="preserve">[Section 41 inserted by No. 22 of 1974 s. 4; amended by No. 14 of 1996 s. 4.] </w:t>
      </w:r>
    </w:p>
    <w:p>
      <w:pPr>
        <w:pStyle w:val="Heading5"/>
        <w:rPr>
          <w:snapToGrid w:val="0"/>
        </w:rPr>
      </w:pPr>
      <w:bookmarkStart w:id="7" w:name="_Toc378255620"/>
      <w:r>
        <w:rPr>
          <w:rStyle w:val="CharSectno"/>
        </w:rPr>
        <w:t>42</w:t>
      </w:r>
      <w:r>
        <w:rPr>
          <w:snapToGrid w:val="0"/>
        </w:rPr>
        <w:t>.</w:t>
      </w:r>
      <w:r>
        <w:rPr>
          <w:snapToGrid w:val="0"/>
        </w:rPr>
        <w:tab/>
        <w:t>Administration in emergency</w:t>
      </w:r>
      <w:bookmarkEnd w:id="7"/>
      <w:r>
        <w:rPr>
          <w:snapToGrid w:val="0"/>
        </w:rPr>
        <w:t xml:space="preserve"> </w:t>
      </w:r>
    </w:p>
    <w:p>
      <w:pPr>
        <w:pStyle w:val="Subsection"/>
        <w:rPr>
          <w:snapToGrid w:val="0"/>
        </w:rPr>
      </w:pPr>
      <w:r>
        <w:rPr>
          <w:snapToGrid w:val="0"/>
        </w:rPr>
        <w:tab/>
      </w:r>
      <w:r>
        <w:rPr>
          <w:snapToGrid w:val="0"/>
        </w:rPr>
        <w:tab/>
        <w:t>Notwithstanding the provisions of section 5, where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 xml:space="preserve">[Section 42 inserted by No. 22 of 1974 s. 5; amended by No. 89 of 1994 s. 109.] </w:t>
      </w:r>
    </w:p>
    <w:p>
      <w:pPr>
        <w:pStyle w:val="Heading5"/>
        <w:rPr>
          <w:snapToGrid w:val="0"/>
        </w:rPr>
      </w:pPr>
      <w:bookmarkStart w:id="8" w:name="_Toc378255621"/>
      <w:r>
        <w:rPr>
          <w:rStyle w:val="CharSectno"/>
        </w:rPr>
        <w:t>43</w:t>
      </w:r>
      <w:r>
        <w:rPr>
          <w:snapToGrid w:val="0"/>
        </w:rPr>
        <w:t>.</w:t>
      </w:r>
      <w:r>
        <w:rPr>
          <w:snapToGrid w:val="0"/>
        </w:rPr>
        <w:tab/>
        <w:t>Declaration of state of emergency</w:t>
      </w:r>
      <w:bookmarkEnd w:id="8"/>
      <w:r>
        <w:rPr>
          <w:snapToGrid w:val="0"/>
        </w:rPr>
        <w:t xml:space="preserve"> </w:t>
      </w:r>
    </w:p>
    <w:p>
      <w:pPr>
        <w:pStyle w:val="Subsection"/>
        <w:rPr>
          <w:snapToGrid w:val="0"/>
        </w:rPr>
      </w:pPr>
      <w:r>
        <w:rPr>
          <w:snapToGrid w:val="0"/>
        </w:rPr>
        <w:tab/>
        <w:t>(1)</w:t>
      </w:r>
      <w:r>
        <w:rPr>
          <w:snapToGrid w:val="0"/>
        </w:rPr>
        <w:tab/>
        <w:t>At any time, if the Governor is satisfied that by reason of embargoes by oil producing countries, disruption of shipping services, disruption of other transport whether outside or within 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 xml:space="preserve">[Section 43 inserted by No. 22 of 1974 s. 6.] </w:t>
      </w:r>
    </w:p>
    <w:p>
      <w:pPr>
        <w:pStyle w:val="Heading5"/>
        <w:rPr>
          <w:snapToGrid w:val="0"/>
        </w:rPr>
      </w:pPr>
      <w:bookmarkStart w:id="9" w:name="_Toc378255622"/>
      <w:r>
        <w:rPr>
          <w:rStyle w:val="CharSectno"/>
        </w:rPr>
        <w:t>44</w:t>
      </w:r>
      <w:r>
        <w:rPr>
          <w:snapToGrid w:val="0"/>
        </w:rPr>
        <w:t>.</w:t>
      </w:r>
      <w:r>
        <w:rPr>
          <w:snapToGrid w:val="0"/>
        </w:rPr>
        <w:tab/>
        <w:t>Order to be subject to ratification</w:t>
      </w:r>
      <w:bookmarkEnd w:id="9"/>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 xml:space="preserve">[Section 44 inserted by No. 22 of 1974 s. 7.] </w:t>
      </w:r>
    </w:p>
    <w:p>
      <w:pPr>
        <w:pStyle w:val="Heading5"/>
        <w:rPr>
          <w:snapToGrid w:val="0"/>
        </w:rPr>
      </w:pPr>
      <w:bookmarkStart w:id="10" w:name="_Toc378255623"/>
      <w:r>
        <w:rPr>
          <w:rStyle w:val="CharSectno"/>
        </w:rPr>
        <w:t>45</w:t>
      </w:r>
      <w:r>
        <w:rPr>
          <w:snapToGrid w:val="0"/>
        </w:rPr>
        <w:t>.</w:t>
      </w:r>
      <w:r>
        <w:rPr>
          <w:snapToGrid w:val="0"/>
        </w:rPr>
        <w:tab/>
        <w:t>Limitation on operation of this Part</w:t>
      </w:r>
      <w:bookmarkEnd w:id="10"/>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 xml:space="preserve">[Section 45 inserted by No. 22 of 1974 s. 8.] </w:t>
      </w:r>
    </w:p>
    <w:p>
      <w:pPr>
        <w:pStyle w:val="Heading5"/>
        <w:rPr>
          <w:snapToGrid w:val="0"/>
        </w:rPr>
      </w:pPr>
      <w:bookmarkStart w:id="11" w:name="_Toc378255624"/>
      <w:r>
        <w:rPr>
          <w:rStyle w:val="CharSectno"/>
        </w:rPr>
        <w:t>46</w:t>
      </w:r>
      <w:r>
        <w:rPr>
          <w:snapToGrid w:val="0"/>
        </w:rPr>
        <w:t>.</w:t>
      </w:r>
      <w:r>
        <w:rPr>
          <w:snapToGrid w:val="0"/>
        </w:rPr>
        <w:tab/>
        <w:t>Validation of acts done in anticipation of emergency regulations</w:t>
      </w:r>
      <w:bookmarkEnd w:id="11"/>
      <w:r>
        <w:rPr>
          <w:snapToGrid w:val="0"/>
        </w:rPr>
        <w:t xml:space="preserve"> </w:t>
      </w:r>
    </w:p>
    <w:p>
      <w:pPr>
        <w:pStyle w:val="Subsection"/>
        <w:rPr>
          <w:snapToGrid w:val="0"/>
        </w:rPr>
      </w:pPr>
      <w:r>
        <w:rPr>
          <w:snapToGrid w:val="0"/>
        </w:rPr>
        <w:tab/>
      </w:r>
      <w:r>
        <w:rPr>
          <w:snapToGrid w:val="0"/>
        </w:rPr>
        <w:tab/>
        <w: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t>
      </w:r>
    </w:p>
    <w:p>
      <w:pPr>
        <w:pStyle w:val="Footnotesection"/>
      </w:pPr>
      <w:r>
        <w:tab/>
        <w:t xml:space="preserve">[Section 46 inserted by No. 22 of 1974 s. 9.] </w:t>
      </w:r>
    </w:p>
    <w:p>
      <w:pPr>
        <w:pStyle w:val="Heading5"/>
        <w:rPr>
          <w:snapToGrid w:val="0"/>
        </w:rPr>
      </w:pPr>
      <w:bookmarkStart w:id="12" w:name="_Toc378255625"/>
      <w:r>
        <w:rPr>
          <w:rStyle w:val="CharSectno"/>
        </w:rPr>
        <w:t>47</w:t>
      </w:r>
      <w:r>
        <w:rPr>
          <w:snapToGrid w:val="0"/>
        </w:rPr>
        <w:t>.</w:t>
      </w:r>
      <w:r>
        <w:rPr>
          <w:snapToGrid w:val="0"/>
        </w:rPr>
        <w:tab/>
        <w:t>Emergency regulations</w:t>
      </w:r>
      <w:bookmarkEnd w:id="12"/>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w:t>
      </w:r>
    </w:p>
    <w:p>
      <w:pPr>
        <w:pStyle w:val="Indenta"/>
        <w:rPr>
          <w:snapToGrid w:val="0"/>
        </w:rPr>
      </w:pPr>
      <w:r>
        <w:rPr>
          <w:snapToGrid w:val="0"/>
        </w:rPr>
        <w:tab/>
        <w:t>(b)</w:t>
      </w:r>
      <w:r>
        <w:rPr>
          <w:snapToGrid w:val="0"/>
        </w:rPr>
        <w:tab/>
        <w:t>ascertaining the holdings of all fuel, energy and power resources and the administration of those resources by the State;</w:t>
      </w:r>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w:t>
      </w:r>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w:t>
      </w:r>
    </w:p>
    <w:p>
      <w:pPr>
        <w:pStyle w:val="Indenta"/>
        <w:rPr>
          <w:snapToGrid w:val="0"/>
        </w:rPr>
      </w:pPr>
      <w:r>
        <w:rPr>
          <w:snapToGrid w:val="0"/>
        </w:rPr>
        <w:tab/>
        <w:t>(e)</w:t>
      </w:r>
      <w:r>
        <w:rPr>
          <w:snapToGrid w:val="0"/>
        </w:rPr>
        <w:tab/>
        <w:t>requiring producers, holders, suppliers, transporters and users to submit returns or information, which may be required to be given or verified by statutory declaration or in any other manner specified therein;</w:t>
      </w:r>
    </w:p>
    <w:p>
      <w:pPr>
        <w:pStyle w:val="Indenta"/>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w:t>
      </w:r>
    </w:p>
    <w:p>
      <w:pPr>
        <w:pStyle w:val="Indenta"/>
        <w:rPr>
          <w:snapToGrid w:val="0"/>
        </w:rPr>
      </w:pPr>
      <w:r>
        <w:rPr>
          <w:snapToGrid w:val="0"/>
        </w:rPr>
        <w:tab/>
        <w:t>(g)</w:t>
      </w:r>
      <w:r>
        <w:rPr>
          <w:snapToGrid w:val="0"/>
        </w:rPr>
        <w:tab/>
        <w:t>the imposition of penalties not inconsistent with the provisions of section 49;</w:t>
      </w:r>
    </w:p>
    <w:p>
      <w:pPr>
        <w:pStyle w:val="Indenta"/>
        <w:rPr>
          <w:snapToGrid w:val="0"/>
        </w:rPr>
      </w:pPr>
      <w:r>
        <w:rPr>
          <w:snapToGrid w:val="0"/>
        </w:rPr>
        <w:tab/>
        <w:t>(h)</w:t>
      </w:r>
      <w:r>
        <w:rPr>
          <w:snapToGrid w:val="0"/>
        </w:rPr>
        <w:tab/>
        <w:t>the imposition and recovery of charges in connection with any scheme of control;</w:t>
      </w:r>
    </w:p>
    <w:p>
      <w:pPr>
        <w:pStyle w:val="Indenta"/>
        <w:rPr>
          <w:snapToGrid w:val="0"/>
        </w:rPr>
      </w:pPr>
      <w:r>
        <w:rPr>
          <w:snapToGrid w:val="0"/>
        </w:rPr>
        <w:tab/>
        <w:t>(i)</w:t>
      </w:r>
      <w:r>
        <w:rPr>
          <w:snapToGrid w:val="0"/>
        </w:rPr>
        <w:tab/>
        <w:t>the making, negotiation and settlement and arbitration of claims for compensation under this Part;</w:t>
      </w:r>
    </w:p>
    <w:p>
      <w:pPr>
        <w:pStyle w:val="Indenta"/>
        <w:rPr>
          <w:snapToGrid w:val="0"/>
        </w:rPr>
      </w:pPr>
      <w:r>
        <w:rPr>
          <w:snapToGrid w:val="0"/>
        </w:rPr>
        <w:tab/>
        <w:t>(j)</w:t>
      </w:r>
      <w:r>
        <w:rPr>
          <w:snapToGrid w:val="0"/>
        </w:rPr>
        <w:tab/>
        <w:t>the procedure to be followed in relation to any application, proceedings or appeal under this Part;</w:t>
      </w:r>
    </w:p>
    <w:p>
      <w:pPr>
        <w:pStyle w:val="Indenta"/>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pPr>
      <w:r>
        <w:tab/>
        <w:t xml:space="preserve">[Section 47 inserted by No. 22 of 1974 s. 10.] </w:t>
      </w:r>
    </w:p>
    <w:p>
      <w:pPr>
        <w:pStyle w:val="Heading5"/>
        <w:rPr>
          <w:snapToGrid w:val="0"/>
        </w:rPr>
      </w:pPr>
      <w:bookmarkStart w:id="13" w:name="_Toc378255626"/>
      <w:r>
        <w:rPr>
          <w:rStyle w:val="CharSectno"/>
        </w:rPr>
        <w:t>48</w:t>
      </w:r>
      <w:r>
        <w:rPr>
          <w:snapToGrid w:val="0"/>
        </w:rPr>
        <w:t>.</w:t>
      </w:r>
      <w:r>
        <w:rPr>
          <w:snapToGrid w:val="0"/>
        </w:rPr>
        <w:tab/>
        <w:t>Intimidation, etc.</w:t>
      </w:r>
      <w:bookmarkEnd w:id="13"/>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pPr>
      <w:r>
        <w:tab/>
        <w:t xml:space="preserve">[Section 48 inserted by No. 22 of 1974 s. 11.] </w:t>
      </w:r>
    </w:p>
    <w:p>
      <w:pPr>
        <w:pStyle w:val="Heading5"/>
        <w:rPr>
          <w:snapToGrid w:val="0"/>
        </w:rPr>
      </w:pPr>
      <w:bookmarkStart w:id="14" w:name="_Toc378255627"/>
      <w:r>
        <w:rPr>
          <w:rStyle w:val="CharSectno"/>
        </w:rPr>
        <w:t>49</w:t>
      </w:r>
      <w:r>
        <w:rPr>
          <w:snapToGrid w:val="0"/>
        </w:rPr>
        <w:t>.</w:t>
      </w:r>
      <w:r>
        <w:rPr>
          <w:snapToGrid w:val="0"/>
        </w:rPr>
        <w:tab/>
        <w:t>Offences and penalties</w:t>
      </w:r>
      <w:bookmarkEnd w:id="1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 xml:space="preserve">[Section 49 inserted by No. 22 of 1974 s. 12; amended by No. 50 of 2003 s. 65(2).] </w:t>
      </w:r>
    </w:p>
    <w:p>
      <w:pPr>
        <w:pStyle w:val="Heading5"/>
        <w:rPr>
          <w:snapToGrid w:val="0"/>
        </w:rPr>
      </w:pPr>
      <w:bookmarkStart w:id="15" w:name="_Toc378255628"/>
      <w:r>
        <w:rPr>
          <w:rStyle w:val="CharSectno"/>
        </w:rPr>
        <w:t>50</w:t>
      </w:r>
      <w:r>
        <w:rPr>
          <w:snapToGrid w:val="0"/>
        </w:rPr>
        <w:t>.</w:t>
      </w:r>
      <w:r>
        <w:rPr>
          <w:snapToGrid w:val="0"/>
        </w:rPr>
        <w:tab/>
        <w:t>Orders and directions</w:t>
      </w:r>
      <w:bookmarkEnd w:id="15"/>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r>
        <w:rPr>
          <w:snapToGrid w:val="0"/>
          <w:vertAlign w:val="superscript"/>
        </w:rPr>
        <w:t xml:space="preserve"> 2</w:t>
      </w:r>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 xml:space="preserve">[Section 50 inserted by No. 22 of 1974 s. 13; amended by No. 84 of 2004 s. 82.] </w:t>
      </w:r>
    </w:p>
    <w:p>
      <w:pPr>
        <w:pStyle w:val="Heading5"/>
        <w:spacing w:before="180"/>
        <w:rPr>
          <w:snapToGrid w:val="0"/>
        </w:rPr>
      </w:pPr>
      <w:bookmarkStart w:id="16" w:name="_Toc378255629"/>
      <w:r>
        <w:rPr>
          <w:rStyle w:val="CharSectno"/>
        </w:rPr>
        <w:t>51</w:t>
      </w:r>
      <w:r>
        <w:rPr>
          <w:snapToGrid w:val="0"/>
        </w:rPr>
        <w:t>.</w:t>
      </w:r>
      <w:r>
        <w:rPr>
          <w:snapToGrid w:val="0"/>
        </w:rPr>
        <w:tab/>
        <w:t>Delegation</w:t>
      </w:r>
      <w:bookmarkEnd w:id="16"/>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 xml:space="preserve">[Section 51 inserted by No. 22 of 1974 s. 14.] </w:t>
      </w:r>
    </w:p>
    <w:p>
      <w:pPr>
        <w:pStyle w:val="Heading5"/>
        <w:spacing w:before="180"/>
        <w:rPr>
          <w:snapToGrid w:val="0"/>
        </w:rPr>
      </w:pPr>
      <w:bookmarkStart w:id="17" w:name="_Toc378255630"/>
      <w:r>
        <w:rPr>
          <w:rStyle w:val="CharSectno"/>
        </w:rPr>
        <w:t>52</w:t>
      </w:r>
      <w:r>
        <w:rPr>
          <w:snapToGrid w:val="0"/>
        </w:rPr>
        <w:t>.</w:t>
      </w:r>
      <w:r>
        <w:rPr>
          <w:snapToGrid w:val="0"/>
        </w:rPr>
        <w:tab/>
        <w:t>Expenses</w:t>
      </w:r>
      <w:bookmarkEnd w:id="17"/>
      <w:r>
        <w:rPr>
          <w:snapToGrid w:val="0"/>
        </w:rPr>
        <w:t xml:space="preserve"> </w:t>
      </w:r>
    </w:p>
    <w:p>
      <w:pPr>
        <w:pStyle w:val="Subsection"/>
        <w:rPr>
          <w:snapToGrid w:val="0"/>
        </w:rPr>
      </w:pPr>
      <w:r>
        <w:rPr>
          <w:snapToGrid w:val="0"/>
        </w:rPr>
        <w:tab/>
      </w:r>
      <w:r>
        <w:rPr>
          <w:snapToGrid w:val="0"/>
        </w:rPr>
        <w:tab/>
        <w: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 xml:space="preserve">[Section 52 inserted by No. 22 of 1974 s. 15; amended by No. 89 of 1994 s. 109.] </w:t>
      </w:r>
    </w:p>
    <w:p>
      <w:pPr>
        <w:pStyle w:val="Heading5"/>
        <w:spacing w:before="180"/>
        <w:rPr>
          <w:snapToGrid w:val="0"/>
        </w:rPr>
      </w:pPr>
      <w:bookmarkStart w:id="18" w:name="_Toc378255631"/>
      <w:r>
        <w:rPr>
          <w:rStyle w:val="CharSectno"/>
        </w:rPr>
        <w:t>53</w:t>
      </w:r>
      <w:r>
        <w:rPr>
          <w:snapToGrid w:val="0"/>
        </w:rPr>
        <w:t>.</w:t>
      </w:r>
      <w:r>
        <w:rPr>
          <w:snapToGrid w:val="0"/>
        </w:rPr>
        <w:tab/>
        <w:t>Grants to meet expenditure</w:t>
      </w:r>
      <w:bookmarkEnd w:id="18"/>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 xml:space="preserve">[Section 53 inserted by No. 22 of 1974 s. 16; amended by No. 14 of 1996 s. 4.] </w:t>
      </w:r>
    </w:p>
    <w:p>
      <w:pPr>
        <w:pStyle w:val="Heading5"/>
        <w:spacing w:before="180"/>
        <w:rPr>
          <w:snapToGrid w:val="0"/>
        </w:rPr>
      </w:pPr>
      <w:bookmarkStart w:id="19" w:name="_Toc378255632"/>
      <w:r>
        <w:rPr>
          <w:rStyle w:val="CharSectno"/>
        </w:rPr>
        <w:t>54</w:t>
      </w:r>
      <w:r>
        <w:rPr>
          <w:snapToGrid w:val="0"/>
        </w:rPr>
        <w:t>.</w:t>
      </w:r>
      <w:r>
        <w:rPr>
          <w:snapToGrid w:val="0"/>
        </w:rPr>
        <w:tab/>
        <w:t>Acts etc., not to be actionable</w:t>
      </w:r>
      <w:bookmarkEnd w:id="19"/>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 xml:space="preserve">[Section 54 inserted by No. 22 of 1974 s. 17.] </w:t>
      </w:r>
    </w:p>
    <w:p>
      <w:pPr>
        <w:pStyle w:val="Heading5"/>
        <w:rPr>
          <w:snapToGrid w:val="0"/>
        </w:rPr>
      </w:pPr>
      <w:bookmarkStart w:id="20" w:name="_Toc378255633"/>
      <w:r>
        <w:rPr>
          <w:rStyle w:val="CharSectno"/>
        </w:rPr>
        <w:t>55</w:t>
      </w:r>
      <w:r>
        <w:rPr>
          <w:snapToGrid w:val="0"/>
        </w:rPr>
        <w:t>.</w:t>
      </w:r>
      <w:r>
        <w:rPr>
          <w:snapToGrid w:val="0"/>
        </w:rPr>
        <w:tab/>
        <w:t>Saving for personal injury claims</w:t>
      </w:r>
      <w:bookmarkEnd w:id="20"/>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 xml:space="preserve">[Section 55 inserted by No. 22 of 1974 s. 18.] </w:t>
      </w:r>
    </w:p>
    <w:p>
      <w:pPr>
        <w:pStyle w:val="Heading5"/>
        <w:rPr>
          <w:snapToGrid w:val="0"/>
        </w:rPr>
      </w:pPr>
      <w:bookmarkStart w:id="21" w:name="_Toc378255634"/>
      <w:r>
        <w:rPr>
          <w:rStyle w:val="CharSectno"/>
        </w:rPr>
        <w:t>56</w:t>
      </w:r>
      <w:r>
        <w:rPr>
          <w:snapToGrid w:val="0"/>
        </w:rPr>
        <w:t>.</w:t>
      </w:r>
      <w:r>
        <w:rPr>
          <w:snapToGrid w:val="0"/>
        </w:rPr>
        <w:tab/>
        <w:t>Compensation</w:t>
      </w:r>
      <w:bookmarkEnd w:id="21"/>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t>
      </w:r>
    </w:p>
    <w:p>
      <w:pPr>
        <w:pStyle w:val="Subsection"/>
        <w:rPr>
          <w:snapToGrid w:val="0"/>
        </w:rPr>
      </w:pPr>
      <w:r>
        <w:rPr>
          <w:snapToGrid w:val="0"/>
        </w:rPr>
        <w:tab/>
        <w:t>(4)</w:t>
      </w:r>
      <w:r>
        <w:rPr>
          <w:snapToGrid w:val="0"/>
        </w:rPr>
        <w:tab/>
        <w:t>The procedure to be followed at the arbitration shall be as determined by the arbitrator, but, subject to any such determination, the procedure shall be as nearly as possible the 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 xml:space="preserve">[Section 56 inserted by No. 22 of 1974 s. 19.] </w:t>
      </w:r>
    </w:p>
    <w:p>
      <w:pPr>
        <w:pStyle w:val="Heading5"/>
        <w:rPr>
          <w:snapToGrid w:val="0"/>
        </w:rPr>
      </w:pPr>
      <w:bookmarkStart w:id="22" w:name="_Toc378255635"/>
      <w:r>
        <w:rPr>
          <w:rStyle w:val="CharSectno"/>
        </w:rPr>
        <w:t>57</w:t>
      </w:r>
      <w:r>
        <w:rPr>
          <w:snapToGrid w:val="0"/>
        </w:rPr>
        <w:t>.</w:t>
      </w:r>
      <w:r>
        <w:rPr>
          <w:snapToGrid w:val="0"/>
        </w:rPr>
        <w:tab/>
        <w:t>Expiry or revocation of regulations</w:t>
      </w:r>
      <w:bookmarkEnd w:id="22"/>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 xml:space="preserve">[Section 57 inserted by No. 22 of 1974 s. 20.] </w:t>
      </w:r>
    </w:p>
    <w:p>
      <w:pPr>
        <w:pStyle w:val="Heading5"/>
        <w:rPr>
          <w:snapToGrid w:val="0"/>
        </w:rPr>
      </w:pPr>
      <w:bookmarkStart w:id="23" w:name="_Toc378255636"/>
      <w:r>
        <w:rPr>
          <w:rStyle w:val="CharSectno"/>
        </w:rPr>
        <w:t>58</w:t>
      </w:r>
      <w:r>
        <w:rPr>
          <w:snapToGrid w:val="0"/>
        </w:rPr>
        <w:t>.</w:t>
      </w:r>
      <w:r>
        <w:rPr>
          <w:snapToGrid w:val="0"/>
        </w:rPr>
        <w:tab/>
        <w:t>Appeals</w:t>
      </w:r>
      <w:bookmarkEnd w:id="23"/>
      <w:r>
        <w:rPr>
          <w:snapToGrid w:val="0"/>
        </w:rPr>
        <w:t xml:space="preserve"> </w:t>
      </w:r>
    </w:p>
    <w:p>
      <w:pPr>
        <w:pStyle w:val="Subsection"/>
        <w:rPr>
          <w:snapToGrid w:val="0"/>
        </w:rPr>
      </w:pPr>
      <w:r>
        <w:rPr>
          <w:snapToGrid w:val="0"/>
        </w:rPr>
        <w:tab/>
      </w:r>
      <w:r>
        <w:rPr>
          <w:snapToGrid w:val="0"/>
        </w:rPr>
        <w:tab/>
        <w: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t>
      </w:r>
    </w:p>
    <w:p>
      <w:pPr>
        <w:pStyle w:val="Footnotesection"/>
      </w:pPr>
      <w:r>
        <w:tab/>
        <w:t xml:space="preserve">[Section 58 inserted by No. 22 of 1974 s. 21.] </w:t>
      </w:r>
    </w:p>
    <w:p>
      <w:pPr>
        <w:pStyle w:val="Heading5"/>
        <w:rPr>
          <w:snapToGrid w:val="0"/>
        </w:rPr>
      </w:pPr>
      <w:bookmarkStart w:id="24" w:name="_Toc378255637"/>
      <w:r>
        <w:rPr>
          <w:rStyle w:val="CharSectno"/>
        </w:rPr>
        <w:t>59</w:t>
      </w:r>
      <w:r>
        <w:rPr>
          <w:snapToGrid w:val="0"/>
        </w:rPr>
        <w:t>.</w:t>
      </w:r>
      <w:r>
        <w:rPr>
          <w:snapToGrid w:val="0"/>
        </w:rPr>
        <w:tab/>
        <w:t>False documents and false statements</w:t>
      </w:r>
      <w:bookmarkEnd w:id="24"/>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 xml:space="preserve">[Section 59 inserted by No. 22 of 1974 s. 22.] </w:t>
      </w:r>
    </w:p>
    <w:p>
      <w:pPr>
        <w:pStyle w:val="Heading5"/>
        <w:rPr>
          <w:snapToGrid w:val="0"/>
        </w:rPr>
      </w:pPr>
      <w:bookmarkStart w:id="25" w:name="_Toc378255638"/>
      <w:r>
        <w:rPr>
          <w:rStyle w:val="CharSectno"/>
        </w:rPr>
        <w:t>60</w:t>
      </w:r>
      <w:r>
        <w:rPr>
          <w:snapToGrid w:val="0"/>
        </w:rPr>
        <w:t>.</w:t>
      </w:r>
      <w:r>
        <w:rPr>
          <w:snapToGrid w:val="0"/>
        </w:rPr>
        <w:tab/>
        <w:t>Consent to prosecutions</w:t>
      </w:r>
      <w:bookmarkEnd w:id="25"/>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In any prosecution for a contravention of this Part, or of any regulation made thereunder, a writing purporting to show the consent of the Attorney General for the purposes of subsection (1) shall, in the absence of proof to the contrary, be deemed to be such a consent.</w:t>
      </w:r>
    </w:p>
    <w:p>
      <w:pPr>
        <w:pStyle w:val="Footnotesection"/>
      </w:pPr>
      <w:r>
        <w:tab/>
        <w:t xml:space="preserve">[Section 60 inserted by No. 22 of 1974 s. 23.] </w:t>
      </w:r>
    </w:p>
    <w:p>
      <w:pPr>
        <w:pStyle w:val="Heading5"/>
        <w:rPr>
          <w:bCs/>
        </w:rPr>
      </w:pPr>
      <w:bookmarkStart w:id="26" w:name="_Toc378255639"/>
      <w:r>
        <w:rPr>
          <w:rStyle w:val="CharSectno"/>
        </w:rPr>
        <w:t>61</w:t>
      </w:r>
      <w:r>
        <w:rPr>
          <w:bCs/>
        </w:rPr>
        <w:t>.</w:t>
      </w:r>
      <w:r>
        <w:rPr>
          <w:bCs/>
        </w:rPr>
        <w:tab/>
        <w:t>Offences to be dealt with by magistrate</w:t>
      </w:r>
      <w:bookmarkEnd w:id="26"/>
    </w:p>
    <w:p>
      <w:pPr>
        <w:pStyle w:val="Subsection"/>
      </w:pPr>
      <w:r>
        <w:tab/>
      </w:r>
      <w:r>
        <w:tab/>
        <w:t>A court of summary jurisdiction dealing with an offence under this Part or under regulations made under this Part is to be constituted by a magistrate.</w:t>
      </w:r>
    </w:p>
    <w:p>
      <w:pPr>
        <w:pStyle w:val="Footnotesection"/>
      </w:pPr>
      <w:r>
        <w:tab/>
        <w:t xml:space="preserve">[Section 61 inserted by No. 59 of 2004 s. 141.] </w:t>
      </w:r>
    </w:p>
    <w:p>
      <w:pPr>
        <w:pStyle w:val="Heading5"/>
        <w:rPr>
          <w:snapToGrid w:val="0"/>
        </w:rPr>
      </w:pPr>
      <w:bookmarkStart w:id="27" w:name="_Toc378255640"/>
      <w:r>
        <w:rPr>
          <w:rStyle w:val="CharSectno"/>
        </w:rPr>
        <w:t>62</w:t>
      </w:r>
      <w:r>
        <w:rPr>
          <w:snapToGrid w:val="0"/>
        </w:rPr>
        <w:t>.</w:t>
      </w:r>
      <w:r>
        <w:rPr>
          <w:snapToGrid w:val="0"/>
        </w:rPr>
        <w:tab/>
        <w:t>Evidence, etc.</w:t>
      </w:r>
      <w:bookmarkEnd w:id="27"/>
      <w:r>
        <w:rPr>
          <w:snapToGrid w:val="0"/>
        </w:rPr>
        <w:t xml:space="preserve"> </w:t>
      </w:r>
    </w:p>
    <w:p>
      <w:pPr>
        <w:pStyle w:val="Subsection"/>
        <w:rPr>
          <w:snapToGrid w:val="0"/>
        </w:rPr>
      </w:pPr>
      <w:r>
        <w:rPr>
          <w:snapToGrid w:val="0"/>
        </w:rPr>
        <w:tab/>
        <w:t>(1)</w:t>
      </w:r>
      <w:r>
        <w:rPr>
          <w:snapToGrid w:val="0"/>
        </w:rPr>
        <w:tab/>
        <w:t>In any legal proceedings, a certificate purporting to be signed by the Minister and to certify that — </w:t>
      </w:r>
    </w:p>
    <w:p>
      <w:pPr>
        <w:pStyle w:val="Indenta"/>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w:t>
      </w:r>
    </w:p>
    <w:p>
      <w:pPr>
        <w:pStyle w:val="Indenta"/>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w:t>
      </w:r>
    </w:p>
    <w:p>
      <w:pPr>
        <w:pStyle w:val="Indenta"/>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pPr>
        <w:pStyle w:val="Footnotesection"/>
      </w:pPr>
      <w:r>
        <w:tab/>
        <w:t xml:space="preserve">[Section 62 inserted by No. 22 of 1974 s. 25.] </w:t>
      </w:r>
    </w:p>
    <w:p>
      <w:pPr>
        <w:pStyle w:val="yEdnoteschedule"/>
      </w:pPr>
      <w:r>
        <w:t>[First and Second Schedules deleted by No. 25 of 1975 s. 33.]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 w:name="_Toc378255641"/>
      <w:r>
        <w:t>Notes</w:t>
      </w:r>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Fuel, Energy and Power Resources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8255642"/>
      <w:r>
        <w:rPr>
          <w:snapToGrid w:val="0"/>
        </w:rPr>
        <w:t>Compilation table</w:t>
      </w:r>
      <w:bookmarkEnd w:id="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Fuel, Energy and Power Resources Act 1972</w:t>
            </w:r>
          </w:p>
        </w:tc>
        <w:tc>
          <w:tcPr>
            <w:tcW w:w="1134" w:type="dxa"/>
          </w:tcPr>
          <w:p>
            <w:pPr>
              <w:pStyle w:val="nTable"/>
              <w:spacing w:before="120"/>
              <w:rPr>
                <w:sz w:val="19"/>
              </w:rPr>
            </w:pPr>
            <w:r>
              <w:rPr>
                <w:sz w:val="19"/>
              </w:rPr>
              <w:t>56 of 1972</w:t>
            </w:r>
          </w:p>
        </w:tc>
        <w:tc>
          <w:tcPr>
            <w:tcW w:w="1134" w:type="dxa"/>
          </w:tcPr>
          <w:p>
            <w:pPr>
              <w:pStyle w:val="nTable"/>
              <w:spacing w:before="120"/>
              <w:rPr>
                <w:sz w:val="19"/>
              </w:rPr>
            </w:pPr>
            <w:r>
              <w:rPr>
                <w:sz w:val="19"/>
              </w:rPr>
              <w:t>13 Oct 1972</w:t>
            </w:r>
          </w:p>
        </w:tc>
        <w:tc>
          <w:tcPr>
            <w:tcW w:w="2552" w:type="dxa"/>
          </w:tcPr>
          <w:p>
            <w:pPr>
              <w:pStyle w:val="nTable"/>
              <w:spacing w:before="120"/>
              <w:rPr>
                <w:sz w:val="19"/>
              </w:rPr>
            </w:pPr>
            <w:r>
              <w:rPr>
                <w:sz w:val="19"/>
              </w:rPr>
              <w:t xml:space="preserve">3 Nov 1972 (see s. 2 and </w:t>
            </w:r>
            <w:r>
              <w:rPr>
                <w:i/>
                <w:sz w:val="19"/>
              </w:rPr>
              <w:t>Gazette</w:t>
            </w:r>
            <w:r>
              <w:rPr>
                <w:sz w:val="19"/>
              </w:rPr>
              <w:t xml:space="preserve"> 3 Nov 1972 p. 4259)</w:t>
            </w:r>
          </w:p>
        </w:tc>
      </w:tr>
      <w:tr>
        <w:trPr>
          <w:cantSplit/>
        </w:trPr>
        <w:tc>
          <w:tcPr>
            <w:tcW w:w="2268" w:type="dxa"/>
          </w:tcPr>
          <w:p>
            <w:pPr>
              <w:pStyle w:val="nTable"/>
              <w:spacing w:before="120"/>
              <w:ind w:right="113"/>
              <w:rPr>
                <w:i/>
                <w:sz w:val="19"/>
              </w:rPr>
            </w:pPr>
            <w:r>
              <w:rPr>
                <w:i/>
                <w:sz w:val="19"/>
              </w:rPr>
              <w:t>Fuel, Energy and Power Resources Act Amendment Act 1974</w:t>
            </w:r>
          </w:p>
        </w:tc>
        <w:tc>
          <w:tcPr>
            <w:tcW w:w="1134" w:type="dxa"/>
          </w:tcPr>
          <w:p>
            <w:pPr>
              <w:pStyle w:val="nTable"/>
              <w:spacing w:before="120"/>
              <w:rPr>
                <w:sz w:val="19"/>
              </w:rPr>
            </w:pPr>
            <w:r>
              <w:rPr>
                <w:sz w:val="19"/>
              </w:rPr>
              <w:t>22 of 1974</w:t>
            </w:r>
          </w:p>
        </w:tc>
        <w:tc>
          <w:tcPr>
            <w:tcW w:w="1134" w:type="dxa"/>
          </w:tcPr>
          <w:p>
            <w:pPr>
              <w:pStyle w:val="nTable"/>
              <w:spacing w:before="120"/>
              <w:rPr>
                <w:sz w:val="19"/>
              </w:rPr>
            </w:pPr>
            <w:r>
              <w:rPr>
                <w:sz w:val="19"/>
              </w:rPr>
              <w:t>17 Oct 1974</w:t>
            </w:r>
          </w:p>
        </w:tc>
        <w:tc>
          <w:tcPr>
            <w:tcW w:w="2552" w:type="dxa"/>
          </w:tcPr>
          <w:p>
            <w:pPr>
              <w:pStyle w:val="nTable"/>
              <w:spacing w:before="120"/>
              <w:rPr>
                <w:sz w:val="19"/>
              </w:rPr>
            </w:pPr>
            <w:r>
              <w:rPr>
                <w:sz w:val="19"/>
              </w:rPr>
              <w:t xml:space="preserve">1 Nov 1974 (see s. 2 and </w:t>
            </w:r>
            <w:r>
              <w:rPr>
                <w:i/>
                <w:sz w:val="19"/>
              </w:rPr>
              <w:t>Gazette</w:t>
            </w:r>
            <w:r>
              <w:rPr>
                <w:sz w:val="19"/>
              </w:rPr>
              <w:t xml:space="preserve"> 1 Nov 1974 p. 4933)</w:t>
            </w:r>
          </w:p>
        </w:tc>
      </w:tr>
      <w:tr>
        <w:trPr>
          <w:cantSplit/>
        </w:trPr>
        <w:tc>
          <w:tcPr>
            <w:tcW w:w="2268" w:type="dxa"/>
          </w:tcPr>
          <w:p>
            <w:pPr>
              <w:pStyle w:val="nTable"/>
              <w:spacing w:before="120"/>
              <w:rPr>
                <w:sz w:val="19"/>
              </w:rPr>
            </w:pPr>
            <w:r>
              <w:rPr>
                <w:i/>
                <w:sz w:val="19"/>
              </w:rPr>
              <w:t>Acts Amendment (State Energy Commission) Act 1975</w:t>
            </w:r>
            <w:r>
              <w:rPr>
                <w:sz w:val="19"/>
              </w:rPr>
              <w:t xml:space="preserve"> Pt. II</w:t>
            </w:r>
          </w:p>
        </w:tc>
        <w:tc>
          <w:tcPr>
            <w:tcW w:w="1134" w:type="dxa"/>
          </w:tcPr>
          <w:p>
            <w:pPr>
              <w:pStyle w:val="nTable"/>
              <w:spacing w:before="120"/>
              <w:rPr>
                <w:sz w:val="19"/>
              </w:rPr>
            </w:pPr>
            <w:r>
              <w:rPr>
                <w:sz w:val="19"/>
              </w:rPr>
              <w:t>25 of 1975</w:t>
            </w:r>
          </w:p>
        </w:tc>
        <w:tc>
          <w:tcPr>
            <w:tcW w:w="1134" w:type="dxa"/>
          </w:tcPr>
          <w:p>
            <w:pPr>
              <w:pStyle w:val="nTable"/>
              <w:spacing w:before="120"/>
              <w:rPr>
                <w:sz w:val="19"/>
              </w:rPr>
            </w:pPr>
            <w:r>
              <w:rPr>
                <w:sz w:val="19"/>
              </w:rPr>
              <w:t>16 May 1975</w:t>
            </w:r>
          </w:p>
        </w:tc>
        <w:tc>
          <w:tcPr>
            <w:tcW w:w="2552" w:type="dxa"/>
          </w:tcPr>
          <w:p>
            <w:pPr>
              <w:pStyle w:val="nTable"/>
              <w:spacing w:before="120"/>
              <w:rPr>
                <w:sz w:val="19"/>
              </w:rPr>
            </w:pPr>
            <w:r>
              <w:rPr>
                <w:sz w:val="19"/>
              </w:rPr>
              <w:t xml:space="preserve">1 Jul 1975 (see s. 2 and </w:t>
            </w:r>
            <w:r>
              <w:rPr>
                <w:i/>
                <w:sz w:val="19"/>
              </w:rPr>
              <w:t>Gazette</w:t>
            </w:r>
            <w:r>
              <w:rPr>
                <w:sz w:val="19"/>
              </w:rPr>
              <w:t xml:space="preserve"> 27 Jun 1975 p. 2086)</w:t>
            </w:r>
          </w:p>
        </w:tc>
      </w:tr>
      <w:tr>
        <w:trPr>
          <w:cantSplit/>
        </w:trPr>
        <w:tc>
          <w:tcPr>
            <w:tcW w:w="2268" w:type="dxa"/>
          </w:tcPr>
          <w:p>
            <w:pPr>
              <w:pStyle w:val="nTable"/>
              <w:spacing w:before="12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b/>
                <w:sz w:val="19"/>
              </w:rPr>
            </w:pPr>
            <w:r>
              <w:rPr>
                <w:b/>
                <w:sz w:val="19"/>
              </w:rPr>
              <w:t xml:space="preserve">Reprint of the </w:t>
            </w:r>
            <w:r>
              <w:rPr>
                <w:b/>
                <w:i/>
                <w:sz w:val="19"/>
              </w:rPr>
              <w:t>Fuel, Energy and Power Resources Act 1972</w:t>
            </w:r>
            <w:r>
              <w:rPr>
                <w:b/>
                <w:sz w:val="19"/>
              </w:rPr>
              <w:t xml:space="preserve"> as at 13 Jul 2001</w:t>
            </w:r>
            <w:r>
              <w:rPr>
                <w:sz w:val="19"/>
              </w:rPr>
              <w:br/>
              <w:t>(includes amendments listed above)</w:t>
            </w:r>
          </w:p>
        </w:tc>
      </w:tr>
      <w:tr>
        <w:trPr>
          <w:cantSplit/>
        </w:trPr>
        <w:tc>
          <w:tcPr>
            <w:tcW w:w="2268" w:type="dxa"/>
          </w:tcPr>
          <w:p>
            <w:pPr>
              <w:pStyle w:val="nTable"/>
              <w:spacing w:before="120"/>
              <w:ind w:right="113"/>
              <w:rPr>
                <w:sz w:val="19"/>
              </w:rPr>
            </w:pPr>
            <w:r>
              <w:rPr>
                <w:i/>
                <w:sz w:val="19"/>
              </w:rPr>
              <w:t xml:space="preserve">Sentencing Legislation Amendment and Repeal Act 2003 </w:t>
            </w:r>
            <w:r>
              <w:rPr>
                <w:sz w:val="19"/>
              </w:rPr>
              <w:t>s. 65</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before="120"/>
              <w:ind w:right="113"/>
              <w:rPr>
                <w:i/>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before="120"/>
              <w:rPr>
                <w:sz w:val="19"/>
              </w:rPr>
            </w:pPr>
            <w:r>
              <w:rPr>
                <w:snapToGrid w:val="0"/>
                <w:sz w:val="19"/>
              </w:rPr>
              <w:t>59 of 2004</w:t>
            </w:r>
          </w:p>
        </w:tc>
        <w:tc>
          <w:tcPr>
            <w:tcW w:w="1134" w:type="dxa"/>
          </w:tcPr>
          <w:p>
            <w:pPr>
              <w:pStyle w:val="nTable"/>
              <w:spacing w:before="120"/>
              <w:rPr>
                <w:sz w:val="19"/>
              </w:rPr>
            </w:pPr>
            <w:r>
              <w:rPr>
                <w:snapToGrid w:val="0"/>
                <w:sz w:val="19"/>
              </w:rPr>
              <w:t>23 Nov 2004</w:t>
            </w:r>
          </w:p>
        </w:tc>
        <w:tc>
          <w:tcPr>
            <w:tcW w:w="2552" w:type="dxa"/>
          </w:tcPr>
          <w:p>
            <w:pPr>
              <w:pStyle w:val="nTable"/>
              <w:spacing w:before="12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Borders>
              <w:bottom w:val="single" w:sz="4" w:space="0" w:color="auto"/>
            </w:tcBorders>
          </w:tcPr>
          <w:p>
            <w:pPr>
              <w:pStyle w:val="nTable"/>
              <w:spacing w:before="120"/>
              <w:ind w:right="113"/>
              <w:rPr>
                <w:i/>
                <w:iCs/>
                <w:snapToGrid w:val="0"/>
                <w:sz w:val="19"/>
              </w:rPr>
            </w:pPr>
            <w:r>
              <w:rPr>
                <w:i/>
                <w:iCs/>
                <w:snapToGrid w:val="0"/>
                <w:sz w:val="19"/>
              </w:rPr>
              <w:t>Criminal Procedure and Appeals (Consequential and Other Provisions) Act 2004</w:t>
            </w:r>
            <w:r>
              <w:rPr>
                <w:snapToGrid w:val="0"/>
                <w:sz w:val="19"/>
              </w:rPr>
              <w:t xml:space="preserve"> s. 82</w:t>
            </w:r>
          </w:p>
        </w:tc>
        <w:tc>
          <w:tcPr>
            <w:tcW w:w="1134" w:type="dxa"/>
            <w:tcBorders>
              <w:bottom w:val="single" w:sz="4" w:space="0" w:color="auto"/>
            </w:tcBorders>
          </w:tcPr>
          <w:p>
            <w:pPr>
              <w:pStyle w:val="nTable"/>
              <w:spacing w:before="120"/>
              <w:rPr>
                <w:snapToGrid w:val="0"/>
                <w:sz w:val="19"/>
              </w:rPr>
            </w:pPr>
            <w:r>
              <w:rPr>
                <w:snapToGrid w:val="0"/>
                <w:sz w:val="19"/>
              </w:rPr>
              <w:t>84 of 2004</w:t>
            </w:r>
          </w:p>
        </w:tc>
        <w:tc>
          <w:tcPr>
            <w:tcW w:w="1134" w:type="dxa"/>
            <w:tcBorders>
              <w:bottom w:val="single" w:sz="4" w:space="0" w:color="auto"/>
            </w:tcBorders>
          </w:tcPr>
          <w:p>
            <w:pPr>
              <w:pStyle w:val="nTable"/>
              <w:spacing w:before="120"/>
              <w:rPr>
                <w:snapToGrid w:val="0"/>
                <w:sz w:val="19"/>
              </w:rPr>
            </w:pPr>
            <w:r>
              <w:rPr>
                <w:sz w:val="19"/>
              </w:rPr>
              <w:t>16 Dec 2004</w:t>
            </w:r>
          </w:p>
        </w:tc>
        <w:tc>
          <w:tcPr>
            <w:tcW w:w="2552" w:type="dxa"/>
            <w:tcBorders>
              <w:bottom w:val="single" w:sz="4" w:space="0" w:color="auto"/>
            </w:tcBorders>
          </w:tcPr>
          <w:p>
            <w:pPr>
              <w:pStyle w:val="nTable"/>
              <w:spacing w:before="12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bl>
    <w:p>
      <w:pPr>
        <w:pStyle w:val="nSubsection"/>
      </w:pPr>
      <w:r>
        <w:rPr>
          <w:vertAlign w:val="superscript"/>
        </w:rPr>
        <w:t>2</w:t>
      </w:r>
      <w:r>
        <w:tab/>
        <w:t xml:space="preserve">Repealed by the </w:t>
      </w:r>
      <w:r>
        <w:rPr>
          <w:i/>
        </w:rPr>
        <w:t>Interpretation Act 1984</w:t>
      </w:r>
      <w:r>
        <w:t xml:space="preserve"> s. 77(1).</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Fuel, Energy and Power Resources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Fuel, Energy and Power Resources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Fuel, Energy and Power Resources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Fuel, Energy and Power Resources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Fuel, Energy and Power Resources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Fuel, Energy and Power Resources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Fuel, Energy and Power Resources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Fuel, Energy and Power Resources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70DB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FA45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362D8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D8CC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615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4A4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E876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A8D7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DEAB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932222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1BA0F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EC2004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607"/>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1211141607" w:val="RemoveTrackChanges"/>
    <w:docVar w:name="WAFER_20151211141607_GUID" w:val="5e505bb3-f3cd-45fb-92c7-6d537ee0c8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4627</Words>
  <Characters>21705</Characters>
  <Application>Microsoft Office Word</Application>
  <DocSecurity>0</DocSecurity>
  <Lines>586</Lines>
  <Paragraphs>286</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1972 - 01-c0-09</dc:title>
  <dc:subject/>
  <dc:creator/>
  <cp:keywords/>
  <dc:description/>
  <cp:lastModifiedBy>svcMRProcess</cp:lastModifiedBy>
  <cp:revision>4</cp:revision>
  <cp:lastPrinted>2001-07-20T06:33:00Z</cp:lastPrinted>
  <dcterms:created xsi:type="dcterms:W3CDTF">2015-12-14T12:03:00Z</dcterms:created>
  <dcterms:modified xsi:type="dcterms:W3CDTF">2015-12-14T12:03:00Z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307</vt:i4>
  </property>
  <property fmtid="{D5CDD505-2E9C-101B-9397-08002B2CF9AE}" pid="6" name="AsAtDate">
    <vt:lpwstr>02 May 2005</vt:lpwstr>
  </property>
  <property fmtid="{D5CDD505-2E9C-101B-9397-08002B2CF9AE}" pid="7" name="Suffix">
    <vt:lpwstr>01-c0-09</vt:lpwstr>
  </property>
</Properties>
</file>