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Witness Protection (Western Australia)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August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Witness Protection (Western Australia)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_Toc206911076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_Toc206911077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and abbreviation used in this Act</w:t>
      </w:r>
      <w:r>
        <w:tab/>
      </w:r>
      <w:r>
        <w:fldChar w:fldCharType="begin"/>
      </w:r>
      <w:r>
        <w:instrText xml:space="preserve"> PAGEREF _Toc206911078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Meaning of “witness”</w:t>
      </w:r>
      <w:r>
        <w:tab/>
      </w:r>
      <w:r>
        <w:fldChar w:fldCharType="begin"/>
      </w:r>
      <w:r>
        <w:instrText xml:space="preserve"> PAGEREF _Toc206911079 \h </w:instrText>
      </w:r>
      <w:r>
        <w:fldChar w:fldCharType="separate"/>
      </w:r>
      <w:r>
        <w:t>5</w:t>
      </w:r>
      <w:r>
        <w:fldChar w:fldCharType="end"/>
      </w:r>
    </w:p>
    <w:p>
      <w:pPr>
        <w:pStyle w:val="TOC2"/>
        <w:tabs>
          <w:tab w:val="right" w:leader="dot" w:pos="7086"/>
        </w:tabs>
        <w:rPr>
          <w:b w:val="0"/>
          <w:sz w:val="24"/>
          <w:szCs w:val="24"/>
        </w:rPr>
      </w:pPr>
      <w:r>
        <w:rPr>
          <w:szCs w:val="30"/>
        </w:rPr>
        <w:t>Part 2 — State Witness Protection Program</w:t>
      </w:r>
    </w:p>
    <w:p>
      <w:pPr>
        <w:pStyle w:val="TOC4"/>
        <w:tabs>
          <w:tab w:val="right" w:leader="dot" w:pos="7086"/>
        </w:tabs>
        <w:rPr>
          <w:b w:val="0"/>
          <w:sz w:val="24"/>
          <w:szCs w:val="24"/>
        </w:rPr>
      </w:pPr>
      <w:r>
        <w:rPr>
          <w:szCs w:val="26"/>
        </w:rPr>
        <w:t>Division 1</w:t>
      </w:r>
      <w:r>
        <w:rPr>
          <w:snapToGrid w:val="0"/>
          <w:szCs w:val="26"/>
        </w:rPr>
        <w:t> — </w:t>
      </w:r>
      <w:r>
        <w:rPr>
          <w:szCs w:val="26"/>
        </w:rPr>
        <w:t>Establishment</w:t>
      </w:r>
    </w:p>
    <w:p>
      <w:pPr>
        <w:pStyle w:val="TOC8"/>
        <w:rPr>
          <w:sz w:val="24"/>
          <w:szCs w:val="24"/>
        </w:rPr>
      </w:pPr>
      <w:r>
        <w:rPr>
          <w:szCs w:val="24"/>
        </w:rPr>
        <w:t>5</w:t>
      </w:r>
      <w:r>
        <w:rPr>
          <w:snapToGrid w:val="0"/>
          <w:szCs w:val="24"/>
        </w:rPr>
        <w:t>.</w:t>
      </w:r>
      <w:r>
        <w:rPr>
          <w:snapToGrid w:val="0"/>
          <w:szCs w:val="24"/>
        </w:rPr>
        <w:tab/>
        <w:t>Commissioner to establish SWPP</w:t>
      </w:r>
      <w:r>
        <w:tab/>
      </w:r>
      <w:r>
        <w:fldChar w:fldCharType="begin"/>
      </w:r>
      <w:r>
        <w:instrText xml:space="preserve"> PAGEREF _Toc206911082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Arrangements with approved authorities</w:t>
      </w:r>
      <w:r>
        <w:tab/>
      </w:r>
      <w:r>
        <w:fldChar w:fldCharType="begin"/>
      </w:r>
      <w:r>
        <w:instrText xml:space="preserve"> PAGEREF _Toc206911083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Authorisation of approved authorities</w:t>
      </w:r>
      <w:r>
        <w:tab/>
      </w:r>
      <w:r>
        <w:fldChar w:fldCharType="begin"/>
      </w:r>
      <w:r>
        <w:instrText xml:space="preserve"> PAGEREF _Toc206911084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Including witnesses in the SWPP</w:t>
      </w:r>
    </w:p>
    <w:p>
      <w:pPr>
        <w:pStyle w:val="TOC8"/>
        <w:rPr>
          <w:sz w:val="24"/>
          <w:szCs w:val="24"/>
        </w:rPr>
      </w:pPr>
      <w:r>
        <w:rPr>
          <w:szCs w:val="24"/>
        </w:rPr>
        <w:t>8</w:t>
      </w:r>
      <w:r>
        <w:rPr>
          <w:snapToGrid w:val="0"/>
          <w:szCs w:val="24"/>
        </w:rPr>
        <w:t>.</w:t>
      </w:r>
      <w:r>
        <w:rPr>
          <w:snapToGrid w:val="0"/>
          <w:szCs w:val="24"/>
        </w:rPr>
        <w:tab/>
        <w:t>Commissioner to decide who is included</w:t>
      </w:r>
      <w:r>
        <w:tab/>
      </w:r>
      <w:r>
        <w:fldChar w:fldCharType="begin"/>
      </w:r>
      <w:r>
        <w:instrText xml:space="preserve"> PAGEREF _Toc206911086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Inclusion not to be a reward for giving evidence etc.</w:t>
      </w:r>
      <w:r>
        <w:tab/>
      </w:r>
      <w:r>
        <w:fldChar w:fldCharType="begin"/>
      </w:r>
      <w:r>
        <w:instrText xml:space="preserve"> PAGEREF _Toc206911087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Witness to provide Commissioner with information before inclusion</w:t>
      </w:r>
      <w:r>
        <w:tab/>
      </w:r>
      <w:r>
        <w:fldChar w:fldCharType="begin"/>
      </w:r>
      <w:r>
        <w:instrText xml:space="preserve"> PAGEREF _Toc206911088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Memorandum of understanding</w:t>
      </w:r>
      <w:r>
        <w:tab/>
      </w:r>
      <w:r>
        <w:fldChar w:fldCharType="begin"/>
      </w:r>
      <w:r>
        <w:instrText xml:space="preserve"> PAGEREF _Toc206911089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Amending a memorandum of understanding</w:t>
      </w:r>
      <w:r>
        <w:tab/>
      </w:r>
      <w:r>
        <w:fldChar w:fldCharType="begin"/>
      </w:r>
      <w:r>
        <w:instrText xml:space="preserve"> PAGEREF _Toc206911090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 of participants</w:t>
      </w:r>
    </w:p>
    <w:p>
      <w:pPr>
        <w:pStyle w:val="TOC8"/>
        <w:rPr>
          <w:sz w:val="24"/>
          <w:szCs w:val="24"/>
        </w:rPr>
      </w:pPr>
      <w:r>
        <w:rPr>
          <w:szCs w:val="24"/>
        </w:rPr>
        <w:t>13</w:t>
      </w:r>
      <w:r>
        <w:rPr>
          <w:snapToGrid w:val="0"/>
          <w:szCs w:val="24"/>
        </w:rPr>
        <w:t>.</w:t>
      </w:r>
      <w:r>
        <w:rPr>
          <w:snapToGrid w:val="0"/>
          <w:szCs w:val="24"/>
        </w:rPr>
        <w:tab/>
        <w:t>Commissioner to keep register</w:t>
      </w:r>
      <w:r>
        <w:tab/>
      </w:r>
      <w:r>
        <w:fldChar w:fldCharType="begin"/>
      </w:r>
      <w:r>
        <w:instrText xml:space="preserve"> PAGEREF _Toc206911092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Access to the register</w:t>
      </w:r>
      <w:r>
        <w:tab/>
      </w:r>
      <w:r>
        <w:fldChar w:fldCharType="begin"/>
      </w:r>
      <w:r>
        <w:instrText xml:space="preserve"> PAGEREF _Toc206911093 \h </w:instrText>
      </w:r>
      <w:r>
        <w:fldChar w:fldCharType="separate"/>
      </w:r>
      <w:r>
        <w:t>13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Protecting and assisting witnesses and participants</w:t>
      </w:r>
    </w:p>
    <w:p>
      <w:pPr>
        <w:pStyle w:val="TOC8"/>
        <w:rPr>
          <w:sz w:val="24"/>
          <w:szCs w:val="24"/>
        </w:rPr>
      </w:pPr>
      <w:r>
        <w:rPr>
          <w:szCs w:val="24"/>
        </w:rPr>
        <w:t>15</w:t>
      </w:r>
      <w:r>
        <w:rPr>
          <w:snapToGrid w:val="0"/>
          <w:szCs w:val="24"/>
        </w:rPr>
        <w:t>.</w:t>
      </w:r>
      <w:r>
        <w:rPr>
          <w:snapToGrid w:val="0"/>
          <w:szCs w:val="24"/>
        </w:rPr>
        <w:tab/>
        <w:t>Commissioner must take action to protect etc.</w:t>
      </w:r>
      <w:r>
        <w:tab/>
      </w:r>
      <w:r>
        <w:fldChar w:fldCharType="begin"/>
      </w:r>
      <w:r>
        <w:instrText xml:space="preserve"> PAGEREF _Toc206911095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Action as to obligations etc. of a participant</w:t>
      </w:r>
      <w:r>
        <w:tab/>
      </w:r>
      <w:r>
        <w:fldChar w:fldCharType="begin"/>
      </w:r>
      <w:r>
        <w:instrText xml:space="preserve"> PAGEREF _Toc206911096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Commercial arrangements for benefit of participant</w:t>
      </w:r>
      <w:r>
        <w:tab/>
      </w:r>
      <w:r>
        <w:fldChar w:fldCharType="begin"/>
      </w:r>
      <w:r>
        <w:instrText xml:space="preserve"> PAGEREF _Toc206911097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Identity documents in urgent cases</w:t>
      </w:r>
      <w:r>
        <w:tab/>
      </w:r>
      <w:r>
        <w:fldChar w:fldCharType="begin"/>
      </w:r>
      <w:r>
        <w:instrText xml:space="preserve"> PAGEREF _Toc206911098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New identity orders</w:t>
      </w:r>
    </w:p>
    <w:p>
      <w:pPr>
        <w:pStyle w:val="TOC8"/>
        <w:rPr>
          <w:sz w:val="24"/>
          <w:szCs w:val="24"/>
        </w:rPr>
      </w:pPr>
      <w:r>
        <w:rPr>
          <w:szCs w:val="24"/>
        </w:rPr>
        <w:t>19</w:t>
      </w:r>
      <w:r>
        <w:rPr>
          <w:snapToGrid w:val="0"/>
          <w:szCs w:val="24"/>
        </w:rPr>
        <w:t>.</w:t>
      </w:r>
      <w:r>
        <w:rPr>
          <w:snapToGrid w:val="0"/>
          <w:szCs w:val="24"/>
        </w:rPr>
        <w:tab/>
        <w:t>Terms used in this Division</w:t>
      </w:r>
      <w:r>
        <w:tab/>
      </w:r>
      <w:r>
        <w:fldChar w:fldCharType="begin"/>
      </w:r>
      <w:r>
        <w:instrText xml:space="preserve"> PAGEREF _Toc206911100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Application to Supreme Court</w:t>
      </w:r>
      <w:r>
        <w:tab/>
      </w:r>
      <w:r>
        <w:fldChar w:fldCharType="begin"/>
      </w:r>
      <w:r>
        <w:instrText xml:space="preserve"> PAGEREF _Toc206911101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Supreme Court may make order</w:t>
      </w:r>
      <w:r>
        <w:tab/>
      </w:r>
      <w:r>
        <w:fldChar w:fldCharType="begin"/>
      </w:r>
      <w:r>
        <w:instrText xml:space="preserve"> PAGEREF _Toc206911102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Supreme Court may order former identity to be restored</w:t>
      </w:r>
      <w:r>
        <w:tab/>
      </w:r>
      <w:r>
        <w:fldChar w:fldCharType="begin"/>
      </w:r>
      <w:r>
        <w:instrText xml:space="preserve"> PAGEREF _Toc206911103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Proceedings to be in private</w:t>
      </w:r>
      <w:r>
        <w:tab/>
      </w:r>
      <w:r>
        <w:fldChar w:fldCharType="begin"/>
      </w:r>
      <w:r>
        <w:instrText xml:space="preserve"> PAGEREF _Toc206911104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Effect of actions done under order</w:t>
      </w:r>
      <w:r>
        <w:tab/>
      </w:r>
      <w:r>
        <w:fldChar w:fldCharType="begin"/>
      </w:r>
      <w:r>
        <w:instrText xml:space="preserve"> PAGEREF _Toc206911105 \h </w:instrText>
      </w:r>
      <w:r>
        <w:fldChar w:fldCharType="separate"/>
      </w:r>
      <w:r>
        <w:t>20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Terminating protection and assistance</w:t>
      </w:r>
    </w:p>
    <w:p>
      <w:pPr>
        <w:pStyle w:val="TOC8"/>
        <w:rPr>
          <w:sz w:val="24"/>
          <w:szCs w:val="24"/>
        </w:rPr>
      </w:pPr>
      <w:r>
        <w:rPr>
          <w:szCs w:val="24"/>
        </w:rPr>
        <w:t>25</w:t>
      </w:r>
      <w:r>
        <w:rPr>
          <w:snapToGrid w:val="0"/>
          <w:szCs w:val="24"/>
        </w:rPr>
        <w:t>.</w:t>
      </w:r>
      <w:r>
        <w:rPr>
          <w:snapToGrid w:val="0"/>
          <w:szCs w:val="24"/>
        </w:rPr>
        <w:tab/>
        <w:t>Commissioner may terminate protection</w:t>
      </w:r>
      <w:r>
        <w:tab/>
      </w:r>
      <w:r>
        <w:fldChar w:fldCharType="begin"/>
      </w:r>
      <w:r>
        <w:instrText xml:space="preserve"> PAGEREF _Toc206911107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Restoring a former identity</w:t>
      </w:r>
      <w:r>
        <w:tab/>
      </w:r>
      <w:r>
        <w:fldChar w:fldCharType="begin"/>
      </w:r>
      <w:r>
        <w:instrText xml:space="preserve"> PAGEREF _Toc206911108 \h </w:instrText>
      </w:r>
      <w:r>
        <w:fldChar w:fldCharType="separate"/>
      </w:r>
      <w:r>
        <w:t>22</w:t>
      </w:r>
      <w:r>
        <w:fldChar w:fldCharType="end"/>
      </w:r>
    </w:p>
    <w:p>
      <w:pPr>
        <w:pStyle w:val="TOC2"/>
        <w:tabs>
          <w:tab w:val="right" w:leader="dot" w:pos="7086"/>
        </w:tabs>
        <w:rPr>
          <w:b w:val="0"/>
          <w:sz w:val="24"/>
          <w:szCs w:val="24"/>
        </w:rPr>
      </w:pPr>
      <w:r>
        <w:rPr>
          <w:szCs w:val="30"/>
        </w:rPr>
        <w:t>Part 3 — Secrecy and disclosure</w:t>
      </w:r>
    </w:p>
    <w:p>
      <w:pPr>
        <w:pStyle w:val="TOC8"/>
        <w:rPr>
          <w:sz w:val="24"/>
          <w:szCs w:val="24"/>
        </w:rPr>
      </w:pPr>
      <w:r>
        <w:rPr>
          <w:szCs w:val="24"/>
        </w:rPr>
        <w:t>27</w:t>
      </w:r>
      <w:r>
        <w:rPr>
          <w:snapToGrid w:val="0"/>
          <w:szCs w:val="24"/>
        </w:rPr>
        <w:t>.</w:t>
      </w:r>
      <w:r>
        <w:rPr>
          <w:snapToGrid w:val="0"/>
          <w:szCs w:val="24"/>
        </w:rPr>
        <w:tab/>
        <w:t>Duty not to disclose</w:t>
      </w:r>
      <w:r>
        <w:tab/>
      </w:r>
      <w:r>
        <w:fldChar w:fldCharType="begin"/>
      </w:r>
      <w:r>
        <w:instrText xml:space="preserve"> PAGEREF _Toc206911110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Disclosure of information cannot be compelled</w:t>
      </w:r>
      <w:r>
        <w:tab/>
      </w:r>
      <w:r>
        <w:fldChar w:fldCharType="begin"/>
      </w:r>
      <w:r>
        <w:instrText xml:space="preserve"> PAGEREF _Toc206911111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Disclosing information to approved authorities</w:t>
      </w:r>
      <w:r>
        <w:tab/>
      </w:r>
      <w:r>
        <w:fldChar w:fldCharType="begin"/>
      </w:r>
      <w:r>
        <w:instrText xml:space="preserve"> PAGEREF _Toc206911112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Disclosing criminal record of a witness</w:t>
      </w:r>
      <w:r>
        <w:tab/>
      </w:r>
      <w:r>
        <w:fldChar w:fldCharType="begin"/>
      </w:r>
      <w:r>
        <w:instrText xml:space="preserve"> PAGEREF _Toc206911113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Disclosure requirement on participant</w:t>
      </w:r>
      <w:r>
        <w:tab/>
      </w:r>
      <w:r>
        <w:fldChar w:fldCharType="begin"/>
      </w:r>
      <w:r>
        <w:instrText xml:space="preserve"> PAGEREF _Toc206911114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Certain disclosures to court to be in private</w:t>
      </w:r>
      <w:r>
        <w:tab/>
      </w:r>
      <w:r>
        <w:fldChar w:fldCharType="begin"/>
      </w:r>
      <w:r>
        <w:instrText xml:space="preserve"> PAGEREF _Toc206911115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Non</w:t>
      </w:r>
      <w:r>
        <w:rPr>
          <w:snapToGrid w:val="0"/>
          <w:szCs w:val="24"/>
        </w:rPr>
        <w:noBreakHyphen/>
        <w:t>disclosure by person of former identity lawful</w:t>
      </w:r>
      <w:r>
        <w:tab/>
      </w:r>
      <w:r>
        <w:fldChar w:fldCharType="begin"/>
      </w:r>
      <w:r>
        <w:instrText xml:space="preserve"> PAGEREF _Toc206911116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 xml:space="preserve">Disclosure by Auditor General, Parliamentary Commissioner or </w:t>
      </w:r>
      <w:r>
        <w:rPr>
          <w:szCs w:val="24"/>
        </w:rPr>
        <w:t>Corruption and Crime Commission</w:t>
      </w:r>
      <w:r>
        <w:tab/>
      </w:r>
      <w:r>
        <w:fldChar w:fldCharType="begin"/>
      </w:r>
      <w:r>
        <w:instrText xml:space="preserve"> PAGEREF _Toc206911117 \h </w:instrText>
      </w:r>
      <w:r>
        <w:fldChar w:fldCharType="separate"/>
      </w:r>
      <w:r>
        <w:t>29</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35</w:t>
      </w:r>
      <w:r>
        <w:rPr>
          <w:snapToGrid w:val="0"/>
          <w:szCs w:val="24"/>
        </w:rPr>
        <w:t>.</w:t>
      </w:r>
      <w:r>
        <w:rPr>
          <w:snapToGrid w:val="0"/>
          <w:szCs w:val="24"/>
        </w:rPr>
        <w:tab/>
        <w:t>Offences</w:t>
      </w:r>
      <w:r>
        <w:tab/>
      </w:r>
      <w:r>
        <w:fldChar w:fldCharType="begin"/>
      </w:r>
      <w:r>
        <w:instrText xml:space="preserve"> PAGEREF _Toc206911119 \h </w:instrText>
      </w:r>
      <w:r>
        <w:fldChar w:fldCharType="separate"/>
      </w:r>
      <w:r>
        <w:t>30</w:t>
      </w:r>
      <w:r>
        <w:fldChar w:fldCharType="end"/>
      </w:r>
    </w:p>
    <w:p>
      <w:pPr>
        <w:pStyle w:val="TOC8"/>
        <w:rPr>
          <w:sz w:val="24"/>
          <w:szCs w:val="24"/>
        </w:rPr>
      </w:pPr>
      <w:r>
        <w:rPr>
          <w:szCs w:val="24"/>
        </w:rPr>
        <w:t>36</w:t>
      </w:r>
      <w:r>
        <w:rPr>
          <w:snapToGrid w:val="0"/>
          <w:szCs w:val="24"/>
        </w:rPr>
        <w:t>.</w:t>
      </w:r>
      <w:r>
        <w:rPr>
          <w:snapToGrid w:val="0"/>
          <w:szCs w:val="24"/>
        </w:rPr>
        <w:tab/>
        <w:t>Delegation</w:t>
      </w:r>
      <w:r>
        <w:tab/>
      </w:r>
      <w:r>
        <w:fldChar w:fldCharType="begin"/>
      </w:r>
      <w:r>
        <w:instrText xml:space="preserve"> PAGEREF _Toc206911120 \h </w:instrText>
      </w:r>
      <w:r>
        <w:fldChar w:fldCharType="separate"/>
      </w:r>
      <w:r>
        <w:t>31</w:t>
      </w:r>
      <w:r>
        <w:fldChar w:fldCharType="end"/>
      </w:r>
    </w:p>
    <w:p>
      <w:pPr>
        <w:pStyle w:val="TOC8"/>
        <w:rPr>
          <w:sz w:val="24"/>
          <w:szCs w:val="24"/>
        </w:rPr>
      </w:pPr>
      <w:r>
        <w:rPr>
          <w:szCs w:val="24"/>
        </w:rPr>
        <w:t>37</w:t>
      </w:r>
      <w:r>
        <w:rPr>
          <w:snapToGrid w:val="0"/>
          <w:szCs w:val="24"/>
        </w:rPr>
        <w:t>.</w:t>
      </w:r>
      <w:r>
        <w:rPr>
          <w:snapToGrid w:val="0"/>
          <w:szCs w:val="24"/>
        </w:rPr>
        <w:tab/>
        <w:t>Reporting on the SWPP</w:t>
      </w:r>
      <w:r>
        <w:tab/>
      </w:r>
      <w:r>
        <w:fldChar w:fldCharType="begin"/>
      </w:r>
      <w:r>
        <w:instrText xml:space="preserve"> PAGEREF _Toc206911121 \h </w:instrText>
      </w:r>
      <w:r>
        <w:fldChar w:fldCharType="separate"/>
      </w:r>
      <w:r>
        <w:t>31</w:t>
      </w:r>
      <w:r>
        <w:fldChar w:fldCharType="end"/>
      </w:r>
    </w:p>
    <w:p>
      <w:pPr>
        <w:pStyle w:val="TOC8"/>
        <w:rPr>
          <w:sz w:val="24"/>
          <w:szCs w:val="24"/>
        </w:rPr>
      </w:pPr>
      <w:r>
        <w:rPr>
          <w:szCs w:val="24"/>
        </w:rPr>
        <w:t>38</w:t>
      </w:r>
      <w:r>
        <w:rPr>
          <w:snapToGrid w:val="0"/>
          <w:szCs w:val="24"/>
        </w:rPr>
        <w:t>.</w:t>
      </w:r>
      <w:r>
        <w:rPr>
          <w:snapToGrid w:val="0"/>
          <w:szCs w:val="24"/>
        </w:rPr>
        <w:tab/>
        <w:t>Protection from liability for wrongdoing</w:t>
      </w:r>
      <w:r>
        <w:tab/>
      </w:r>
      <w:r>
        <w:fldChar w:fldCharType="begin"/>
      </w:r>
      <w:r>
        <w:instrText xml:space="preserve"> PAGEREF _Toc206911122 \h </w:instrText>
      </w:r>
      <w:r>
        <w:fldChar w:fldCharType="separate"/>
      </w:r>
      <w:r>
        <w:t>32</w:t>
      </w:r>
      <w:r>
        <w:fldChar w:fldCharType="end"/>
      </w:r>
    </w:p>
    <w:p>
      <w:pPr>
        <w:pStyle w:val="TOC8"/>
        <w:rPr>
          <w:sz w:val="24"/>
          <w:szCs w:val="24"/>
        </w:rPr>
      </w:pPr>
      <w:r>
        <w:rPr>
          <w:szCs w:val="24"/>
        </w:rPr>
        <w:t>39</w:t>
      </w:r>
      <w:r>
        <w:rPr>
          <w:snapToGrid w:val="0"/>
          <w:szCs w:val="24"/>
        </w:rPr>
        <w:t>.</w:t>
      </w:r>
      <w:r>
        <w:rPr>
          <w:snapToGrid w:val="0"/>
          <w:szCs w:val="24"/>
        </w:rPr>
        <w:tab/>
        <w:t>Regulations</w:t>
      </w:r>
      <w:r>
        <w:tab/>
      </w:r>
      <w:r>
        <w:fldChar w:fldCharType="begin"/>
      </w:r>
      <w:r>
        <w:instrText xml:space="preserve"> PAGEREF _Toc206911123 \h </w:instrText>
      </w:r>
      <w:r>
        <w:fldChar w:fldCharType="separate"/>
      </w:r>
      <w:r>
        <w:t>32</w:t>
      </w:r>
      <w:r>
        <w:fldChar w:fldCharType="end"/>
      </w:r>
    </w:p>
    <w:p>
      <w:pPr>
        <w:pStyle w:val="TOC8"/>
        <w:rPr>
          <w:sz w:val="24"/>
          <w:szCs w:val="24"/>
        </w:rPr>
      </w:pPr>
      <w:r>
        <w:rPr>
          <w:szCs w:val="24"/>
        </w:rPr>
        <w:t>40</w:t>
      </w:r>
      <w:r>
        <w:rPr>
          <w:snapToGrid w:val="0"/>
          <w:szCs w:val="24"/>
        </w:rPr>
        <w:t>.</w:t>
      </w:r>
      <w:r>
        <w:rPr>
          <w:snapToGrid w:val="0"/>
          <w:szCs w:val="24"/>
        </w:rPr>
        <w:tab/>
        <w:t>Transitional</w:t>
      </w:r>
      <w:r>
        <w:tab/>
      </w:r>
      <w:r>
        <w:fldChar w:fldCharType="begin"/>
      </w:r>
      <w:r>
        <w:instrText xml:space="preserve"> PAGEREF _Toc206911124 \h </w:instrText>
      </w:r>
      <w:r>
        <w:fldChar w:fldCharType="separate"/>
      </w:r>
      <w:r>
        <w:t>32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_Toc206911126 \h </w:instrText>
      </w:r>
      <w:r>
        <w:fldChar w:fldCharType="separate"/>
      </w:r>
      <w:r>
        <w:t>34</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August 2008</w:t>
            </w:r>
          </w:p>
        </w:tc>
      </w:tr>
    </w:tbl>
    <w:p>
      <w:pPr>
        <w:pStyle w:val="WA"/>
        <w:spacing w:before="120"/>
      </w:pPr>
      <w:r>
        <w:t>Western Australia</w:t>
      </w:r>
    </w:p>
    <w:p>
      <w:pPr>
        <w:pStyle w:val="NameofActReg"/>
        <w:spacing w:before="1200" w:after="960"/>
      </w:pPr>
      <w:r>
        <w:t>Witness Protection (Western Australia) Act 1996</w:t>
      </w:r>
    </w:p>
    <w:p>
      <w:pPr>
        <w:pStyle w:val="LongTitle"/>
        <w:rPr>
          <w:snapToGrid w:val="0"/>
        </w:rPr>
      </w:pPr>
      <w:r>
        <w:rPr>
          <w:snapToGrid w:val="0"/>
        </w:rPr>
        <w:t>An Act to establish a program to give protection and assistance to certain witnesses and other persons and for related purposes.</w:t>
      </w:r>
    </w:p>
    <w:p>
      <w:pPr>
        <w:pStyle w:val="Heading2"/>
      </w:pPr>
      <w:bookmarkStart w:id="2" w:name="_Toc62273809"/>
      <w:bookmarkStart w:id="3" w:name="_Toc72914642"/>
      <w:bookmarkStart w:id="4" w:name="_Toc90719151"/>
      <w:bookmarkStart w:id="5" w:name="_Toc94588737"/>
      <w:bookmarkStart w:id="6" w:name="_Toc158005022"/>
      <w:bookmarkStart w:id="7" w:name="_Toc194985891"/>
      <w:bookmarkStart w:id="8" w:name="_Toc194985957"/>
      <w:bookmarkStart w:id="9" w:name="_Toc194986010"/>
      <w:bookmarkStart w:id="10" w:name="_Toc201559279"/>
      <w:bookmarkStart w:id="11" w:name="_Toc201559332"/>
      <w:bookmarkStart w:id="12" w:name="_Toc201660863"/>
      <w:bookmarkStart w:id="13" w:name="_Toc201660915"/>
      <w:bookmarkStart w:id="14" w:name="_Toc202340135"/>
      <w:bookmarkStart w:id="15" w:name="_Toc202343737"/>
      <w:bookmarkStart w:id="16" w:name="_Toc202343896"/>
      <w:bookmarkStart w:id="17" w:name="_Toc205279432"/>
      <w:bookmarkStart w:id="18" w:name="_Toc20691107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48721799"/>
      <w:bookmarkStart w:id="20" w:name="_Toc47774548"/>
      <w:bookmarkStart w:id="21" w:name="_Toc55798070"/>
      <w:bookmarkStart w:id="22" w:name="_Toc194985892"/>
      <w:bookmarkStart w:id="23" w:name="_Toc206911076"/>
      <w:r>
        <w:rPr>
          <w:rStyle w:val="CharSectno"/>
        </w:rPr>
        <w:t>1</w:t>
      </w:r>
      <w:r>
        <w:rPr>
          <w:snapToGrid w:val="0"/>
        </w:rPr>
        <w:t>.</w:t>
      </w:r>
      <w:r>
        <w:rPr>
          <w:snapToGrid w:val="0"/>
        </w:rPr>
        <w:tab/>
        <w:t>Short title</w:t>
      </w:r>
      <w:bookmarkEnd w:id="19"/>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Witness Protection (Western Australia) Act 1996</w:t>
      </w:r>
      <w:r>
        <w:rPr>
          <w:snapToGrid w:val="0"/>
          <w:vertAlign w:val="superscript"/>
        </w:rPr>
        <w:t> 1</w:t>
      </w:r>
      <w:r>
        <w:rPr>
          <w:snapToGrid w:val="0"/>
        </w:rPr>
        <w:t>.</w:t>
      </w:r>
    </w:p>
    <w:p>
      <w:pPr>
        <w:pStyle w:val="Heading5"/>
        <w:rPr>
          <w:snapToGrid w:val="0"/>
        </w:rPr>
      </w:pPr>
      <w:bookmarkStart w:id="24" w:name="_Toc448721800"/>
      <w:bookmarkStart w:id="25" w:name="_Toc47774549"/>
      <w:bookmarkStart w:id="26" w:name="_Toc55798071"/>
      <w:bookmarkStart w:id="27" w:name="_Toc194985893"/>
      <w:bookmarkStart w:id="28" w:name="_Toc206911077"/>
      <w:r>
        <w:rPr>
          <w:rStyle w:val="CharSectno"/>
        </w:rPr>
        <w:t>2</w:t>
      </w:r>
      <w:r>
        <w:rPr>
          <w:snapToGrid w:val="0"/>
        </w:rPr>
        <w:t>.</w:t>
      </w:r>
      <w:r>
        <w:rPr>
          <w:snapToGrid w:val="0"/>
        </w:rPr>
        <w:tab/>
        <w:t>Commencement</w:t>
      </w:r>
      <w:bookmarkEnd w:id="24"/>
      <w:bookmarkEnd w:id="25"/>
      <w:bookmarkEnd w:id="26"/>
      <w:bookmarkEnd w:id="27"/>
      <w:bookmarkEnd w:id="28"/>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If the </w:t>
      </w:r>
      <w:r>
        <w:rPr>
          <w:i/>
          <w:snapToGrid w:val="0"/>
        </w:rPr>
        <w:t>Sentence Administration Act 1995</w:t>
      </w:r>
      <w:r>
        <w:rPr>
          <w:iCs/>
          <w:snapToGrid w:val="0"/>
          <w:vertAlign w:val="superscript"/>
        </w:rPr>
        <w:t> 2</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29" w:name="_Toc448721801"/>
      <w:bookmarkStart w:id="30" w:name="_Toc47774550"/>
      <w:bookmarkStart w:id="31" w:name="_Toc55798072"/>
      <w:bookmarkStart w:id="32" w:name="_Toc194985894"/>
      <w:bookmarkStart w:id="33" w:name="_Toc206911078"/>
      <w:r>
        <w:rPr>
          <w:rStyle w:val="CharSectno"/>
        </w:rPr>
        <w:t>3</w:t>
      </w:r>
      <w:r>
        <w:rPr>
          <w:snapToGrid w:val="0"/>
        </w:rPr>
        <w:t>.</w:t>
      </w:r>
      <w:r>
        <w:rPr>
          <w:snapToGrid w:val="0"/>
        </w:rPr>
        <w:tab/>
        <w:t>Terms and abbreviation</w:t>
      </w:r>
      <w:bookmarkEnd w:id="29"/>
      <w:bookmarkEnd w:id="30"/>
      <w:bookmarkEnd w:id="31"/>
      <w:bookmarkEnd w:id="32"/>
      <w:r>
        <w:rPr>
          <w:snapToGrid w:val="0"/>
        </w:rPr>
        <w:t xml:space="preserve"> used in this Act</w:t>
      </w:r>
      <w:bookmarkEnd w:id="33"/>
    </w:p>
    <w:p>
      <w:pPr>
        <w:pStyle w:val="Subsection"/>
        <w:keepNext/>
        <w:rPr>
          <w:snapToGrid w:val="0"/>
        </w:rPr>
      </w:pPr>
      <w:r>
        <w:rPr>
          <w:snapToGrid w:val="0"/>
        </w:rPr>
        <w:tab/>
        <w:t>(1)</w:t>
      </w:r>
      <w:r>
        <w:rPr>
          <w:snapToGrid w:val="0"/>
        </w:rPr>
        <w:tab/>
        <w:t>In this Act, unless the contrary intention appears —</w:t>
      </w:r>
    </w:p>
    <w:p>
      <w:pPr>
        <w:pStyle w:val="Defstart"/>
        <w:keepNext/>
      </w:pPr>
      <w:r>
        <w:rPr>
          <w:b/>
        </w:rPr>
        <w:tab/>
      </w:r>
      <w:r>
        <w:rPr>
          <w:rStyle w:val="CharDefText"/>
        </w:rPr>
        <w:t>approved authority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w:t>
      </w:r>
    </w:p>
    <w:p>
      <w:pPr>
        <w:pStyle w:val="Defsubpara"/>
        <w:rPr>
          <w:snapToGrid w:val="0"/>
        </w:rPr>
      </w:pPr>
      <w:r>
        <w:rPr>
          <w:snapToGrid w:val="0"/>
        </w:rPr>
        <w:tab/>
        <w:t>(i)</w:t>
      </w:r>
      <w:r>
        <w:rPr>
          <w:snapToGrid w:val="0"/>
        </w:rPr>
        <w:tab/>
        <w:t>is authorised to conduct inquiries or investigations in relation to conduct that constitutes, or is alleged to constitute, criminal conduct, misconduct or corruption; and</w:t>
      </w:r>
    </w:p>
    <w:p>
      <w:pPr>
        <w:pStyle w:val="Defsubpara"/>
        <w:rPr>
          <w:snapToGrid w:val="0"/>
        </w:rPr>
      </w:pPr>
      <w:r>
        <w:rPr>
          <w:snapToGrid w:val="0"/>
        </w:rPr>
        <w:tab/>
        <w:t>(ii)</w:t>
      </w:r>
      <w:r>
        <w:rPr>
          <w:snapToGrid w:val="0"/>
        </w:rPr>
        <w:tab/>
        <w:t>is declared by the Minister to be an approved authority for the purposes of this Act;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Commonwealth Act</w:t>
      </w:r>
      <w:r>
        <w:t xml:space="preserve"> means the </w:t>
      </w:r>
      <w:r>
        <w:rPr>
          <w:i/>
        </w:rPr>
        <w:t>Witness Protection Act 1994</w:t>
      </w:r>
      <w:r>
        <w:t xml:space="preserve"> of the Commonwealth;</w:t>
      </w:r>
    </w:p>
    <w:p>
      <w:pPr>
        <w:pStyle w:val="Defstart"/>
        <w:keepNext/>
      </w:pPr>
      <w:r>
        <w:rPr>
          <w:b/>
        </w:rPr>
        <w:tab/>
      </w:r>
      <w:r>
        <w:rPr>
          <w:rStyle w:val="CharDefText"/>
        </w:rPr>
        <w:t>complementary witness protection law</w:t>
      </w:r>
      <w:r>
        <w:t xml:space="preserve"> means —</w:t>
      </w:r>
    </w:p>
    <w:p>
      <w:pPr>
        <w:pStyle w:val="Defpara"/>
      </w:pPr>
      <w:r>
        <w:tab/>
        <w:t>(a)</w:t>
      </w:r>
      <w:r>
        <w:tab/>
        <w:t>the Commonwealth Act;</w:t>
      </w:r>
    </w:p>
    <w:p>
      <w:pPr>
        <w:pStyle w:val="Defpara"/>
        <w:keepNext/>
      </w:pPr>
      <w:r>
        <w:tab/>
        <w:t>(b)</w:t>
      </w:r>
      <w:r>
        <w:tab/>
        <w:t>a law of another State or a Territory that —</w:t>
      </w:r>
    </w:p>
    <w:p>
      <w:pPr>
        <w:pStyle w:val="Defsubpara"/>
        <w:rPr>
          <w:snapToGrid w:val="0"/>
        </w:rPr>
      </w:pPr>
      <w:r>
        <w:rPr>
          <w:snapToGrid w:val="0"/>
        </w:rPr>
        <w:tab/>
        <w:t>(i)</w:t>
      </w:r>
      <w:r>
        <w:rPr>
          <w:snapToGrid w:val="0"/>
        </w:rPr>
        <w:tab/>
        <w:t>makes provision for the protection of witnesses; and</w:t>
      </w:r>
    </w:p>
    <w:p>
      <w:pPr>
        <w:pStyle w:val="Defsubpara"/>
        <w:rPr>
          <w:snapToGrid w:val="0"/>
        </w:rPr>
      </w:pPr>
      <w:r>
        <w:rPr>
          <w:snapToGrid w:val="0"/>
        </w:rPr>
        <w:tab/>
        <w:t>(ii)</w:t>
      </w:r>
      <w:r>
        <w:rPr>
          <w:snapToGrid w:val="0"/>
        </w:rPr>
        <w:tab/>
        <w:t>is declared by the Minister to be a complementary witness protection law;</w:t>
      </w:r>
    </w:p>
    <w:p>
      <w:pPr>
        <w:pStyle w:val="Defstart"/>
        <w:keepNext/>
      </w:pPr>
      <w:r>
        <w:tab/>
      </w:r>
      <w:r>
        <w:rPr>
          <w:rStyle w:val="CharDefText"/>
        </w:rPr>
        <w:t>Corruption and Crime Commission</w:t>
      </w:r>
      <w:r>
        <w:t xml:space="preserve"> has the meaning given to “Commission” in section 3 of the </w:t>
      </w:r>
      <w:r>
        <w:rPr>
          <w:i/>
        </w:rPr>
        <w:t>Corruption and Crime Commission Act 2003</w:t>
      </w:r>
      <w:r>
        <w:t>;</w:t>
      </w:r>
    </w:p>
    <w:p>
      <w:pPr>
        <w:pStyle w:val="Defstart"/>
        <w:keepNext/>
      </w:pPr>
      <w:r>
        <w:rPr>
          <w:b/>
        </w:rPr>
        <w:tab/>
      </w:r>
      <w:r>
        <w:rPr>
          <w:rStyle w:val="CharDefText"/>
        </w:rPr>
        <w:t>court</w:t>
      </w:r>
      <w:r>
        <w:t xml:space="preserve"> includes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r>
      <w:r>
        <w:rPr>
          <w:rStyle w:val="CharDefText"/>
        </w:rPr>
        <w:t>designated position</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rStyle w:val="CharDefText"/>
        </w:rPr>
        <w:t>officer of the Corruption and Crime Commission</w:t>
      </w:r>
      <w:r>
        <w:t xml:space="preserve"> has the meaning given to “officer of the Commission” in section 3 of the </w:t>
      </w:r>
      <w:r>
        <w:rPr>
          <w:i/>
        </w:rPr>
        <w:t>Corruption and Crime Commission Act 2003</w:t>
      </w:r>
      <w:r>
        <w:t>;</w:t>
      </w:r>
    </w:p>
    <w:p>
      <w:pPr>
        <w:pStyle w:val="Defstart"/>
      </w:pPr>
      <w:r>
        <w:rPr>
          <w:b/>
        </w:rPr>
        <w:tab/>
      </w:r>
      <w:r>
        <w:rPr>
          <w:rStyle w:val="CharDefText"/>
        </w:rPr>
        <w:t>Parliamentary Commissioner</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tab/>
      </w:r>
      <w:r>
        <w:rPr>
          <w:rStyle w:val="CharDefText"/>
        </w:rPr>
        <w:t>participant</w:t>
      </w:r>
      <w:r>
        <w:t xml:space="preserve"> means a person who is included in the SWPP;</w:t>
      </w:r>
    </w:p>
    <w:p>
      <w:pPr>
        <w:pStyle w:val="Defstart"/>
      </w:pPr>
      <w:r>
        <w:rPr>
          <w:b/>
        </w:rPr>
        <w:tab/>
      </w:r>
      <w:r>
        <w:rPr>
          <w:rStyle w:val="CharDefText"/>
        </w:rPr>
        <w:t>prescribed authority</w:t>
      </w:r>
      <w:r>
        <w:t xml:space="preserve"> means a person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t>other than the Registrar of Births, Deaths and Marriages;</w:t>
      </w:r>
    </w:p>
    <w:p>
      <w:pPr>
        <w:pStyle w:val="Defstart"/>
      </w:pPr>
      <w:r>
        <w:rPr>
          <w:b/>
        </w:rPr>
        <w:tab/>
      </w:r>
      <w:r>
        <w:rPr>
          <w:rStyle w:val="CharDefText"/>
        </w:rPr>
        <w:t>prescribed register</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r>
      <w:r>
        <w:rPr>
          <w:rStyle w:val="CharDefText"/>
        </w:rPr>
        <w:t>State Witness Protection Program</w:t>
      </w:r>
      <w:r>
        <w:t xml:space="preserve"> (“SWPP”) means the State Witness Protection Program established by this Act;</w:t>
      </w:r>
    </w:p>
    <w:p>
      <w:pPr>
        <w:pStyle w:val="Defstart"/>
      </w:pPr>
      <w:r>
        <w:rPr>
          <w:b/>
        </w:rPr>
        <w:tab/>
      </w:r>
      <w:r>
        <w:rPr>
          <w:rStyle w:val="CharDefText"/>
        </w:rPr>
        <w:t>witness</w:t>
      </w:r>
      <w:r>
        <w:t xml:space="preserve"> is defined in section 4;</w:t>
      </w:r>
    </w:p>
    <w:p>
      <w:pPr>
        <w:pStyle w:val="Defstart"/>
        <w:keepNext/>
      </w:pPr>
      <w:r>
        <w:rPr>
          <w:b/>
        </w:rPr>
        <w:tab/>
      </w:r>
      <w:r>
        <w:rPr>
          <w:rStyle w:val="CharDefText"/>
        </w:rPr>
        <w:t>witness protection program</w:t>
      </w:r>
      <w:r>
        <w:t xml:space="preserve"> means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r>
      <w:r>
        <w:rPr>
          <w:rStyle w:val="CharDefText"/>
        </w:rPr>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by No. 40 of 1998 s. 18(2); No. 48 of 2003 s. 62 and Sch. 3</w:t>
      </w:r>
      <w:r>
        <w:rPr>
          <w:vertAlign w:val="superscript"/>
        </w:rPr>
        <w:t> 3</w:t>
      </w:r>
      <w:r>
        <w:t xml:space="preserve"> cl. 11; No. 4 of 2004 s. 58; No. 74 of 2004 s. 75; No. 8 of 2008 s. 22 and 23(9).]</w:t>
      </w:r>
    </w:p>
    <w:p>
      <w:pPr>
        <w:pStyle w:val="Heading5"/>
        <w:rPr>
          <w:snapToGrid w:val="0"/>
        </w:rPr>
      </w:pPr>
      <w:bookmarkStart w:id="34" w:name="_Toc448721802"/>
      <w:bookmarkStart w:id="35" w:name="_Toc47774551"/>
      <w:bookmarkStart w:id="36" w:name="_Toc55798073"/>
      <w:bookmarkStart w:id="37" w:name="_Toc194985895"/>
      <w:bookmarkStart w:id="38" w:name="_Toc206911079"/>
      <w:r>
        <w:rPr>
          <w:rStyle w:val="CharSectno"/>
        </w:rPr>
        <w:t>4</w:t>
      </w:r>
      <w:r>
        <w:rPr>
          <w:snapToGrid w:val="0"/>
        </w:rPr>
        <w:t>.</w:t>
      </w:r>
      <w:r>
        <w:rPr>
          <w:snapToGrid w:val="0"/>
        </w:rPr>
        <w:tab/>
        <w:t>Meaning of “witness”</w:t>
      </w:r>
      <w:bookmarkEnd w:id="34"/>
      <w:bookmarkEnd w:id="35"/>
      <w:bookmarkEnd w:id="36"/>
      <w:bookmarkEnd w:id="37"/>
      <w:bookmarkEnd w:id="38"/>
    </w:p>
    <w:p>
      <w:pPr>
        <w:pStyle w:val="Subsection"/>
        <w:keepNext/>
        <w:rPr>
          <w:snapToGrid w:val="0"/>
        </w:rPr>
      </w:pPr>
      <w:r>
        <w:rPr>
          <w:snapToGrid w:val="0"/>
        </w:rPr>
        <w:tab/>
        <w:t>(1)</w:t>
      </w:r>
      <w:r>
        <w:rPr>
          <w:snapToGrid w:val="0"/>
        </w:rPr>
        <w:tab/>
        <w:t>For the purposes of this Act, unless the contrary intention appears, a person is a witness if he or she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39" w:name="_Toc62273814"/>
      <w:bookmarkStart w:id="40" w:name="_Toc72914647"/>
      <w:bookmarkStart w:id="41" w:name="_Toc90719156"/>
      <w:bookmarkStart w:id="42" w:name="_Toc94588742"/>
      <w:bookmarkStart w:id="43" w:name="_Toc158005027"/>
      <w:bookmarkStart w:id="44" w:name="_Toc194985896"/>
      <w:bookmarkStart w:id="45" w:name="_Toc194985962"/>
      <w:bookmarkStart w:id="46" w:name="_Toc194986015"/>
      <w:bookmarkStart w:id="47" w:name="_Toc201559284"/>
      <w:bookmarkStart w:id="48" w:name="_Toc201559337"/>
      <w:bookmarkStart w:id="49" w:name="_Toc201660868"/>
      <w:bookmarkStart w:id="50" w:name="_Toc201660920"/>
      <w:bookmarkStart w:id="51" w:name="_Toc202340140"/>
      <w:bookmarkStart w:id="52" w:name="_Toc202343742"/>
      <w:bookmarkStart w:id="53" w:name="_Toc202343901"/>
      <w:bookmarkStart w:id="54" w:name="_Toc205279437"/>
      <w:bookmarkStart w:id="55" w:name="_Toc206911080"/>
      <w:r>
        <w:rPr>
          <w:rStyle w:val="CharPartNo"/>
        </w:rPr>
        <w:t>Part 2</w:t>
      </w:r>
      <w:r>
        <w:t> — </w:t>
      </w:r>
      <w:r>
        <w:rPr>
          <w:rStyle w:val="CharPartText"/>
        </w:rPr>
        <w:t>State Witness Protection Program</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3"/>
      </w:pPr>
      <w:bookmarkStart w:id="56" w:name="_Toc62273815"/>
      <w:bookmarkStart w:id="57" w:name="_Toc72914648"/>
      <w:bookmarkStart w:id="58" w:name="_Toc90719157"/>
      <w:bookmarkStart w:id="59" w:name="_Toc94588743"/>
      <w:bookmarkStart w:id="60" w:name="_Toc158005028"/>
      <w:bookmarkStart w:id="61" w:name="_Toc194985897"/>
      <w:bookmarkStart w:id="62" w:name="_Toc194985963"/>
      <w:bookmarkStart w:id="63" w:name="_Toc194986016"/>
      <w:bookmarkStart w:id="64" w:name="_Toc201559285"/>
      <w:bookmarkStart w:id="65" w:name="_Toc201559338"/>
      <w:bookmarkStart w:id="66" w:name="_Toc201660869"/>
      <w:bookmarkStart w:id="67" w:name="_Toc201660921"/>
      <w:bookmarkStart w:id="68" w:name="_Toc202340141"/>
      <w:bookmarkStart w:id="69" w:name="_Toc202343743"/>
      <w:bookmarkStart w:id="70" w:name="_Toc202343902"/>
      <w:bookmarkStart w:id="71" w:name="_Toc205279438"/>
      <w:bookmarkStart w:id="72" w:name="_Toc206911081"/>
      <w:r>
        <w:rPr>
          <w:rStyle w:val="CharDivNo"/>
        </w:rPr>
        <w:t>Division 1</w:t>
      </w:r>
      <w:r>
        <w:rPr>
          <w:snapToGrid w:val="0"/>
        </w:rPr>
        <w:t> — </w:t>
      </w:r>
      <w:r>
        <w:rPr>
          <w:rStyle w:val="CharDivText"/>
        </w:rPr>
        <w:t>Establishment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rPr>
          <w:snapToGrid w:val="0"/>
        </w:rPr>
      </w:pPr>
      <w:bookmarkStart w:id="73" w:name="_Toc448721803"/>
      <w:bookmarkStart w:id="74" w:name="_Toc47774552"/>
      <w:bookmarkStart w:id="75" w:name="_Toc55798074"/>
      <w:bookmarkStart w:id="76" w:name="_Toc194985898"/>
      <w:bookmarkStart w:id="77" w:name="_Toc206911082"/>
      <w:r>
        <w:rPr>
          <w:rStyle w:val="CharSectno"/>
        </w:rPr>
        <w:t>5</w:t>
      </w:r>
      <w:r>
        <w:rPr>
          <w:snapToGrid w:val="0"/>
        </w:rPr>
        <w:t>.</w:t>
      </w:r>
      <w:r>
        <w:rPr>
          <w:snapToGrid w:val="0"/>
        </w:rPr>
        <w:tab/>
        <w:t>Commissioner to establish SWPP</w:t>
      </w:r>
      <w:bookmarkEnd w:id="73"/>
      <w:bookmarkEnd w:id="74"/>
      <w:bookmarkEnd w:id="75"/>
      <w:bookmarkEnd w:id="76"/>
      <w:bookmarkEnd w:id="77"/>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78" w:name="_Toc448721804"/>
      <w:bookmarkStart w:id="79" w:name="_Toc47774553"/>
      <w:bookmarkStart w:id="80" w:name="_Toc55798075"/>
      <w:bookmarkStart w:id="81" w:name="_Toc194985899"/>
      <w:bookmarkStart w:id="82" w:name="_Toc206911083"/>
      <w:r>
        <w:rPr>
          <w:rStyle w:val="CharSectno"/>
        </w:rPr>
        <w:t>6</w:t>
      </w:r>
      <w:r>
        <w:rPr>
          <w:snapToGrid w:val="0"/>
        </w:rPr>
        <w:t>.</w:t>
      </w:r>
      <w:r>
        <w:rPr>
          <w:snapToGrid w:val="0"/>
        </w:rPr>
        <w:tab/>
        <w:t>Arrangements with approved authorities</w:t>
      </w:r>
      <w:bookmarkEnd w:id="78"/>
      <w:bookmarkEnd w:id="79"/>
      <w:bookmarkEnd w:id="80"/>
      <w:bookmarkEnd w:id="81"/>
      <w:bookmarkEnd w:id="82"/>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w:t>
      </w:r>
    </w:p>
    <w:p>
      <w:pPr>
        <w:pStyle w:val="Indenta"/>
        <w:spacing w:before="60"/>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spacing w:before="60"/>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spacing w:before="60"/>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w:t>
      </w:r>
    </w:p>
    <w:p>
      <w:pPr>
        <w:pStyle w:val="Indenti"/>
        <w:spacing w:before="60"/>
        <w:rPr>
          <w:snapToGrid w:val="0"/>
        </w:rPr>
      </w:pPr>
      <w:r>
        <w:rPr>
          <w:snapToGrid w:val="0"/>
        </w:rPr>
        <w:tab/>
        <w:t>(i)</w:t>
      </w:r>
      <w:r>
        <w:rPr>
          <w:snapToGrid w:val="0"/>
        </w:rPr>
        <w:tab/>
        <w:t>whether to include a witness in the SWPP; and</w:t>
      </w:r>
    </w:p>
    <w:p>
      <w:pPr>
        <w:pStyle w:val="Indenti"/>
        <w:keepNext/>
        <w:keepLines/>
        <w:spacing w:before="60"/>
        <w:rPr>
          <w:snapToGrid w:val="0"/>
        </w:rPr>
      </w:pPr>
      <w:r>
        <w:rPr>
          <w:snapToGrid w:val="0"/>
        </w:rPr>
        <w:tab/>
        <w:t>(ii)</w:t>
      </w:r>
      <w:r>
        <w:rPr>
          <w:snapToGrid w:val="0"/>
        </w:rPr>
        <w:tab/>
        <w:t>what protection and assistance is appropriate for a participant;</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spacing w:before="140"/>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83" w:name="_Toc448721805"/>
      <w:bookmarkStart w:id="84" w:name="_Toc47774554"/>
      <w:bookmarkStart w:id="85" w:name="_Toc55798076"/>
      <w:bookmarkStart w:id="86" w:name="_Toc194985900"/>
      <w:bookmarkStart w:id="87" w:name="_Toc206911084"/>
      <w:r>
        <w:rPr>
          <w:rStyle w:val="CharSectno"/>
        </w:rPr>
        <w:t>7</w:t>
      </w:r>
      <w:r>
        <w:rPr>
          <w:snapToGrid w:val="0"/>
        </w:rPr>
        <w:t>.</w:t>
      </w:r>
      <w:r>
        <w:rPr>
          <w:snapToGrid w:val="0"/>
        </w:rPr>
        <w:tab/>
        <w:t>Authorisation of approved authorities</w:t>
      </w:r>
      <w:bookmarkEnd w:id="83"/>
      <w:bookmarkEnd w:id="84"/>
      <w:bookmarkEnd w:id="85"/>
      <w:bookmarkEnd w:id="86"/>
      <w:bookmarkEnd w:id="87"/>
    </w:p>
    <w:p>
      <w:pPr>
        <w:pStyle w:val="Subsection"/>
        <w:spacing w:before="140"/>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spacing w:before="140"/>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88" w:name="_Toc62273819"/>
      <w:bookmarkStart w:id="89" w:name="_Toc72914652"/>
      <w:bookmarkStart w:id="90" w:name="_Toc90719161"/>
      <w:bookmarkStart w:id="91" w:name="_Toc94588747"/>
      <w:bookmarkStart w:id="92" w:name="_Toc158005032"/>
      <w:bookmarkStart w:id="93" w:name="_Toc194985901"/>
      <w:bookmarkStart w:id="94" w:name="_Toc194985967"/>
      <w:bookmarkStart w:id="95" w:name="_Toc194986020"/>
      <w:bookmarkStart w:id="96" w:name="_Toc201559289"/>
      <w:bookmarkStart w:id="97" w:name="_Toc201559342"/>
      <w:bookmarkStart w:id="98" w:name="_Toc201660873"/>
      <w:bookmarkStart w:id="99" w:name="_Toc201660925"/>
      <w:bookmarkStart w:id="100" w:name="_Toc202340145"/>
      <w:bookmarkStart w:id="101" w:name="_Toc202343747"/>
      <w:bookmarkStart w:id="102" w:name="_Toc202343906"/>
      <w:bookmarkStart w:id="103" w:name="_Toc205279442"/>
      <w:bookmarkStart w:id="104" w:name="_Toc206911085"/>
      <w:r>
        <w:rPr>
          <w:rStyle w:val="CharDivNo"/>
        </w:rPr>
        <w:t>Division 2</w:t>
      </w:r>
      <w:r>
        <w:rPr>
          <w:snapToGrid w:val="0"/>
        </w:rPr>
        <w:t> — </w:t>
      </w:r>
      <w:r>
        <w:rPr>
          <w:rStyle w:val="CharDivText"/>
        </w:rPr>
        <w:t>Including witnesses in the SWPP</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448721806"/>
      <w:bookmarkStart w:id="106" w:name="_Toc47774555"/>
      <w:bookmarkStart w:id="107" w:name="_Toc55798077"/>
      <w:bookmarkStart w:id="108" w:name="_Toc194985902"/>
      <w:bookmarkStart w:id="109" w:name="_Toc206911086"/>
      <w:r>
        <w:rPr>
          <w:rStyle w:val="CharSectno"/>
        </w:rPr>
        <w:t>8</w:t>
      </w:r>
      <w:r>
        <w:rPr>
          <w:snapToGrid w:val="0"/>
        </w:rPr>
        <w:t>.</w:t>
      </w:r>
      <w:r>
        <w:rPr>
          <w:snapToGrid w:val="0"/>
        </w:rPr>
        <w:tab/>
        <w:t>Commissioner to decide who is included</w:t>
      </w:r>
      <w:bookmarkEnd w:id="105"/>
      <w:bookmarkEnd w:id="106"/>
      <w:bookmarkEnd w:id="107"/>
      <w:bookmarkEnd w:id="108"/>
      <w:bookmarkEnd w:id="109"/>
    </w:p>
    <w:p>
      <w:pPr>
        <w:pStyle w:val="Subsection"/>
        <w:spacing w:before="140"/>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spacing w:before="140"/>
        <w:rPr>
          <w:snapToGrid w:val="0"/>
        </w:rPr>
      </w:pPr>
      <w:r>
        <w:rPr>
          <w:snapToGrid w:val="0"/>
        </w:rPr>
        <w:tab/>
        <w:t>(2)</w:t>
      </w:r>
      <w:r>
        <w:rPr>
          <w:snapToGrid w:val="0"/>
        </w:rPr>
        <w:tab/>
        <w:t>A witness may be included in the SWPP only if —</w:t>
      </w:r>
    </w:p>
    <w:p>
      <w:pPr>
        <w:pStyle w:val="Indenta"/>
        <w:spacing w:before="60"/>
        <w:rPr>
          <w:snapToGrid w:val="0"/>
        </w:rPr>
      </w:pPr>
      <w:r>
        <w:rPr>
          <w:snapToGrid w:val="0"/>
        </w:rPr>
        <w:tab/>
        <w:t>(a)</w:t>
      </w:r>
      <w:r>
        <w:rPr>
          <w:snapToGrid w:val="0"/>
        </w:rPr>
        <w:tab/>
        <w:t>the Commissioner has decided the witness needs protection and assistance of the kind able to be provided under the SWPP;</w:t>
      </w:r>
    </w:p>
    <w:p>
      <w:pPr>
        <w:pStyle w:val="Indenta"/>
        <w:spacing w:before="60"/>
        <w:rPr>
          <w:snapToGrid w:val="0"/>
        </w:rPr>
      </w:pPr>
      <w:r>
        <w:rPr>
          <w:snapToGrid w:val="0"/>
        </w:rPr>
        <w:tab/>
        <w:t>(b)</w:t>
      </w:r>
      <w:r>
        <w:rPr>
          <w:snapToGrid w:val="0"/>
        </w:rPr>
        <w:tab/>
        <w:t>the witness agrees to be included; and</w:t>
      </w:r>
    </w:p>
    <w:p>
      <w:pPr>
        <w:pStyle w:val="Indenta"/>
        <w:spacing w:before="60"/>
        <w:rPr>
          <w:snapToGrid w:val="0"/>
        </w:rPr>
      </w:pPr>
      <w:r>
        <w:rPr>
          <w:snapToGrid w:val="0"/>
        </w:rPr>
        <w:tab/>
        <w:t>(c)</w:t>
      </w:r>
      <w:r>
        <w:rPr>
          <w:snapToGrid w:val="0"/>
        </w:rPr>
        <w:tab/>
        <w:t>a memorandum of understanding is entered into by or on behalf of the witness in accordance with section 11.</w:t>
      </w:r>
    </w:p>
    <w:p>
      <w:pPr>
        <w:pStyle w:val="Subsection"/>
        <w:keepNext/>
        <w:spacing w:before="140"/>
        <w:rPr>
          <w:snapToGrid w:val="0"/>
        </w:rPr>
      </w:pPr>
      <w:r>
        <w:rPr>
          <w:snapToGrid w:val="0"/>
        </w:rPr>
        <w:tab/>
        <w:t>(3)</w:t>
      </w:r>
      <w:r>
        <w:rPr>
          <w:snapToGrid w:val="0"/>
        </w:rPr>
        <w:tab/>
        <w:t>In deciding whether to include a witness in the SWPP, the Commissioner must have regard to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110" w:name="_Toc448721807"/>
      <w:bookmarkStart w:id="111" w:name="_Toc47774556"/>
      <w:bookmarkStart w:id="112" w:name="_Toc55798078"/>
      <w:bookmarkStart w:id="113" w:name="_Toc194985903"/>
      <w:bookmarkStart w:id="114" w:name="_Toc206911087"/>
      <w:r>
        <w:rPr>
          <w:rStyle w:val="CharSectno"/>
        </w:rPr>
        <w:t>9</w:t>
      </w:r>
      <w:r>
        <w:rPr>
          <w:snapToGrid w:val="0"/>
        </w:rPr>
        <w:t>.</w:t>
      </w:r>
      <w:r>
        <w:rPr>
          <w:snapToGrid w:val="0"/>
        </w:rPr>
        <w:tab/>
        <w:t>Inclusion not to be a reward for giving evidence etc.</w:t>
      </w:r>
      <w:bookmarkEnd w:id="110"/>
      <w:bookmarkEnd w:id="111"/>
      <w:bookmarkEnd w:id="112"/>
      <w:bookmarkEnd w:id="113"/>
      <w:bookmarkEnd w:id="114"/>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115" w:name="_Toc448721808"/>
      <w:bookmarkStart w:id="116" w:name="_Toc47774557"/>
      <w:bookmarkStart w:id="117" w:name="_Toc55798079"/>
      <w:bookmarkStart w:id="118" w:name="_Toc194985904"/>
      <w:bookmarkStart w:id="119" w:name="_Toc206911088"/>
      <w:r>
        <w:rPr>
          <w:rStyle w:val="CharSectno"/>
        </w:rPr>
        <w:t>10</w:t>
      </w:r>
      <w:r>
        <w:rPr>
          <w:snapToGrid w:val="0"/>
        </w:rPr>
        <w:t>.</w:t>
      </w:r>
      <w:r>
        <w:rPr>
          <w:snapToGrid w:val="0"/>
        </w:rPr>
        <w:tab/>
        <w:t>Witness to provide Commissioner with information before inclusion</w:t>
      </w:r>
      <w:bookmarkEnd w:id="115"/>
      <w:bookmarkEnd w:id="116"/>
      <w:bookmarkEnd w:id="117"/>
      <w:bookmarkEnd w:id="118"/>
      <w:bookmarkEnd w:id="119"/>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w:t>
      </w:r>
    </w:p>
    <w:p>
      <w:pPr>
        <w:pStyle w:val="Indenta"/>
        <w:keepNext/>
        <w:rPr>
          <w:snapToGrid w:val="0"/>
        </w:rPr>
      </w:pPr>
      <w:r>
        <w:rPr>
          <w:snapToGrid w:val="0"/>
        </w:rPr>
        <w:tab/>
        <w:t>(a)</w:t>
      </w:r>
      <w:r>
        <w:rPr>
          <w:snapToGrid w:val="0"/>
        </w:rPr>
        <w:tab/>
        <w:t>require the witness to undergo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120" w:name="_Toc448721809"/>
      <w:bookmarkStart w:id="121" w:name="_Toc47774558"/>
      <w:bookmarkStart w:id="122" w:name="_Toc55798080"/>
      <w:bookmarkStart w:id="123" w:name="_Toc194985905"/>
      <w:bookmarkStart w:id="124" w:name="_Toc206911089"/>
      <w:r>
        <w:rPr>
          <w:rStyle w:val="CharSectno"/>
        </w:rPr>
        <w:t>11</w:t>
      </w:r>
      <w:r>
        <w:rPr>
          <w:snapToGrid w:val="0"/>
        </w:rPr>
        <w:t>.</w:t>
      </w:r>
      <w:r>
        <w:rPr>
          <w:snapToGrid w:val="0"/>
        </w:rPr>
        <w:tab/>
        <w:t>Memorandum of understanding</w:t>
      </w:r>
      <w:bookmarkEnd w:id="120"/>
      <w:bookmarkEnd w:id="121"/>
      <w:bookmarkEnd w:id="122"/>
      <w:bookmarkEnd w:id="123"/>
      <w:bookmarkEnd w:id="124"/>
    </w:p>
    <w:p>
      <w:pPr>
        <w:pStyle w:val="Subsection"/>
        <w:keepNext/>
        <w:rPr>
          <w:snapToGrid w:val="0"/>
        </w:rPr>
      </w:pPr>
      <w:r>
        <w:rPr>
          <w:snapToGrid w:val="0"/>
        </w:rPr>
        <w:tab/>
        <w:t>(1)</w:t>
      </w:r>
      <w:r>
        <w:rPr>
          <w:snapToGrid w:val="0"/>
        </w:rPr>
        <w:tab/>
        <w:t>A memorandum of understanding must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w:t>
      </w:r>
    </w:p>
    <w:p>
      <w:pPr>
        <w:pStyle w:val="Indenta"/>
        <w:rPr>
          <w:snapToGrid w:val="0"/>
        </w:rPr>
      </w:pPr>
      <w:r>
        <w:rPr>
          <w:snapToGrid w:val="0"/>
        </w:rPr>
        <w:tab/>
        <w:t>(a)</w:t>
      </w:r>
      <w:r>
        <w:rPr>
          <w:snapToGrid w:val="0"/>
        </w:rPr>
        <w:tab/>
        <w:t>the terms and conditions on which protection and assistance are to be provided to the participant;</w:t>
      </w:r>
    </w:p>
    <w:p>
      <w:pPr>
        <w:pStyle w:val="Indenta"/>
        <w:rPr>
          <w:snapToGrid w:val="0"/>
        </w:rPr>
      </w:pPr>
      <w:r>
        <w:rPr>
          <w:snapToGrid w:val="0"/>
        </w:rPr>
        <w:tab/>
        <w:t>(b)</w:t>
      </w:r>
      <w:r>
        <w:rPr>
          <w:snapToGrid w:val="0"/>
        </w:rPr>
        <w:tab/>
        <w:t>requirements that the participant must not engage in activities of a kind specified in the memorandum of understanding;</w:t>
      </w:r>
    </w:p>
    <w:p>
      <w:pPr>
        <w:pStyle w:val="Indenta"/>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rPr>
          <w:snapToGrid w:val="0"/>
        </w:rPr>
      </w:pPr>
      <w:r>
        <w:rPr>
          <w:snapToGrid w:val="0"/>
        </w:rPr>
        <w:tab/>
        <w:t>(e)</w:t>
      </w:r>
      <w:r>
        <w:rPr>
          <w:snapToGrid w:val="0"/>
        </w:rPr>
        <w:tab/>
        <w:t>an agreement by or on behalf of the participant that the participant will, if required to do so by the Commissioner —</w:t>
      </w:r>
    </w:p>
    <w:p>
      <w:pPr>
        <w:pStyle w:val="Indenti"/>
        <w:rPr>
          <w:snapToGrid w:val="0"/>
        </w:rPr>
      </w:pPr>
      <w:r>
        <w:rPr>
          <w:snapToGrid w:val="0"/>
        </w:rPr>
        <w:tab/>
        <w:t>(i)</w:t>
      </w:r>
      <w:r>
        <w:rPr>
          <w:snapToGrid w:val="0"/>
        </w:rPr>
        <w:tab/>
        <w:t>undergo medical, psychological or psychiatric tests or examinations and make the results available to the Commissioner;</w:t>
      </w:r>
    </w:p>
    <w:p>
      <w:pPr>
        <w:pStyle w:val="Indenti"/>
        <w:rPr>
          <w:snapToGrid w:val="0"/>
        </w:rPr>
      </w:pPr>
      <w:r>
        <w:rPr>
          <w:snapToGrid w:val="0"/>
        </w:rPr>
        <w:tab/>
        <w:t>(ii)</w:t>
      </w:r>
      <w:r>
        <w:rPr>
          <w:snapToGrid w:val="0"/>
        </w:rPr>
        <w:tab/>
        <w:t>undergo counselling or treatment for alcohol or drug abuse;</w:t>
      </w:r>
    </w:p>
    <w:p>
      <w:pPr>
        <w:pStyle w:val="Indenti"/>
        <w:rPr>
          <w:snapToGrid w:val="0"/>
        </w:rPr>
      </w:pPr>
      <w:r>
        <w:rPr>
          <w:snapToGrid w:val="0"/>
        </w:rPr>
        <w:tab/>
        <w:t>(iii)</w:t>
      </w:r>
      <w:r>
        <w:rPr>
          <w:snapToGrid w:val="0"/>
        </w:rPr>
        <w:tab/>
        <w:t>allow prints of his or her fingers and palms to be taken; or</w:t>
      </w:r>
    </w:p>
    <w:p>
      <w:pPr>
        <w:pStyle w:val="Indenti"/>
        <w:rPr>
          <w:snapToGrid w:val="0"/>
        </w:rPr>
      </w:pPr>
      <w:r>
        <w:rPr>
          <w:snapToGrid w:val="0"/>
        </w:rPr>
        <w:tab/>
        <w:t>(iv)</w:t>
      </w:r>
      <w:r>
        <w:rPr>
          <w:snapToGrid w:val="0"/>
        </w:rPr>
        <w:tab/>
        <w:t>allow photographs to be taken of himself or herself;</w:t>
      </w:r>
    </w:p>
    <w:p>
      <w:pPr>
        <w:pStyle w:val="Indenta"/>
        <w:keepNext/>
        <w:rPr>
          <w:snapToGrid w:val="0"/>
        </w:rPr>
      </w:pPr>
      <w:r>
        <w:rPr>
          <w:snapToGrid w:val="0"/>
        </w:rPr>
        <w:tab/>
        <w:t>(f)</w:t>
      </w:r>
      <w:r>
        <w:rPr>
          <w:snapToGrid w:val="0"/>
        </w:rPr>
        <w:tab/>
        <w:t>a list of —</w:t>
      </w:r>
    </w:p>
    <w:p>
      <w:pPr>
        <w:pStyle w:val="Indenti"/>
        <w:rPr>
          <w:snapToGrid w:val="0"/>
        </w:rPr>
      </w:pPr>
      <w:r>
        <w:rPr>
          <w:snapToGrid w:val="0"/>
        </w:rPr>
        <w:tab/>
        <w:t>(i)</w:t>
      </w:r>
      <w:r>
        <w:rPr>
          <w:snapToGrid w:val="0"/>
        </w:rPr>
        <w:tab/>
        <w:t>the outstanding legal obligations (including family maintenance obligations and taxation obligations) of the participant; and</w:t>
      </w:r>
    </w:p>
    <w:p>
      <w:pPr>
        <w:pStyle w:val="Indenti"/>
        <w:rPr>
          <w:snapToGrid w:val="0"/>
        </w:rPr>
      </w:pPr>
      <w:r>
        <w:rPr>
          <w:snapToGrid w:val="0"/>
        </w:rPr>
        <w:tab/>
        <w:t>(ii)</w:t>
      </w:r>
      <w:r>
        <w:rPr>
          <w:snapToGrid w:val="0"/>
        </w:rPr>
        <w:tab/>
        <w:t>any other obligations of the participant,</w:t>
      </w:r>
    </w:p>
    <w:p>
      <w:pPr>
        <w:pStyle w:val="Indenta"/>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by No. 48 of 2003 s. 62 and Sch. 3</w:t>
      </w:r>
      <w:r>
        <w:rPr>
          <w:vertAlign w:val="superscript"/>
        </w:rPr>
        <w:t> 3</w:t>
      </w:r>
      <w:r>
        <w:t xml:space="preserve"> cl. 11.]</w:t>
      </w:r>
    </w:p>
    <w:p>
      <w:pPr>
        <w:pStyle w:val="Heading5"/>
        <w:rPr>
          <w:snapToGrid w:val="0"/>
        </w:rPr>
      </w:pPr>
      <w:bookmarkStart w:id="125" w:name="_Toc448721810"/>
      <w:bookmarkStart w:id="126" w:name="_Toc47774559"/>
      <w:bookmarkStart w:id="127" w:name="_Toc55798081"/>
      <w:bookmarkStart w:id="128" w:name="_Toc194985906"/>
      <w:bookmarkStart w:id="129" w:name="_Toc206911090"/>
      <w:r>
        <w:rPr>
          <w:rStyle w:val="CharSectno"/>
        </w:rPr>
        <w:t>12</w:t>
      </w:r>
      <w:r>
        <w:rPr>
          <w:snapToGrid w:val="0"/>
        </w:rPr>
        <w:t>.</w:t>
      </w:r>
      <w:r>
        <w:rPr>
          <w:snapToGrid w:val="0"/>
        </w:rPr>
        <w:tab/>
        <w:t>Amending a memorandum of understanding</w:t>
      </w:r>
      <w:bookmarkEnd w:id="125"/>
      <w:bookmarkEnd w:id="126"/>
      <w:bookmarkEnd w:id="127"/>
      <w:bookmarkEnd w:id="128"/>
      <w:bookmarkEnd w:id="129"/>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pPr>
      <w:bookmarkStart w:id="130" w:name="_Toc62273825"/>
      <w:bookmarkStart w:id="131" w:name="_Toc72914658"/>
      <w:bookmarkStart w:id="132" w:name="_Toc90719167"/>
      <w:bookmarkStart w:id="133" w:name="_Toc94588753"/>
      <w:bookmarkStart w:id="134" w:name="_Toc158005038"/>
      <w:bookmarkStart w:id="135" w:name="_Toc194985907"/>
      <w:bookmarkStart w:id="136" w:name="_Toc194985973"/>
      <w:bookmarkStart w:id="137" w:name="_Toc194986026"/>
      <w:bookmarkStart w:id="138" w:name="_Toc201559295"/>
      <w:bookmarkStart w:id="139" w:name="_Toc201559348"/>
      <w:bookmarkStart w:id="140" w:name="_Toc201660879"/>
      <w:bookmarkStart w:id="141" w:name="_Toc201660931"/>
      <w:bookmarkStart w:id="142" w:name="_Toc202340151"/>
      <w:bookmarkStart w:id="143" w:name="_Toc202343753"/>
      <w:bookmarkStart w:id="144" w:name="_Toc202343912"/>
      <w:bookmarkStart w:id="145" w:name="_Toc205279448"/>
      <w:bookmarkStart w:id="146" w:name="_Toc206911091"/>
      <w:r>
        <w:rPr>
          <w:rStyle w:val="CharDivNo"/>
        </w:rPr>
        <w:t>Division 3</w:t>
      </w:r>
      <w:r>
        <w:rPr>
          <w:snapToGrid w:val="0"/>
        </w:rPr>
        <w:t> — </w:t>
      </w:r>
      <w:r>
        <w:rPr>
          <w:rStyle w:val="CharDivText"/>
        </w:rPr>
        <w:t>Register of participants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448721811"/>
      <w:bookmarkStart w:id="148" w:name="_Toc47774560"/>
      <w:bookmarkStart w:id="149" w:name="_Toc55798082"/>
      <w:bookmarkStart w:id="150" w:name="_Toc194985908"/>
      <w:bookmarkStart w:id="151" w:name="_Toc206911092"/>
      <w:r>
        <w:rPr>
          <w:rStyle w:val="CharSectno"/>
        </w:rPr>
        <w:t>13</w:t>
      </w:r>
      <w:r>
        <w:rPr>
          <w:snapToGrid w:val="0"/>
        </w:rPr>
        <w:t>.</w:t>
      </w:r>
      <w:r>
        <w:rPr>
          <w:snapToGrid w:val="0"/>
        </w:rPr>
        <w:tab/>
        <w:t>Commissioner to keep register</w:t>
      </w:r>
      <w:bookmarkEnd w:id="147"/>
      <w:bookmarkEnd w:id="148"/>
      <w:bookmarkEnd w:id="149"/>
      <w:bookmarkEnd w:id="150"/>
      <w:bookmarkEnd w:id="151"/>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152" w:name="_Toc448721812"/>
      <w:bookmarkStart w:id="153" w:name="_Toc47774561"/>
      <w:bookmarkStart w:id="154" w:name="_Toc55798083"/>
      <w:bookmarkStart w:id="155" w:name="_Toc194985909"/>
      <w:bookmarkStart w:id="156" w:name="_Toc206911093"/>
      <w:r>
        <w:rPr>
          <w:rStyle w:val="CharSectno"/>
        </w:rPr>
        <w:t>14</w:t>
      </w:r>
      <w:r>
        <w:rPr>
          <w:snapToGrid w:val="0"/>
        </w:rPr>
        <w:t>.</w:t>
      </w:r>
      <w:r>
        <w:rPr>
          <w:snapToGrid w:val="0"/>
        </w:rPr>
        <w:tab/>
        <w:t>Access to the register</w:t>
      </w:r>
      <w:bookmarkEnd w:id="152"/>
      <w:bookmarkEnd w:id="153"/>
      <w:bookmarkEnd w:id="154"/>
      <w:bookmarkEnd w:id="155"/>
      <w:bookmarkEnd w:id="156"/>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and Crime Commission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bookmarkStart w:id="157" w:name="_Toc62273828"/>
      <w:r>
        <w:tab/>
        <w:t>[Section 14 amended by No. 48 of 2003 s. 62 and Sch. 3</w:t>
      </w:r>
      <w:r>
        <w:rPr>
          <w:vertAlign w:val="superscript"/>
        </w:rPr>
        <w:t> 3</w:t>
      </w:r>
      <w:r>
        <w:t xml:space="preserve"> cl. 11; No. 77 of 2006 s. 17.]</w:t>
      </w:r>
    </w:p>
    <w:p>
      <w:pPr>
        <w:pStyle w:val="Heading3"/>
        <w:rPr>
          <w:snapToGrid w:val="0"/>
        </w:rPr>
      </w:pPr>
      <w:bookmarkStart w:id="158" w:name="_Toc72914661"/>
      <w:bookmarkStart w:id="159" w:name="_Toc90719170"/>
      <w:bookmarkStart w:id="160" w:name="_Toc94588756"/>
      <w:bookmarkStart w:id="161" w:name="_Toc158005041"/>
      <w:bookmarkStart w:id="162" w:name="_Toc194985910"/>
      <w:bookmarkStart w:id="163" w:name="_Toc194985976"/>
      <w:bookmarkStart w:id="164" w:name="_Toc194986029"/>
      <w:bookmarkStart w:id="165" w:name="_Toc201559298"/>
      <w:bookmarkStart w:id="166" w:name="_Toc201559351"/>
      <w:bookmarkStart w:id="167" w:name="_Toc201660882"/>
      <w:bookmarkStart w:id="168" w:name="_Toc201660934"/>
      <w:bookmarkStart w:id="169" w:name="_Toc202340154"/>
      <w:bookmarkStart w:id="170" w:name="_Toc202343756"/>
      <w:bookmarkStart w:id="171" w:name="_Toc202343915"/>
      <w:bookmarkStart w:id="172" w:name="_Toc205279451"/>
      <w:bookmarkStart w:id="173" w:name="_Toc206911094"/>
      <w:r>
        <w:rPr>
          <w:rStyle w:val="CharDivNo"/>
        </w:rPr>
        <w:t>Division 4</w:t>
      </w:r>
      <w:r>
        <w:rPr>
          <w:snapToGrid w:val="0"/>
        </w:rPr>
        <w:t> — </w:t>
      </w:r>
      <w:r>
        <w:rPr>
          <w:rStyle w:val="CharDivText"/>
        </w:rPr>
        <w:t>Protecting and assisting witnesses and participants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448721813"/>
      <w:bookmarkStart w:id="175" w:name="_Toc47774562"/>
      <w:bookmarkStart w:id="176" w:name="_Toc55798084"/>
      <w:bookmarkStart w:id="177" w:name="_Toc194985911"/>
      <w:bookmarkStart w:id="178" w:name="_Toc206911095"/>
      <w:r>
        <w:rPr>
          <w:rStyle w:val="CharSectno"/>
        </w:rPr>
        <w:t>15</w:t>
      </w:r>
      <w:r>
        <w:rPr>
          <w:snapToGrid w:val="0"/>
        </w:rPr>
        <w:t>.</w:t>
      </w:r>
      <w:r>
        <w:rPr>
          <w:snapToGrid w:val="0"/>
        </w:rPr>
        <w:tab/>
        <w:t>Commissioner must take action to protect etc.</w:t>
      </w:r>
      <w:bookmarkEnd w:id="174"/>
      <w:bookmarkEnd w:id="175"/>
      <w:bookmarkEnd w:id="176"/>
      <w:bookmarkEnd w:id="177"/>
      <w:bookmarkEnd w:id="178"/>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179" w:name="_Toc448721814"/>
      <w:bookmarkStart w:id="180" w:name="_Toc47774563"/>
      <w:bookmarkStart w:id="181" w:name="_Toc55798085"/>
      <w:bookmarkStart w:id="182" w:name="_Toc194985912"/>
      <w:bookmarkStart w:id="183" w:name="_Toc206911096"/>
      <w:r>
        <w:rPr>
          <w:rStyle w:val="CharSectno"/>
        </w:rPr>
        <w:t>16</w:t>
      </w:r>
      <w:r>
        <w:rPr>
          <w:snapToGrid w:val="0"/>
        </w:rPr>
        <w:t>.</w:t>
      </w:r>
      <w:r>
        <w:rPr>
          <w:snapToGrid w:val="0"/>
        </w:rPr>
        <w:tab/>
        <w:t>Action as to obligations etc. of a participant</w:t>
      </w:r>
      <w:bookmarkEnd w:id="179"/>
      <w:bookmarkEnd w:id="180"/>
      <w:bookmarkEnd w:id="181"/>
      <w:bookmarkEnd w:id="182"/>
      <w:bookmarkEnd w:id="183"/>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184" w:name="_Toc448721815"/>
      <w:bookmarkStart w:id="185" w:name="_Toc47774564"/>
      <w:bookmarkStart w:id="186" w:name="_Toc55798086"/>
      <w:bookmarkStart w:id="187" w:name="_Toc194985913"/>
      <w:bookmarkStart w:id="188" w:name="_Toc206911097"/>
      <w:r>
        <w:rPr>
          <w:rStyle w:val="CharSectno"/>
        </w:rPr>
        <w:t>17</w:t>
      </w:r>
      <w:r>
        <w:rPr>
          <w:snapToGrid w:val="0"/>
        </w:rPr>
        <w:t>.</w:t>
      </w:r>
      <w:r>
        <w:rPr>
          <w:snapToGrid w:val="0"/>
        </w:rPr>
        <w:tab/>
        <w:t>Commercial arrangements for benefit of participant</w:t>
      </w:r>
      <w:bookmarkEnd w:id="184"/>
      <w:bookmarkEnd w:id="185"/>
      <w:bookmarkEnd w:id="186"/>
      <w:bookmarkEnd w:id="187"/>
      <w:bookmarkEnd w:id="188"/>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189" w:name="_Toc448721816"/>
      <w:bookmarkStart w:id="190" w:name="_Toc47774565"/>
      <w:bookmarkStart w:id="191" w:name="_Toc55798087"/>
      <w:bookmarkStart w:id="192" w:name="_Toc194985914"/>
      <w:bookmarkStart w:id="193" w:name="_Toc206911098"/>
      <w:r>
        <w:rPr>
          <w:rStyle w:val="CharSectno"/>
        </w:rPr>
        <w:t>18</w:t>
      </w:r>
      <w:r>
        <w:rPr>
          <w:snapToGrid w:val="0"/>
        </w:rPr>
        <w:t>.</w:t>
      </w:r>
      <w:r>
        <w:rPr>
          <w:snapToGrid w:val="0"/>
        </w:rPr>
        <w:tab/>
        <w:t>Identity documents in urgent cases</w:t>
      </w:r>
      <w:bookmarkEnd w:id="189"/>
      <w:bookmarkEnd w:id="190"/>
      <w:bookmarkEnd w:id="191"/>
      <w:bookmarkEnd w:id="192"/>
      <w:bookmarkEnd w:id="193"/>
    </w:p>
    <w:p>
      <w:pPr>
        <w:pStyle w:val="Subsection"/>
        <w:keepNext/>
        <w:rPr>
          <w:snapToGrid w:val="0"/>
        </w:rPr>
      </w:pPr>
      <w:r>
        <w:rPr>
          <w:snapToGrid w:val="0"/>
        </w:rPr>
        <w:tab/>
        <w:t>(1)</w:t>
      </w:r>
      <w:r>
        <w:rPr>
          <w:snapToGrid w:val="0"/>
        </w:rPr>
        <w:tab/>
        <w:t>If the Commissioner is of the opinion that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spacing w:before="140"/>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spacing w:before="140"/>
        <w:rPr>
          <w:snapToGrid w:val="0"/>
        </w:rPr>
      </w:pPr>
      <w:r>
        <w:rPr>
          <w:snapToGrid w:val="0"/>
        </w:rPr>
        <w:tab/>
        <w:t>(2)</w:t>
      </w:r>
      <w:r>
        <w:rPr>
          <w:snapToGrid w:val="0"/>
        </w:rPr>
        <w:tab/>
        <w:t>The Commissioner must not request documentation for a person that represents the person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spacing w:before="140"/>
        <w:rPr>
          <w:snapToGrid w:val="0"/>
        </w:rPr>
      </w:pPr>
      <w:r>
        <w:rPr>
          <w:snapToGrid w:val="0"/>
        </w:rPr>
        <w:tab/>
        <w:t>(3)</w:t>
      </w:r>
      <w:r>
        <w:rPr>
          <w:snapToGrid w:val="0"/>
        </w:rPr>
        <w:tab/>
        <w:t>A prescribed authority that receives a written request under subsection (1) must comply with it.</w:t>
      </w:r>
    </w:p>
    <w:p>
      <w:pPr>
        <w:pStyle w:val="Subsection"/>
        <w:spacing w:before="140"/>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spacing w:before="140"/>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spacing w:before="140"/>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by No. 40 of 1998 s. 18(3) and (4).]</w:t>
      </w:r>
    </w:p>
    <w:p>
      <w:pPr>
        <w:pStyle w:val="Heading3"/>
      </w:pPr>
      <w:bookmarkStart w:id="194" w:name="_Toc62273833"/>
      <w:bookmarkStart w:id="195" w:name="_Toc72914666"/>
      <w:bookmarkStart w:id="196" w:name="_Toc90719175"/>
      <w:bookmarkStart w:id="197" w:name="_Toc94588761"/>
      <w:bookmarkStart w:id="198" w:name="_Toc158005046"/>
      <w:bookmarkStart w:id="199" w:name="_Toc194985915"/>
      <w:bookmarkStart w:id="200" w:name="_Toc194985981"/>
      <w:bookmarkStart w:id="201" w:name="_Toc194986034"/>
      <w:bookmarkStart w:id="202" w:name="_Toc201559303"/>
      <w:bookmarkStart w:id="203" w:name="_Toc201559356"/>
      <w:bookmarkStart w:id="204" w:name="_Toc201660887"/>
      <w:bookmarkStart w:id="205" w:name="_Toc201660939"/>
      <w:bookmarkStart w:id="206" w:name="_Toc202340159"/>
      <w:bookmarkStart w:id="207" w:name="_Toc202343761"/>
      <w:bookmarkStart w:id="208" w:name="_Toc202343920"/>
      <w:bookmarkStart w:id="209" w:name="_Toc205279456"/>
      <w:bookmarkStart w:id="210" w:name="_Toc206911099"/>
      <w:r>
        <w:rPr>
          <w:rStyle w:val="CharDivNo"/>
        </w:rPr>
        <w:t>Division 5</w:t>
      </w:r>
      <w:r>
        <w:rPr>
          <w:snapToGrid w:val="0"/>
        </w:rPr>
        <w:t> — </w:t>
      </w:r>
      <w:r>
        <w:rPr>
          <w:rStyle w:val="CharDivText"/>
        </w:rPr>
        <w:t>New identity orders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448721817"/>
      <w:bookmarkStart w:id="212" w:name="_Toc47774566"/>
      <w:bookmarkStart w:id="213" w:name="_Toc55798088"/>
      <w:bookmarkStart w:id="214" w:name="_Toc194985916"/>
      <w:bookmarkStart w:id="215" w:name="_Toc206911100"/>
      <w:r>
        <w:rPr>
          <w:rStyle w:val="CharSectno"/>
        </w:rPr>
        <w:t>19</w:t>
      </w:r>
      <w:r>
        <w:rPr>
          <w:snapToGrid w:val="0"/>
        </w:rPr>
        <w:t>.</w:t>
      </w:r>
      <w:r>
        <w:rPr>
          <w:snapToGrid w:val="0"/>
        </w:rPr>
        <w:tab/>
      </w:r>
      <w:bookmarkEnd w:id="211"/>
      <w:bookmarkEnd w:id="212"/>
      <w:bookmarkEnd w:id="213"/>
      <w:bookmarkEnd w:id="214"/>
      <w:r>
        <w:rPr>
          <w:snapToGrid w:val="0"/>
        </w:rPr>
        <w:t>Terms used in this Division</w:t>
      </w:r>
      <w:bookmarkEnd w:id="215"/>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new identity order</w:t>
      </w:r>
      <w:r>
        <w:t>, in relation to a person, means an order directing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t>so as to give the person a new identity.</w:t>
      </w:r>
    </w:p>
    <w:p>
      <w:pPr>
        <w:pStyle w:val="Footnotesection"/>
      </w:pPr>
      <w:r>
        <w:tab/>
        <w:t>[Section 19 amended by No. 40 of 1998 s. 18(5).]</w:t>
      </w:r>
    </w:p>
    <w:p>
      <w:pPr>
        <w:pStyle w:val="Heading5"/>
        <w:rPr>
          <w:snapToGrid w:val="0"/>
        </w:rPr>
      </w:pPr>
      <w:bookmarkStart w:id="216" w:name="_Toc448721818"/>
      <w:bookmarkStart w:id="217" w:name="_Toc47774567"/>
      <w:bookmarkStart w:id="218" w:name="_Toc55798089"/>
      <w:bookmarkStart w:id="219" w:name="_Toc194985917"/>
      <w:bookmarkStart w:id="220" w:name="_Toc206911101"/>
      <w:r>
        <w:rPr>
          <w:rStyle w:val="CharSectno"/>
        </w:rPr>
        <w:t>20</w:t>
      </w:r>
      <w:r>
        <w:rPr>
          <w:snapToGrid w:val="0"/>
        </w:rPr>
        <w:t>.</w:t>
      </w:r>
      <w:r>
        <w:rPr>
          <w:snapToGrid w:val="0"/>
        </w:rPr>
        <w:tab/>
        <w:t>Application to Supreme Court</w:t>
      </w:r>
      <w:bookmarkEnd w:id="216"/>
      <w:bookmarkEnd w:id="217"/>
      <w:bookmarkEnd w:id="218"/>
      <w:bookmarkEnd w:id="219"/>
      <w:bookmarkEnd w:id="220"/>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221" w:name="_Toc448721819"/>
      <w:bookmarkStart w:id="222" w:name="_Toc47774568"/>
      <w:bookmarkStart w:id="223" w:name="_Toc55798090"/>
      <w:bookmarkStart w:id="224" w:name="_Toc194985918"/>
      <w:bookmarkStart w:id="225" w:name="_Toc206911102"/>
      <w:r>
        <w:rPr>
          <w:rStyle w:val="CharSectno"/>
        </w:rPr>
        <w:t>21</w:t>
      </w:r>
      <w:r>
        <w:rPr>
          <w:snapToGrid w:val="0"/>
        </w:rPr>
        <w:t>.</w:t>
      </w:r>
      <w:r>
        <w:rPr>
          <w:snapToGrid w:val="0"/>
        </w:rPr>
        <w:tab/>
        <w:t>Supreme Court may make order</w:t>
      </w:r>
      <w:bookmarkEnd w:id="221"/>
      <w:bookmarkEnd w:id="222"/>
      <w:bookmarkEnd w:id="223"/>
      <w:bookmarkEnd w:id="224"/>
      <w:bookmarkEnd w:id="225"/>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by No. 40 of 1998 s. 18(6).]</w:t>
      </w:r>
    </w:p>
    <w:p>
      <w:pPr>
        <w:pStyle w:val="Heading5"/>
        <w:rPr>
          <w:snapToGrid w:val="0"/>
        </w:rPr>
      </w:pPr>
      <w:bookmarkStart w:id="226" w:name="_Toc448721820"/>
      <w:bookmarkStart w:id="227" w:name="_Toc47774569"/>
      <w:bookmarkStart w:id="228" w:name="_Toc55798091"/>
      <w:bookmarkStart w:id="229" w:name="_Toc194985919"/>
      <w:bookmarkStart w:id="230" w:name="_Toc206911103"/>
      <w:r>
        <w:rPr>
          <w:rStyle w:val="CharSectno"/>
        </w:rPr>
        <w:t>22</w:t>
      </w:r>
      <w:r>
        <w:rPr>
          <w:snapToGrid w:val="0"/>
        </w:rPr>
        <w:t>.</w:t>
      </w:r>
      <w:r>
        <w:rPr>
          <w:snapToGrid w:val="0"/>
        </w:rPr>
        <w:tab/>
        <w:t>Supreme Court may order former identity to be restored</w:t>
      </w:r>
      <w:bookmarkEnd w:id="226"/>
      <w:bookmarkEnd w:id="227"/>
      <w:bookmarkEnd w:id="228"/>
      <w:bookmarkEnd w:id="229"/>
      <w:bookmarkEnd w:id="230"/>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231" w:name="_Toc448721821"/>
      <w:bookmarkStart w:id="232" w:name="_Toc47774570"/>
      <w:bookmarkStart w:id="233" w:name="_Toc55798092"/>
      <w:bookmarkStart w:id="234" w:name="_Toc194985920"/>
      <w:bookmarkStart w:id="235" w:name="_Toc206911104"/>
      <w:r>
        <w:rPr>
          <w:rStyle w:val="CharSectno"/>
        </w:rPr>
        <w:t>23</w:t>
      </w:r>
      <w:r>
        <w:rPr>
          <w:snapToGrid w:val="0"/>
        </w:rPr>
        <w:t>.</w:t>
      </w:r>
      <w:r>
        <w:rPr>
          <w:snapToGrid w:val="0"/>
        </w:rPr>
        <w:tab/>
        <w:t>Proceedings to be in private</w:t>
      </w:r>
      <w:bookmarkEnd w:id="231"/>
      <w:bookmarkEnd w:id="232"/>
      <w:bookmarkEnd w:id="233"/>
      <w:bookmarkEnd w:id="234"/>
      <w:bookmarkEnd w:id="235"/>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236" w:name="_Toc448721822"/>
      <w:bookmarkStart w:id="237" w:name="_Toc47774571"/>
      <w:bookmarkStart w:id="238" w:name="_Toc55798093"/>
      <w:bookmarkStart w:id="239" w:name="_Toc194985921"/>
      <w:bookmarkStart w:id="240" w:name="_Toc206911105"/>
      <w:r>
        <w:rPr>
          <w:rStyle w:val="CharSectno"/>
        </w:rPr>
        <w:t>24</w:t>
      </w:r>
      <w:r>
        <w:rPr>
          <w:snapToGrid w:val="0"/>
        </w:rPr>
        <w:t>.</w:t>
      </w:r>
      <w:r>
        <w:rPr>
          <w:snapToGrid w:val="0"/>
        </w:rPr>
        <w:tab/>
        <w:t>Effect of actions done under order</w:t>
      </w:r>
      <w:bookmarkEnd w:id="236"/>
      <w:bookmarkEnd w:id="237"/>
      <w:bookmarkEnd w:id="238"/>
      <w:bookmarkEnd w:id="239"/>
      <w:bookmarkEnd w:id="240"/>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by No. 40 of 1998 s. 18(7).]</w:t>
      </w:r>
    </w:p>
    <w:p>
      <w:pPr>
        <w:pStyle w:val="Heading3"/>
        <w:spacing w:before="260"/>
      </w:pPr>
      <w:bookmarkStart w:id="241" w:name="_Toc62273840"/>
      <w:bookmarkStart w:id="242" w:name="_Toc72914673"/>
      <w:bookmarkStart w:id="243" w:name="_Toc90719182"/>
      <w:bookmarkStart w:id="244" w:name="_Toc94588768"/>
      <w:bookmarkStart w:id="245" w:name="_Toc158005053"/>
      <w:bookmarkStart w:id="246" w:name="_Toc194985922"/>
      <w:bookmarkStart w:id="247" w:name="_Toc194985988"/>
      <w:bookmarkStart w:id="248" w:name="_Toc194986041"/>
      <w:bookmarkStart w:id="249" w:name="_Toc201559310"/>
      <w:bookmarkStart w:id="250" w:name="_Toc201559363"/>
      <w:bookmarkStart w:id="251" w:name="_Toc201660894"/>
      <w:bookmarkStart w:id="252" w:name="_Toc201660946"/>
      <w:bookmarkStart w:id="253" w:name="_Toc202340166"/>
      <w:bookmarkStart w:id="254" w:name="_Toc202343768"/>
      <w:bookmarkStart w:id="255" w:name="_Toc202343927"/>
      <w:bookmarkStart w:id="256" w:name="_Toc205279463"/>
      <w:bookmarkStart w:id="257" w:name="_Toc206911106"/>
      <w:r>
        <w:rPr>
          <w:rStyle w:val="CharDivNo"/>
        </w:rPr>
        <w:t>Division 6</w:t>
      </w:r>
      <w:r>
        <w:rPr>
          <w:snapToGrid w:val="0"/>
        </w:rPr>
        <w:t> — </w:t>
      </w:r>
      <w:r>
        <w:rPr>
          <w:rStyle w:val="CharDivText"/>
        </w:rPr>
        <w:t>Terminating protection and assistance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spacing w:before="200"/>
        <w:rPr>
          <w:snapToGrid w:val="0"/>
        </w:rPr>
      </w:pPr>
      <w:bookmarkStart w:id="258" w:name="_Toc448721823"/>
      <w:bookmarkStart w:id="259" w:name="_Toc47774572"/>
      <w:bookmarkStart w:id="260" w:name="_Toc55798094"/>
      <w:bookmarkStart w:id="261" w:name="_Toc194985923"/>
      <w:bookmarkStart w:id="262" w:name="_Toc206911107"/>
      <w:r>
        <w:rPr>
          <w:rStyle w:val="CharSectno"/>
        </w:rPr>
        <w:t>25</w:t>
      </w:r>
      <w:r>
        <w:rPr>
          <w:snapToGrid w:val="0"/>
        </w:rPr>
        <w:t>.</w:t>
      </w:r>
      <w:r>
        <w:rPr>
          <w:snapToGrid w:val="0"/>
        </w:rPr>
        <w:tab/>
        <w:t>Commissioner may terminate protection</w:t>
      </w:r>
      <w:bookmarkEnd w:id="258"/>
      <w:bookmarkEnd w:id="259"/>
      <w:bookmarkEnd w:id="260"/>
      <w:bookmarkEnd w:id="261"/>
      <w:bookmarkEnd w:id="262"/>
    </w:p>
    <w:p>
      <w:pPr>
        <w:pStyle w:val="Subsection"/>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rPr>
          <w:snapToGrid w:val="0"/>
        </w:rPr>
      </w:pPr>
      <w:r>
        <w:rPr>
          <w:snapToGrid w:val="0"/>
        </w:rPr>
        <w:tab/>
        <w:t>(2)</w:t>
      </w:r>
      <w:r>
        <w:rPr>
          <w:snapToGrid w:val="0"/>
        </w:rPr>
        <w:tab/>
        <w:t>Protection and assistance provided under the SWPP to a participant may be terminated by the Commissioner if —</w:t>
      </w:r>
    </w:p>
    <w:p>
      <w:pPr>
        <w:pStyle w:val="Indenta"/>
        <w:rPr>
          <w:snapToGrid w:val="0"/>
        </w:rPr>
      </w:pPr>
      <w:r>
        <w:rPr>
          <w:snapToGrid w:val="0"/>
        </w:rPr>
        <w:tab/>
        <w:t>(a)</w:t>
      </w:r>
      <w:r>
        <w:rPr>
          <w:snapToGrid w:val="0"/>
        </w:rPr>
        <w:tab/>
        <w:t>the participant commits an offence against the law of this State or elsewhere;</w:t>
      </w:r>
    </w:p>
    <w:p>
      <w:pPr>
        <w:pStyle w:val="Indenta"/>
        <w:rPr>
          <w:snapToGrid w:val="0"/>
        </w:rPr>
      </w:pPr>
      <w:r>
        <w:rPr>
          <w:snapToGrid w:val="0"/>
        </w:rPr>
        <w:tab/>
        <w:t>(b)</w:t>
      </w:r>
      <w:r>
        <w:rPr>
          <w:snapToGrid w:val="0"/>
        </w:rPr>
        <w:tab/>
        <w:t>the participant breaches a term of the memorandum of understanding;</w:t>
      </w:r>
    </w:p>
    <w:p>
      <w:pPr>
        <w:pStyle w:val="Indenta"/>
        <w:rPr>
          <w:snapToGrid w:val="0"/>
        </w:rPr>
      </w:pPr>
      <w:r>
        <w:rPr>
          <w:snapToGrid w:val="0"/>
        </w:rPr>
        <w:tab/>
        <w:t>(c)</w:t>
      </w:r>
      <w:r>
        <w:rPr>
          <w:snapToGrid w:val="0"/>
        </w:rPr>
        <w:tab/>
        <w:t>the Commissioner discovers that the participant has knowingly given information to him or her that is false or misleading in a material particular;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p>
    <w:p>
      <w:pPr>
        <w:pStyle w:val="Indenta"/>
        <w:rPr>
          <w:snapToGrid w:val="0"/>
        </w:rPr>
      </w:pPr>
      <w:r>
        <w:rPr>
          <w:snapToGrid w:val="0"/>
        </w:rPr>
        <w:tab/>
        <w:t>(e)</w:t>
      </w:r>
      <w:r>
        <w:rPr>
          <w:snapToGrid w:val="0"/>
        </w:rPr>
        <w:tab/>
        <w:t>the circumstances that gave rise to the need for protection and assistance for the participant cease to exist;</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 SWPP,</w:t>
      </w:r>
    </w:p>
    <w:p>
      <w:pPr>
        <w:pStyle w:val="Subsection"/>
        <w:rPr>
          <w:snapToGrid w:val="0"/>
        </w:rPr>
      </w:pPr>
      <w:r>
        <w:rPr>
          <w:snapToGrid w:val="0"/>
        </w:rPr>
        <w:tab/>
      </w:r>
      <w:r>
        <w:rPr>
          <w:snapToGrid w:val="0"/>
        </w:rPr>
        <w:tab/>
        <w:t>and the Commissioner is of the opinion that, in the circumstances of the case, the protection and assistance should be terminated.</w:t>
      </w:r>
    </w:p>
    <w:p>
      <w:pPr>
        <w:pStyle w:val="Subsection"/>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rPr>
          <w:snapToGrid w:val="0"/>
        </w:rPr>
      </w:pPr>
      <w:r>
        <w:rPr>
          <w:snapToGrid w:val="0"/>
        </w:rPr>
        <w:tab/>
        <w:t>(5)</w:t>
      </w:r>
      <w:r>
        <w:rPr>
          <w:snapToGrid w:val="0"/>
        </w:rPr>
        <w:tab/>
        <w:t>If under subsection (2) the Commissioner terminates the provision of protection and assistance to a participant, he or she must give the participant written reasons for doing so.</w:t>
      </w:r>
    </w:p>
    <w:p>
      <w:pPr>
        <w:pStyle w:val="Subsection"/>
        <w:rPr>
          <w:snapToGrid w:val="0"/>
        </w:rPr>
      </w:pPr>
      <w:r>
        <w:rPr>
          <w:snapToGrid w:val="0"/>
        </w:rPr>
        <w:tab/>
        <w:t>(6)</w:t>
      </w:r>
      <w:r>
        <w:rPr>
          <w:snapToGrid w:val="0"/>
        </w:rPr>
        <w:tab/>
        <w:t>If the Commissioner terminates the provision of protection and assistance to a participant, he or she ceases to be a participant.</w:t>
      </w:r>
    </w:p>
    <w:p>
      <w:pPr>
        <w:pStyle w:val="Heading5"/>
        <w:spacing w:before="200"/>
        <w:rPr>
          <w:snapToGrid w:val="0"/>
        </w:rPr>
      </w:pPr>
      <w:bookmarkStart w:id="263" w:name="_Toc448721824"/>
      <w:bookmarkStart w:id="264" w:name="_Toc47774573"/>
      <w:bookmarkStart w:id="265" w:name="_Toc55798095"/>
      <w:bookmarkStart w:id="266" w:name="_Toc194985924"/>
      <w:bookmarkStart w:id="267" w:name="_Toc206911108"/>
      <w:r>
        <w:rPr>
          <w:rStyle w:val="CharSectno"/>
        </w:rPr>
        <w:t>26</w:t>
      </w:r>
      <w:r>
        <w:rPr>
          <w:snapToGrid w:val="0"/>
        </w:rPr>
        <w:t>.</w:t>
      </w:r>
      <w:r>
        <w:rPr>
          <w:snapToGrid w:val="0"/>
        </w:rPr>
        <w:tab/>
        <w:t>Restoring a former identity</w:t>
      </w:r>
      <w:bookmarkEnd w:id="263"/>
      <w:bookmarkEnd w:id="264"/>
      <w:bookmarkEnd w:id="265"/>
      <w:bookmarkEnd w:id="266"/>
      <w:bookmarkEnd w:id="267"/>
    </w:p>
    <w:p>
      <w:pPr>
        <w:pStyle w:val="Subsection"/>
        <w:keepNext/>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268" w:name="_Toc62273843"/>
      <w:bookmarkStart w:id="269" w:name="_Toc72914676"/>
      <w:bookmarkStart w:id="270" w:name="_Toc90719185"/>
      <w:bookmarkStart w:id="271" w:name="_Toc94588771"/>
      <w:bookmarkStart w:id="272" w:name="_Toc158005056"/>
      <w:bookmarkStart w:id="273" w:name="_Toc194985925"/>
      <w:bookmarkStart w:id="274" w:name="_Toc194985991"/>
      <w:bookmarkStart w:id="275" w:name="_Toc194986044"/>
      <w:bookmarkStart w:id="276" w:name="_Toc201559313"/>
      <w:bookmarkStart w:id="277" w:name="_Toc201559366"/>
      <w:bookmarkStart w:id="278" w:name="_Toc201660897"/>
      <w:bookmarkStart w:id="279" w:name="_Toc201660949"/>
      <w:bookmarkStart w:id="280" w:name="_Toc202340169"/>
      <w:bookmarkStart w:id="281" w:name="_Toc202343771"/>
      <w:bookmarkStart w:id="282" w:name="_Toc202343930"/>
      <w:bookmarkStart w:id="283" w:name="_Toc205279466"/>
      <w:bookmarkStart w:id="284" w:name="_Toc206911109"/>
      <w:r>
        <w:rPr>
          <w:rStyle w:val="CharPartNo"/>
        </w:rPr>
        <w:t>Part 3</w:t>
      </w:r>
      <w:r>
        <w:rPr>
          <w:rStyle w:val="CharDivNo"/>
        </w:rPr>
        <w:t> </w:t>
      </w:r>
      <w:r>
        <w:t>—</w:t>
      </w:r>
      <w:r>
        <w:rPr>
          <w:rStyle w:val="CharDivText"/>
        </w:rPr>
        <w:t> </w:t>
      </w:r>
      <w:r>
        <w:rPr>
          <w:rStyle w:val="CharPartText"/>
        </w:rPr>
        <w:t>Secrecy and disclosure</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rPr>
          <w:snapToGrid w:val="0"/>
        </w:rPr>
      </w:pPr>
      <w:bookmarkStart w:id="285" w:name="_Toc448721825"/>
      <w:bookmarkStart w:id="286" w:name="_Toc47774574"/>
      <w:bookmarkStart w:id="287" w:name="_Toc55798096"/>
      <w:bookmarkStart w:id="288" w:name="_Toc194985926"/>
      <w:bookmarkStart w:id="289" w:name="_Toc206911110"/>
      <w:r>
        <w:rPr>
          <w:rStyle w:val="CharSectno"/>
        </w:rPr>
        <w:t>27</w:t>
      </w:r>
      <w:r>
        <w:rPr>
          <w:snapToGrid w:val="0"/>
        </w:rPr>
        <w:t>.</w:t>
      </w:r>
      <w:r>
        <w:rPr>
          <w:snapToGrid w:val="0"/>
        </w:rPr>
        <w:tab/>
        <w:t>Duty not to disclose</w:t>
      </w:r>
      <w:bookmarkEnd w:id="285"/>
      <w:bookmarkEnd w:id="286"/>
      <w:bookmarkEnd w:id="287"/>
      <w:bookmarkEnd w:id="288"/>
      <w:bookmarkEnd w:id="289"/>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290" w:name="_Toc448721826"/>
      <w:bookmarkStart w:id="291" w:name="_Toc47774575"/>
      <w:bookmarkStart w:id="292" w:name="_Toc55798097"/>
      <w:bookmarkStart w:id="293" w:name="_Toc194985927"/>
      <w:bookmarkStart w:id="294" w:name="_Toc206911111"/>
      <w:r>
        <w:rPr>
          <w:rStyle w:val="CharSectno"/>
        </w:rPr>
        <w:t>28</w:t>
      </w:r>
      <w:r>
        <w:rPr>
          <w:snapToGrid w:val="0"/>
        </w:rPr>
        <w:t>.</w:t>
      </w:r>
      <w:r>
        <w:rPr>
          <w:snapToGrid w:val="0"/>
        </w:rPr>
        <w:tab/>
        <w:t>Disclosure of information cannot be compelled</w:t>
      </w:r>
      <w:bookmarkEnd w:id="290"/>
      <w:bookmarkEnd w:id="291"/>
      <w:bookmarkEnd w:id="292"/>
      <w:bookmarkEnd w:id="293"/>
      <w:bookmarkEnd w:id="294"/>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relevant information to the presiding officer in the absence of any person not directly concerned in the proceedings.</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295" w:name="_Toc448721827"/>
      <w:bookmarkStart w:id="296" w:name="_Toc47774576"/>
      <w:bookmarkStart w:id="297" w:name="_Toc55798098"/>
      <w:bookmarkStart w:id="298" w:name="_Toc194985928"/>
      <w:bookmarkStart w:id="299" w:name="_Toc206911112"/>
      <w:r>
        <w:rPr>
          <w:rStyle w:val="CharSectno"/>
        </w:rPr>
        <w:t>29</w:t>
      </w:r>
      <w:r>
        <w:rPr>
          <w:snapToGrid w:val="0"/>
        </w:rPr>
        <w:t>.</w:t>
      </w:r>
      <w:r>
        <w:rPr>
          <w:snapToGrid w:val="0"/>
        </w:rPr>
        <w:tab/>
        <w:t>Disclosing information to approved authorities</w:t>
      </w:r>
      <w:bookmarkEnd w:id="295"/>
      <w:bookmarkEnd w:id="296"/>
      <w:bookmarkEnd w:id="297"/>
      <w:bookmarkEnd w:id="298"/>
      <w:bookmarkEnd w:id="299"/>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Heading5"/>
        <w:rPr>
          <w:snapToGrid w:val="0"/>
        </w:rPr>
      </w:pPr>
      <w:bookmarkStart w:id="300" w:name="_Toc448721828"/>
      <w:bookmarkStart w:id="301" w:name="_Toc47774577"/>
      <w:bookmarkStart w:id="302" w:name="_Toc55798099"/>
      <w:bookmarkStart w:id="303" w:name="_Toc194985929"/>
      <w:bookmarkStart w:id="304" w:name="_Toc206911113"/>
      <w:r>
        <w:rPr>
          <w:rStyle w:val="CharSectno"/>
        </w:rPr>
        <w:t>30</w:t>
      </w:r>
      <w:r>
        <w:rPr>
          <w:snapToGrid w:val="0"/>
        </w:rPr>
        <w:t>.</w:t>
      </w:r>
      <w:r>
        <w:rPr>
          <w:snapToGrid w:val="0"/>
        </w:rPr>
        <w:tab/>
        <w:t>Disclosing criminal record of a witness</w:t>
      </w:r>
      <w:bookmarkEnd w:id="300"/>
      <w:bookmarkEnd w:id="301"/>
      <w:bookmarkEnd w:id="302"/>
      <w:bookmarkEnd w:id="303"/>
      <w:bookmarkEnd w:id="304"/>
    </w:p>
    <w:p>
      <w:pPr>
        <w:pStyle w:val="Subsection"/>
        <w:rPr>
          <w:snapToGrid w:val="0"/>
        </w:rPr>
      </w:pPr>
      <w:r>
        <w:rPr>
          <w:snapToGrid w:val="0"/>
        </w:rPr>
        <w:tab/>
        <w:t>(1)</w:t>
      </w:r>
      <w:r>
        <w:rPr>
          <w:snapToGrid w:val="0"/>
        </w:rPr>
        <w:tab/>
        <w:t>If for the purpose of any proceedings in a court the Commissioner is required to produce the criminal record of a person who under a witness protection program has been provided with a new identity (whether by means of a court order or otherwise), the Commissioner must produce the person’s criminal record showing the convictions recorded both before and after the person was provided with the new identity, but —</w:t>
      </w:r>
    </w:p>
    <w:p>
      <w:pPr>
        <w:pStyle w:val="Indenta"/>
        <w:rPr>
          <w:snapToGrid w:val="0"/>
        </w:rPr>
      </w:pPr>
      <w:r>
        <w:rPr>
          <w:snapToGrid w:val="0"/>
        </w:rPr>
        <w:tab/>
        <w:t>(a)</w:t>
      </w:r>
      <w:r>
        <w:rPr>
          <w:snapToGrid w:val="0"/>
        </w:rPr>
        <w:tab/>
        <w:t>must not disclose the person’s new identity if the person is using his or her former identity in the court; and</w:t>
      </w:r>
    </w:p>
    <w:p>
      <w:pPr>
        <w:pStyle w:val="Indenta"/>
        <w:rPr>
          <w:snapToGrid w:val="0"/>
        </w:rPr>
      </w:pPr>
      <w:r>
        <w:rPr>
          <w:snapToGrid w:val="0"/>
        </w:rPr>
        <w:tab/>
        <w:t>(b)</w:t>
      </w:r>
      <w:r>
        <w:rPr>
          <w:snapToGrid w:val="0"/>
        </w:rPr>
        <w:tab/>
        <w:t>must not disclose the person’s former identity if the person is using his or her new identity in the court.</w:t>
      </w:r>
    </w:p>
    <w:p>
      <w:pPr>
        <w:pStyle w:val="Subsection"/>
        <w:rPr>
          <w:snapToGrid w:val="0"/>
        </w:rPr>
      </w:pPr>
      <w:r>
        <w:rPr>
          <w:snapToGrid w:val="0"/>
        </w:rPr>
        <w:tab/>
        <w:t>(2)</w:t>
      </w:r>
      <w:r>
        <w:rPr>
          <w:snapToGrid w:val="0"/>
        </w:rPr>
        <w:tab/>
        <w:t>If the Commissioner is of the opinion that despite complying with subsection (1) the content of the criminal record of a person is such that the person’s new or former identity (as the case may be) may be apparent from it, the Commissioner must inform the court accordingly and the court must take action under section 32.</w:t>
      </w:r>
    </w:p>
    <w:p>
      <w:pPr>
        <w:pStyle w:val="Heading5"/>
        <w:rPr>
          <w:snapToGrid w:val="0"/>
        </w:rPr>
      </w:pPr>
      <w:bookmarkStart w:id="305" w:name="_Toc448721829"/>
      <w:bookmarkStart w:id="306" w:name="_Toc47774578"/>
      <w:bookmarkStart w:id="307" w:name="_Toc55798100"/>
      <w:bookmarkStart w:id="308" w:name="_Toc194985930"/>
      <w:bookmarkStart w:id="309" w:name="_Toc206911114"/>
      <w:r>
        <w:rPr>
          <w:rStyle w:val="CharSectno"/>
        </w:rPr>
        <w:t>31</w:t>
      </w:r>
      <w:r>
        <w:rPr>
          <w:snapToGrid w:val="0"/>
        </w:rPr>
        <w:t>.</w:t>
      </w:r>
      <w:r>
        <w:rPr>
          <w:snapToGrid w:val="0"/>
        </w:rPr>
        <w:tab/>
        <w:t>Disclosure requirement on participant</w:t>
      </w:r>
      <w:bookmarkEnd w:id="305"/>
      <w:bookmarkEnd w:id="306"/>
      <w:bookmarkEnd w:id="307"/>
      <w:bookmarkEnd w:id="308"/>
      <w:bookmarkEnd w:id="309"/>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 participant is provided with a new identity under the SWPP; and</w:t>
      </w:r>
    </w:p>
    <w:p>
      <w:pPr>
        <w:pStyle w:val="Indenta"/>
        <w:rPr>
          <w:snapToGrid w:val="0"/>
        </w:rPr>
      </w:pPr>
      <w:r>
        <w:rPr>
          <w:snapToGrid w:val="0"/>
        </w:rPr>
        <w:tab/>
        <w:t>(b)</w:t>
      </w:r>
      <w:r>
        <w:rPr>
          <w:snapToGrid w:val="0"/>
        </w:rPr>
        <w:tab/>
        <w:t>the person, whether or not the person remains a participant, retains that identity; and</w:t>
      </w:r>
    </w:p>
    <w:p>
      <w:pPr>
        <w:pStyle w:val="Indenta"/>
        <w:rPr>
          <w:snapToGrid w:val="0"/>
        </w:rPr>
      </w:pPr>
      <w:r>
        <w:rPr>
          <w:snapToGrid w:val="0"/>
        </w:rPr>
        <w:tab/>
        <w:t>(c)</w:t>
      </w:r>
      <w:r>
        <w:rPr>
          <w:snapToGrid w:val="0"/>
        </w:rPr>
        <w:tab/>
        <w:t>the person is to be a witness in a criminal proceeding under that identity; and</w:t>
      </w:r>
    </w:p>
    <w:p>
      <w:pPr>
        <w:pStyle w:val="Indenta"/>
        <w:rPr>
          <w:snapToGrid w:val="0"/>
        </w:rPr>
      </w:pPr>
      <w:r>
        <w:rPr>
          <w:snapToGrid w:val="0"/>
        </w:rPr>
        <w:tab/>
        <w:t>(d)</w:t>
      </w:r>
      <w:r>
        <w:rPr>
          <w:snapToGrid w:val="0"/>
        </w:rPr>
        <w:tab/>
        <w:t>the person has a criminal record under his or her former identity,</w:t>
      </w:r>
    </w:p>
    <w:p>
      <w:pPr>
        <w:pStyle w:val="Subsection"/>
        <w:rPr>
          <w:snapToGrid w:val="0"/>
        </w:rPr>
      </w:pPr>
      <w:r>
        <w:rPr>
          <w:snapToGrid w:val="0"/>
        </w:rPr>
        <w:tab/>
      </w:r>
      <w:r>
        <w:rPr>
          <w:snapToGrid w:val="0"/>
        </w:rPr>
        <w:tab/>
        <w:t>the person must notify the Commissioner that the person is to be a witness in the proceeding.</w:t>
      </w:r>
    </w:p>
    <w:p>
      <w:pPr>
        <w:pStyle w:val="Subsection"/>
        <w:rPr>
          <w:snapToGrid w:val="0"/>
        </w:rPr>
      </w:pPr>
      <w:r>
        <w:rPr>
          <w:snapToGrid w:val="0"/>
        </w:rPr>
        <w:tab/>
        <w:t>(2)</w:t>
      </w:r>
      <w:r>
        <w:rPr>
          <w:snapToGrid w:val="0"/>
        </w:rPr>
        <w:tab/>
        <w:t>After being notified under subsection (1), the Commissioner may, subject to section 30, take any action the Commissioner considers appropriate in the circumstances, including disclosing to the court, the prosecutor and the accused person or the accused person’s legal representative the criminal record of the participant or former participant.</w:t>
      </w:r>
    </w:p>
    <w:p>
      <w:pPr>
        <w:pStyle w:val="Heading5"/>
        <w:rPr>
          <w:snapToGrid w:val="0"/>
        </w:rPr>
      </w:pPr>
      <w:bookmarkStart w:id="310" w:name="_Toc448721830"/>
      <w:bookmarkStart w:id="311" w:name="_Toc47774579"/>
      <w:bookmarkStart w:id="312" w:name="_Toc55798101"/>
      <w:bookmarkStart w:id="313" w:name="_Toc194985931"/>
      <w:bookmarkStart w:id="314" w:name="_Toc206911115"/>
      <w:r>
        <w:rPr>
          <w:rStyle w:val="CharSectno"/>
        </w:rPr>
        <w:t>32</w:t>
      </w:r>
      <w:r>
        <w:rPr>
          <w:snapToGrid w:val="0"/>
        </w:rPr>
        <w:t>.</w:t>
      </w:r>
      <w:r>
        <w:rPr>
          <w:snapToGrid w:val="0"/>
        </w:rPr>
        <w:tab/>
        <w:t>Certain disclosures to court to be in private</w:t>
      </w:r>
      <w:bookmarkEnd w:id="310"/>
      <w:bookmarkEnd w:id="311"/>
      <w:bookmarkEnd w:id="312"/>
      <w:bookmarkEnd w:id="313"/>
      <w:bookmarkEnd w:id="314"/>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w:t>
      </w:r>
    </w:p>
    <w:p>
      <w:pPr>
        <w:pStyle w:val="Defstart"/>
        <w:keepNext/>
      </w:pPr>
      <w:r>
        <w:rPr>
          <w:b/>
        </w:rPr>
        <w:tab/>
      </w:r>
      <w:r>
        <w:rPr>
          <w:rStyle w:val="CharDefText"/>
        </w:rPr>
        <w:t>sensitive information</w:t>
      </w:r>
      <w:r>
        <w:t xml:space="preserve"> means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Heading5"/>
        <w:rPr>
          <w:snapToGrid w:val="0"/>
        </w:rPr>
      </w:pPr>
      <w:bookmarkStart w:id="315" w:name="_Toc448721831"/>
      <w:bookmarkStart w:id="316" w:name="_Toc47774580"/>
      <w:bookmarkStart w:id="317" w:name="_Toc55798102"/>
      <w:bookmarkStart w:id="318" w:name="_Toc194985932"/>
      <w:bookmarkStart w:id="319" w:name="_Toc206911116"/>
      <w:r>
        <w:rPr>
          <w:rStyle w:val="CharSectno"/>
        </w:rPr>
        <w:t>33</w:t>
      </w:r>
      <w:r>
        <w:rPr>
          <w:snapToGrid w:val="0"/>
        </w:rPr>
        <w:t>.</w:t>
      </w:r>
      <w:r>
        <w:rPr>
          <w:snapToGrid w:val="0"/>
        </w:rPr>
        <w:tab/>
        <w:t>Non</w:t>
      </w:r>
      <w:r>
        <w:rPr>
          <w:snapToGrid w:val="0"/>
        </w:rPr>
        <w:noBreakHyphen/>
        <w:t>disclosure by person of former identity lawful</w:t>
      </w:r>
      <w:bookmarkEnd w:id="315"/>
      <w:bookmarkEnd w:id="316"/>
      <w:bookmarkEnd w:id="317"/>
      <w:bookmarkEnd w:id="318"/>
      <w:bookmarkEnd w:id="319"/>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who has been given a new identity under a witness protection program (whether by means of a court order or otherwise) would, apart from this section, be required under a law of this State to disclose his or her former identity for a particular purpose; and</w:t>
      </w:r>
    </w:p>
    <w:p>
      <w:pPr>
        <w:pStyle w:val="Indenta"/>
        <w:rPr>
          <w:snapToGrid w:val="0"/>
        </w:rPr>
      </w:pPr>
      <w:r>
        <w:rPr>
          <w:snapToGrid w:val="0"/>
        </w:rPr>
        <w:tab/>
        <w:t>(b)</w:t>
      </w:r>
      <w:r>
        <w:rPr>
          <w:snapToGrid w:val="0"/>
        </w:rPr>
        <w:tab/>
        <w:t>the Commissioner or an approved authority (as the case requires) has given the person permission, in the prescribed form, not to disclose his or her former identity for that purpose,</w:t>
      </w:r>
    </w:p>
    <w:p>
      <w:pPr>
        <w:pStyle w:val="Subsection"/>
        <w:rPr>
          <w:snapToGrid w:val="0"/>
        </w:rPr>
      </w:pPr>
      <w:r>
        <w:rPr>
          <w:snapToGrid w:val="0"/>
        </w:rPr>
        <w:tab/>
      </w:r>
      <w:r>
        <w:rPr>
          <w:snapToGrid w:val="0"/>
        </w:rPr>
        <w:tab/>
        <w:t>the person is not required to disclose his or her former identity to any person for that purpose.</w:t>
      </w:r>
    </w:p>
    <w:p>
      <w:pPr>
        <w:pStyle w:val="Subsection"/>
        <w:rPr>
          <w:snapToGrid w:val="0"/>
        </w:rPr>
      </w:pPr>
      <w:r>
        <w:rPr>
          <w:snapToGrid w:val="0"/>
        </w:rPr>
        <w:tab/>
        <w:t>(2)</w:t>
      </w:r>
      <w:r>
        <w:rPr>
          <w:snapToGrid w:val="0"/>
        </w:rPr>
        <w:tab/>
        <w:t>If a person has been given permission under subsection (1) not to disclose his or her former identity for a particular purpose, it is lawful for the person, in any proceedings, or for any purpose, under or in relation to the relevant law of this State, to claim that his or her new identity is his or her only identity.</w:t>
      </w:r>
    </w:p>
    <w:p>
      <w:pPr>
        <w:pStyle w:val="Subsection"/>
        <w:rPr>
          <w:snapToGrid w:val="0"/>
        </w:rPr>
      </w:pPr>
      <w:r>
        <w:rPr>
          <w:snapToGrid w:val="0"/>
        </w:rPr>
        <w:tab/>
        <w:t>(3)</w:t>
      </w:r>
      <w:r>
        <w:rPr>
          <w:snapToGrid w:val="0"/>
        </w:rPr>
        <w:tab/>
        <w:t>In addition to prescribing a form for the purposes of subsection (1), the regulations may prescribe a form for the purposes of the Commissioner giving permission to a person for the purposes of a complementary witness protection law.</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person</w:t>
      </w:r>
      <w:r>
        <w:t xml:space="preserve"> includes any person who is included in a witness protection program and any person who was included in a witness protection program and who retains a new identity given to him or her under the program.</w:t>
      </w:r>
    </w:p>
    <w:p>
      <w:pPr>
        <w:pStyle w:val="Heading5"/>
        <w:rPr>
          <w:snapToGrid w:val="0"/>
        </w:rPr>
      </w:pPr>
      <w:bookmarkStart w:id="320" w:name="_Toc448721832"/>
      <w:bookmarkStart w:id="321" w:name="_Toc47774581"/>
      <w:bookmarkStart w:id="322" w:name="_Toc55798103"/>
      <w:bookmarkStart w:id="323" w:name="_Toc194985933"/>
      <w:bookmarkStart w:id="324" w:name="_Toc206911117"/>
      <w:r>
        <w:rPr>
          <w:rStyle w:val="CharSectno"/>
        </w:rPr>
        <w:t>34</w:t>
      </w:r>
      <w:r>
        <w:rPr>
          <w:snapToGrid w:val="0"/>
        </w:rPr>
        <w:t>.</w:t>
      </w:r>
      <w:r>
        <w:rPr>
          <w:snapToGrid w:val="0"/>
        </w:rPr>
        <w:tab/>
        <w:t>Disclosure by Auditor General, Parliamentary Commissioner</w:t>
      </w:r>
      <w:bookmarkEnd w:id="320"/>
      <w:bookmarkEnd w:id="321"/>
      <w:bookmarkEnd w:id="322"/>
      <w:bookmarkEnd w:id="323"/>
      <w:r>
        <w:rPr>
          <w:snapToGrid w:val="0"/>
        </w:rPr>
        <w:t xml:space="preserve"> or </w:t>
      </w:r>
      <w:r>
        <w:t>Corruption and Crime Commission</w:t>
      </w:r>
      <w:bookmarkEnd w:id="324"/>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and Crime Commission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bookmarkStart w:id="325" w:name="_Toc62273852"/>
      <w:r>
        <w:tab/>
        <w:t>[Section 34 amended by No. 48 of 2003 s. 62 and Sch. 3</w:t>
      </w:r>
      <w:r>
        <w:rPr>
          <w:vertAlign w:val="superscript"/>
        </w:rPr>
        <w:t> 3</w:t>
      </w:r>
      <w:r>
        <w:t xml:space="preserve"> cl. 11; No. 77 of 2006 s. 17.]</w:t>
      </w:r>
    </w:p>
    <w:p>
      <w:pPr>
        <w:pStyle w:val="Heading2"/>
      </w:pPr>
      <w:bookmarkStart w:id="326" w:name="_Toc72914685"/>
      <w:bookmarkStart w:id="327" w:name="_Toc90719194"/>
      <w:bookmarkStart w:id="328" w:name="_Toc94588780"/>
      <w:bookmarkStart w:id="329" w:name="_Toc158005065"/>
      <w:bookmarkStart w:id="330" w:name="_Toc194985934"/>
      <w:bookmarkStart w:id="331" w:name="_Toc194986000"/>
      <w:bookmarkStart w:id="332" w:name="_Toc194986053"/>
      <w:bookmarkStart w:id="333" w:name="_Toc201559322"/>
      <w:bookmarkStart w:id="334" w:name="_Toc201559375"/>
      <w:bookmarkStart w:id="335" w:name="_Toc201660906"/>
      <w:bookmarkStart w:id="336" w:name="_Toc201660958"/>
      <w:bookmarkStart w:id="337" w:name="_Toc202340178"/>
      <w:bookmarkStart w:id="338" w:name="_Toc202343780"/>
      <w:bookmarkStart w:id="339" w:name="_Toc202343939"/>
      <w:bookmarkStart w:id="340" w:name="_Toc205279475"/>
      <w:bookmarkStart w:id="341" w:name="_Toc206911118"/>
      <w:r>
        <w:rPr>
          <w:rStyle w:val="CharPartNo"/>
        </w:rPr>
        <w:t>Part 4</w:t>
      </w:r>
      <w:r>
        <w:rPr>
          <w:rStyle w:val="CharDivNo"/>
        </w:rPr>
        <w:t> </w:t>
      </w:r>
      <w:r>
        <w:t>—</w:t>
      </w:r>
      <w:r>
        <w:rPr>
          <w:rStyle w:val="CharDivText"/>
        </w:rPr>
        <w:t> </w:t>
      </w:r>
      <w:r>
        <w:rPr>
          <w:rStyle w:val="CharPartText"/>
        </w:rPr>
        <w:t>Miscellaneous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spacing w:before="260"/>
        <w:rPr>
          <w:snapToGrid w:val="0"/>
        </w:rPr>
      </w:pPr>
      <w:bookmarkStart w:id="342" w:name="_Toc448721833"/>
      <w:bookmarkStart w:id="343" w:name="_Toc47774582"/>
      <w:bookmarkStart w:id="344" w:name="_Toc55798104"/>
      <w:bookmarkStart w:id="345" w:name="_Toc194985935"/>
      <w:bookmarkStart w:id="346" w:name="_Toc206911119"/>
      <w:r>
        <w:rPr>
          <w:rStyle w:val="CharSectno"/>
        </w:rPr>
        <w:t>35</w:t>
      </w:r>
      <w:r>
        <w:rPr>
          <w:snapToGrid w:val="0"/>
        </w:rPr>
        <w:t>.</w:t>
      </w:r>
      <w:r>
        <w:rPr>
          <w:snapToGrid w:val="0"/>
        </w:rPr>
        <w:tab/>
        <w:t>Offences</w:t>
      </w:r>
      <w:bookmarkEnd w:id="342"/>
      <w:bookmarkEnd w:id="343"/>
      <w:bookmarkEnd w:id="344"/>
      <w:bookmarkEnd w:id="345"/>
      <w:bookmarkEnd w:id="346"/>
    </w:p>
    <w:p>
      <w:pPr>
        <w:pStyle w:val="Subsection"/>
        <w:spacing w:before="180"/>
        <w:rPr>
          <w:snapToGrid w:val="0"/>
        </w:rPr>
      </w:pPr>
      <w:r>
        <w:rPr>
          <w:snapToGrid w:val="0"/>
        </w:rPr>
        <w:tab/>
        <w:t>(1)</w:t>
      </w:r>
      <w:r>
        <w:rPr>
          <w:snapToGrid w:val="0"/>
        </w:rPr>
        <w:tab/>
        <w:t>A person who, without lawful authority, discloses —</w:t>
      </w:r>
    </w:p>
    <w:p>
      <w:pPr>
        <w:pStyle w:val="Indenta"/>
        <w:spacing w:before="100"/>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spacing w:before="100"/>
        <w:rPr>
          <w:snapToGrid w:val="0"/>
        </w:rPr>
      </w:pPr>
      <w:r>
        <w:rPr>
          <w:snapToGrid w:val="0"/>
        </w:rPr>
        <w:tab/>
        <w:t>(b)</w:t>
      </w:r>
      <w:r>
        <w:rPr>
          <w:snapToGrid w:val="0"/>
        </w:rPr>
        <w:tab/>
        <w:t>information that compromises the security of such a person,</w:t>
      </w:r>
    </w:p>
    <w:p>
      <w:pPr>
        <w:pStyle w:val="Subsection"/>
        <w:spacing w:before="180"/>
        <w:rPr>
          <w:snapToGrid w:val="0"/>
        </w:rPr>
      </w:pPr>
      <w:r>
        <w:rPr>
          <w:snapToGrid w:val="0"/>
        </w:rPr>
        <w:tab/>
      </w:r>
      <w:r>
        <w:rPr>
          <w:snapToGrid w:val="0"/>
        </w:rPr>
        <w:tab/>
        <w:t>is guilty of a crime and is liable to imprisonment for 10 years.</w:t>
      </w:r>
    </w:p>
    <w:p>
      <w:pPr>
        <w:pStyle w:val="Penstart"/>
        <w:spacing w:before="100"/>
        <w:rPr>
          <w:snapToGrid w:val="0"/>
        </w:rPr>
      </w:pPr>
      <w:r>
        <w:rPr>
          <w:snapToGrid w:val="0"/>
        </w:rPr>
        <w:tab/>
        <w:t>Summary Conviction Penalty: Imprisonment for 3 years or a fine of $12 000.</w:t>
      </w:r>
    </w:p>
    <w:p>
      <w:pPr>
        <w:pStyle w:val="Subsection"/>
        <w:spacing w:before="180"/>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spacing w:before="100"/>
        <w:rPr>
          <w:snapToGrid w:val="0"/>
        </w:rPr>
      </w:pPr>
      <w:r>
        <w:rPr>
          <w:snapToGrid w:val="0"/>
        </w:rPr>
        <w:tab/>
        <w:t>(a)</w:t>
      </w:r>
      <w:r>
        <w:rPr>
          <w:snapToGrid w:val="0"/>
        </w:rPr>
        <w:tab/>
        <w:t>when required by a court to do so;</w:t>
      </w:r>
    </w:p>
    <w:p>
      <w:pPr>
        <w:pStyle w:val="Indenta"/>
        <w:spacing w:before="100"/>
        <w:rPr>
          <w:snapToGrid w:val="0"/>
        </w:rPr>
      </w:pPr>
      <w:r>
        <w:rPr>
          <w:snapToGrid w:val="0"/>
        </w:rPr>
        <w:tab/>
        <w:t>(b)</w:t>
      </w:r>
      <w:r>
        <w:rPr>
          <w:snapToGrid w:val="0"/>
        </w:rPr>
        <w:tab/>
        <w:t>when authorised by the Commissioner to do so; or</w:t>
      </w:r>
    </w:p>
    <w:p>
      <w:pPr>
        <w:pStyle w:val="Indenta"/>
        <w:spacing w:before="100"/>
        <w:rPr>
          <w:snapToGrid w:val="0"/>
        </w:rPr>
      </w:pPr>
      <w:r>
        <w:rPr>
          <w:snapToGrid w:val="0"/>
        </w:rPr>
        <w:tab/>
        <w:t>(c)</w:t>
      </w:r>
      <w:r>
        <w:rPr>
          <w:snapToGrid w:val="0"/>
        </w:rPr>
        <w:tab/>
        <w:t>for the purposes of making a complaint to the Parliamentary Commissioner,</w:t>
      </w:r>
    </w:p>
    <w:p>
      <w:pPr>
        <w:pStyle w:val="Subsection"/>
        <w:spacing w:before="180"/>
        <w:rPr>
          <w:snapToGrid w:val="0"/>
        </w:rPr>
      </w:pPr>
      <w:r>
        <w:rPr>
          <w:snapToGrid w:val="0"/>
        </w:rPr>
        <w:tab/>
      </w:r>
      <w:r>
        <w:rPr>
          <w:snapToGrid w:val="0"/>
        </w:rPr>
        <w:tab/>
        <w:t>is guilty of a crime and is liable to imprisonment for 5 years.</w:t>
      </w:r>
    </w:p>
    <w:p>
      <w:pPr>
        <w:pStyle w:val="Penstart"/>
        <w:spacing w:before="100"/>
        <w:rPr>
          <w:snapToGrid w:val="0"/>
        </w:rPr>
      </w:pPr>
      <w:r>
        <w:rPr>
          <w:snapToGrid w:val="0"/>
        </w:rPr>
        <w:tab/>
        <w:t>Summary Conviction Penalty: Imprisonment for 2 years or a fine of $8 000.</w:t>
      </w:r>
    </w:p>
    <w:p>
      <w:pPr>
        <w:pStyle w:val="Subsection"/>
        <w:spacing w:before="180"/>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w:t>
      </w:r>
    </w:p>
    <w:p>
      <w:pPr>
        <w:pStyle w:val="Indenta"/>
        <w:spacing w:before="100"/>
        <w:rPr>
          <w:snapToGrid w:val="0"/>
        </w:rPr>
      </w:pPr>
      <w:r>
        <w:rPr>
          <w:snapToGrid w:val="0"/>
        </w:rPr>
        <w:tab/>
        <w:t>(a)</w:t>
      </w:r>
      <w:r>
        <w:rPr>
          <w:snapToGrid w:val="0"/>
        </w:rPr>
        <w:tab/>
        <w:t>for the purposes of or under this Act; or</w:t>
      </w:r>
    </w:p>
    <w:p>
      <w:pPr>
        <w:pStyle w:val="Indenta"/>
        <w:spacing w:before="100"/>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347" w:name="_Toc448721834"/>
      <w:bookmarkStart w:id="348" w:name="_Toc47774583"/>
      <w:bookmarkStart w:id="349" w:name="_Toc55798105"/>
      <w:bookmarkStart w:id="350" w:name="_Toc194985936"/>
      <w:bookmarkStart w:id="351" w:name="_Toc206911120"/>
      <w:r>
        <w:rPr>
          <w:rStyle w:val="CharSectno"/>
        </w:rPr>
        <w:t>36</w:t>
      </w:r>
      <w:r>
        <w:rPr>
          <w:snapToGrid w:val="0"/>
        </w:rPr>
        <w:t>.</w:t>
      </w:r>
      <w:r>
        <w:rPr>
          <w:snapToGrid w:val="0"/>
        </w:rPr>
        <w:tab/>
        <w:t>Delegation</w:t>
      </w:r>
      <w:bookmarkEnd w:id="347"/>
      <w:bookmarkEnd w:id="348"/>
      <w:bookmarkEnd w:id="349"/>
      <w:bookmarkEnd w:id="350"/>
      <w:bookmarkEnd w:id="351"/>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him or her by the Commissioner under a complementary witness protection law.</w:t>
      </w:r>
    </w:p>
    <w:p>
      <w:pPr>
        <w:pStyle w:val="Heading5"/>
        <w:rPr>
          <w:snapToGrid w:val="0"/>
        </w:rPr>
      </w:pPr>
      <w:bookmarkStart w:id="352" w:name="_Toc448721835"/>
      <w:bookmarkStart w:id="353" w:name="_Toc47774584"/>
      <w:bookmarkStart w:id="354" w:name="_Toc55798106"/>
      <w:bookmarkStart w:id="355" w:name="_Toc194985937"/>
      <w:bookmarkStart w:id="356" w:name="_Toc206911121"/>
      <w:r>
        <w:rPr>
          <w:rStyle w:val="CharSectno"/>
        </w:rPr>
        <w:t>37</w:t>
      </w:r>
      <w:r>
        <w:rPr>
          <w:snapToGrid w:val="0"/>
        </w:rPr>
        <w:t>.</w:t>
      </w:r>
      <w:r>
        <w:rPr>
          <w:snapToGrid w:val="0"/>
        </w:rPr>
        <w:tab/>
        <w:t>Reporting on the SWPP</w:t>
      </w:r>
      <w:bookmarkEnd w:id="352"/>
      <w:bookmarkEnd w:id="353"/>
      <w:bookmarkEnd w:id="354"/>
      <w:bookmarkEnd w:id="355"/>
      <w:bookmarkEnd w:id="356"/>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rStyle w:val="CharDefText"/>
        </w:rPr>
        <w:t>annual report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rPr>
          <w:snapToGrid w:val="0"/>
        </w:rPr>
      </w:pPr>
      <w:r>
        <w:rPr>
          <w:snapToGrid w:val="0"/>
        </w:rPr>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p>
    <w:p>
      <w:pPr>
        <w:pStyle w:val="Footnotesection"/>
      </w:pPr>
      <w:r>
        <w:tab/>
        <w:t>[Section 37 amended by No. 77 of 2006 s. 17.]</w:t>
      </w:r>
    </w:p>
    <w:p>
      <w:pPr>
        <w:pStyle w:val="Heading5"/>
        <w:rPr>
          <w:snapToGrid w:val="0"/>
        </w:rPr>
      </w:pPr>
      <w:bookmarkStart w:id="357" w:name="_Toc448721836"/>
      <w:bookmarkStart w:id="358" w:name="_Toc47774585"/>
      <w:bookmarkStart w:id="359" w:name="_Toc55798107"/>
      <w:bookmarkStart w:id="360" w:name="_Toc194985938"/>
      <w:bookmarkStart w:id="361" w:name="_Toc206911122"/>
      <w:r>
        <w:rPr>
          <w:rStyle w:val="CharSectno"/>
        </w:rPr>
        <w:t>38</w:t>
      </w:r>
      <w:r>
        <w:rPr>
          <w:snapToGrid w:val="0"/>
        </w:rPr>
        <w:t>.</w:t>
      </w:r>
      <w:r>
        <w:rPr>
          <w:snapToGrid w:val="0"/>
        </w:rPr>
        <w:tab/>
        <w:t>Protection from liability for wrongdoing</w:t>
      </w:r>
      <w:bookmarkEnd w:id="357"/>
      <w:bookmarkEnd w:id="358"/>
      <w:bookmarkEnd w:id="359"/>
      <w:bookmarkEnd w:id="360"/>
      <w:bookmarkEnd w:id="361"/>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362" w:name="_Toc448721837"/>
      <w:bookmarkStart w:id="363" w:name="_Toc47774586"/>
      <w:bookmarkStart w:id="364" w:name="_Toc55798108"/>
      <w:bookmarkStart w:id="365" w:name="_Toc194985939"/>
      <w:bookmarkStart w:id="366" w:name="_Toc206911123"/>
      <w:r>
        <w:rPr>
          <w:rStyle w:val="CharSectno"/>
        </w:rPr>
        <w:t>39</w:t>
      </w:r>
      <w:r>
        <w:rPr>
          <w:snapToGrid w:val="0"/>
        </w:rPr>
        <w:t>.</w:t>
      </w:r>
      <w:r>
        <w:rPr>
          <w:snapToGrid w:val="0"/>
        </w:rPr>
        <w:tab/>
        <w:t>Regulations</w:t>
      </w:r>
      <w:bookmarkEnd w:id="362"/>
      <w:bookmarkEnd w:id="363"/>
      <w:bookmarkEnd w:id="364"/>
      <w:bookmarkEnd w:id="365"/>
      <w:bookmarkEnd w:id="36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spacing w:before="180"/>
        <w:rPr>
          <w:snapToGrid w:val="0"/>
        </w:rPr>
      </w:pPr>
      <w:bookmarkStart w:id="367" w:name="_Toc448721838"/>
      <w:bookmarkStart w:id="368" w:name="_Toc47774587"/>
      <w:bookmarkStart w:id="369" w:name="_Toc55798109"/>
      <w:bookmarkStart w:id="370" w:name="_Toc194985940"/>
      <w:bookmarkStart w:id="371" w:name="_Toc206911124"/>
      <w:r>
        <w:rPr>
          <w:rStyle w:val="CharSectno"/>
        </w:rPr>
        <w:t>40</w:t>
      </w:r>
      <w:r>
        <w:rPr>
          <w:snapToGrid w:val="0"/>
        </w:rPr>
        <w:t>.</w:t>
      </w:r>
      <w:r>
        <w:rPr>
          <w:snapToGrid w:val="0"/>
        </w:rPr>
        <w:tab/>
        <w:t>Transitional</w:t>
      </w:r>
      <w:bookmarkEnd w:id="367"/>
      <w:bookmarkEnd w:id="368"/>
      <w:bookmarkEnd w:id="369"/>
      <w:bookmarkEnd w:id="370"/>
      <w:bookmarkEnd w:id="371"/>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Ednotesection"/>
      </w:pPr>
      <w:bookmarkStart w:id="372" w:name="_Toc448721839"/>
      <w:bookmarkStart w:id="373" w:name="_Toc47774588"/>
      <w:bookmarkStart w:id="374" w:name="_Toc53908385"/>
      <w:r>
        <w:rPr>
          <w:snapToGrid/>
        </w:rPr>
        <w:t>[</w:t>
      </w:r>
      <w:r>
        <w:rPr>
          <w:b/>
          <w:snapToGrid/>
        </w:rPr>
        <w:t>41</w:t>
      </w:r>
      <w:r>
        <w:rPr>
          <w:b/>
        </w:rPr>
        <w:t>.</w:t>
      </w:r>
      <w:r>
        <w:tab/>
      </w:r>
      <w:bookmarkEnd w:id="372"/>
      <w:bookmarkEnd w:id="373"/>
      <w:r>
        <w:t>Omitted under the Reprints Act 1984 s. 7(4)(e).]</w:t>
      </w:r>
      <w:bookmarkEnd w:id="374"/>
    </w:p>
    <w:p>
      <w:pPr>
        <w:pStyle w:val="Ednotesection"/>
        <w:spacing w:before="400"/>
        <w:ind w:left="890" w:hanging="890"/>
      </w:pPr>
      <w:r>
        <w:t>[Schedule 1 omitted under the Reprints Act 1984 s. 7(4)(e).]</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375" w:name="_Toc62273859"/>
      <w:bookmarkStart w:id="376" w:name="_Toc72914692"/>
      <w:bookmarkStart w:id="377" w:name="_Toc90719201"/>
      <w:bookmarkStart w:id="378" w:name="_Toc94588787"/>
      <w:bookmarkStart w:id="379" w:name="_Toc158005072"/>
      <w:bookmarkStart w:id="380" w:name="_Toc194985941"/>
      <w:bookmarkStart w:id="381" w:name="_Toc194986007"/>
      <w:bookmarkStart w:id="382" w:name="_Toc194986060"/>
      <w:bookmarkStart w:id="383" w:name="_Toc201559329"/>
      <w:bookmarkStart w:id="384" w:name="_Toc201559382"/>
      <w:bookmarkStart w:id="385" w:name="_Toc201660913"/>
      <w:bookmarkStart w:id="386" w:name="_Toc201660965"/>
      <w:bookmarkStart w:id="387" w:name="_Toc202340185"/>
      <w:bookmarkStart w:id="388" w:name="_Toc202343787"/>
      <w:bookmarkStart w:id="389" w:name="_Toc202343946"/>
      <w:bookmarkStart w:id="390" w:name="_Toc205279482"/>
      <w:bookmarkStart w:id="391" w:name="_Toc206911125"/>
      <w:r>
        <w:t>Notes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nSubsection"/>
        <w:rPr>
          <w:snapToGrid w:val="0"/>
        </w:rPr>
      </w:pPr>
      <w:r>
        <w:rPr>
          <w:snapToGrid w:val="0"/>
          <w:vertAlign w:val="superscript"/>
        </w:rPr>
        <w:t>1</w:t>
      </w:r>
      <w:r>
        <w:rPr>
          <w:snapToGrid w:val="0"/>
        </w:rPr>
        <w:tab/>
        <w:t xml:space="preserve">This reprint is a compilation as at 8 August 2008 of the </w:t>
      </w:r>
      <w:r>
        <w:rPr>
          <w:i/>
          <w:noProof/>
          <w:snapToGrid w:val="0"/>
        </w:rPr>
        <w:t>Witness Protection (Western Australia) Act 1996</w:t>
      </w:r>
      <w:r>
        <w:rPr>
          <w:snapToGrid w:val="0"/>
        </w:rPr>
        <w:t xml:space="preserve"> and includes the amendments made by the other written laws referred to in the following table.  The table also contains information about any reprint.</w:t>
      </w:r>
    </w:p>
    <w:p>
      <w:pPr>
        <w:pStyle w:val="nHeading3"/>
      </w:pPr>
      <w:bookmarkStart w:id="392" w:name="_Toc206911126"/>
      <w:r>
        <w:t>Compilation table</w:t>
      </w:r>
      <w:bookmarkEnd w:id="392"/>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5"/>
        <w:gridCol w:w="1135"/>
        <w:gridCol w:w="2552"/>
      </w:tblGrid>
      <w:tr>
        <w:trPr>
          <w:tblHeader/>
        </w:trPr>
        <w:tc>
          <w:tcPr>
            <w:tcW w:w="2270"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70" w:type="dxa"/>
            <w:tcBorders>
              <w:top w:val="nil"/>
              <w:bottom w:val="nil"/>
            </w:tcBorders>
          </w:tcPr>
          <w:p>
            <w:pPr>
              <w:pStyle w:val="nTable"/>
              <w:spacing w:after="40"/>
              <w:rPr>
                <w:sz w:val="19"/>
              </w:rPr>
            </w:pPr>
            <w:r>
              <w:rPr>
                <w:i/>
                <w:sz w:val="19"/>
              </w:rPr>
              <w:t>Witness Protection (Western Australia) Act 1996</w:t>
            </w:r>
          </w:p>
        </w:tc>
        <w:tc>
          <w:tcPr>
            <w:tcW w:w="1135" w:type="dxa"/>
            <w:tcBorders>
              <w:top w:val="nil"/>
              <w:bottom w:val="nil"/>
            </w:tcBorders>
          </w:tcPr>
          <w:p>
            <w:pPr>
              <w:pStyle w:val="nTable"/>
              <w:spacing w:after="40"/>
              <w:rPr>
                <w:sz w:val="19"/>
              </w:rPr>
            </w:pPr>
            <w:r>
              <w:rPr>
                <w:sz w:val="19"/>
              </w:rPr>
              <w:t>11 of 1996</w:t>
            </w:r>
          </w:p>
        </w:tc>
        <w:tc>
          <w:tcPr>
            <w:tcW w:w="1135" w:type="dxa"/>
            <w:tcBorders>
              <w:top w:val="nil"/>
              <w:bottom w:val="nil"/>
            </w:tcBorders>
          </w:tcPr>
          <w:p>
            <w:pPr>
              <w:pStyle w:val="nTable"/>
              <w:spacing w:after="40"/>
              <w:rPr>
                <w:sz w:val="19"/>
              </w:rPr>
            </w:pPr>
            <w:r>
              <w:rPr>
                <w:sz w:val="19"/>
              </w:rPr>
              <w:t>28 Jun 1996</w:t>
            </w:r>
          </w:p>
        </w:tc>
        <w:tc>
          <w:tcPr>
            <w:tcW w:w="2552" w:type="dxa"/>
            <w:tcBorders>
              <w:top w:val="nil"/>
              <w:bottom w:val="nil"/>
            </w:tcBorders>
          </w:tcPr>
          <w:p>
            <w:pPr>
              <w:pStyle w:val="nTable"/>
              <w:spacing w:after="40"/>
              <w:rPr>
                <w:sz w:val="19"/>
              </w:rPr>
            </w:pPr>
            <w:r>
              <w:rPr>
                <w:sz w:val="19"/>
              </w:rPr>
              <w:t>s. 1 and 2: 28 Jun 1996;</w:t>
            </w:r>
            <w:r>
              <w:rPr>
                <w:sz w:val="19"/>
              </w:rPr>
              <w:br/>
              <w:t xml:space="preserve">Act other than s. 1 and 2: 7 Dec 1996 (see s. 2 and </w:t>
            </w:r>
            <w:r>
              <w:rPr>
                <w:i/>
                <w:sz w:val="19"/>
              </w:rPr>
              <w:t>Gazette</w:t>
            </w:r>
            <w:r>
              <w:rPr>
                <w:sz w:val="19"/>
              </w:rPr>
              <w:t xml:space="preserve"> 6 Dec 1996 p. 6699)</w:t>
            </w:r>
          </w:p>
        </w:tc>
      </w:tr>
      <w:tr>
        <w:tc>
          <w:tcPr>
            <w:tcW w:w="2270" w:type="dxa"/>
            <w:tcBorders>
              <w:top w:val="nil"/>
              <w:bottom w:val="nil"/>
            </w:tcBorders>
          </w:tcPr>
          <w:p>
            <w:pPr>
              <w:pStyle w:val="nTable"/>
              <w:spacing w:after="40"/>
              <w:rPr>
                <w:sz w:val="19"/>
              </w:rPr>
            </w:pPr>
            <w:r>
              <w:rPr>
                <w:i/>
                <w:sz w:val="19"/>
              </w:rPr>
              <w:t>Statutes (Repeals and Minor Amendments) Act 1997</w:t>
            </w:r>
            <w:r>
              <w:rPr>
                <w:sz w:val="19"/>
              </w:rPr>
              <w:t xml:space="preserve"> s. 133</w:t>
            </w:r>
          </w:p>
        </w:tc>
        <w:tc>
          <w:tcPr>
            <w:tcW w:w="1135" w:type="dxa"/>
            <w:tcBorders>
              <w:top w:val="nil"/>
              <w:bottom w:val="nil"/>
            </w:tcBorders>
          </w:tcPr>
          <w:p>
            <w:pPr>
              <w:pStyle w:val="nTable"/>
              <w:spacing w:after="40"/>
              <w:rPr>
                <w:sz w:val="19"/>
              </w:rPr>
            </w:pPr>
            <w:r>
              <w:rPr>
                <w:sz w:val="19"/>
              </w:rPr>
              <w:t>57 of 1997</w:t>
            </w:r>
          </w:p>
        </w:tc>
        <w:tc>
          <w:tcPr>
            <w:tcW w:w="1135" w:type="dxa"/>
            <w:tcBorders>
              <w:top w:val="nil"/>
              <w:bottom w:val="nil"/>
            </w:tcBorders>
          </w:tcPr>
          <w:p>
            <w:pPr>
              <w:pStyle w:val="nTable"/>
              <w:spacing w:after="40"/>
              <w:rPr>
                <w:sz w:val="19"/>
              </w:rPr>
            </w:pPr>
            <w:r>
              <w:rPr>
                <w:sz w:val="19"/>
              </w:rPr>
              <w:t>15 Dec 1997</w:t>
            </w:r>
          </w:p>
        </w:tc>
        <w:tc>
          <w:tcPr>
            <w:tcW w:w="2552" w:type="dxa"/>
            <w:tcBorders>
              <w:top w:val="nil"/>
              <w:bottom w:val="nil"/>
            </w:tcBorders>
          </w:tcPr>
          <w:p>
            <w:pPr>
              <w:pStyle w:val="nTable"/>
              <w:spacing w:after="40"/>
              <w:rPr>
                <w:sz w:val="19"/>
              </w:rPr>
            </w:pPr>
            <w:r>
              <w:rPr>
                <w:sz w:val="19"/>
              </w:rPr>
              <w:t>28 Jun 1996 (see s. 2(2))</w:t>
            </w:r>
          </w:p>
        </w:tc>
      </w:tr>
      <w:tr>
        <w:tc>
          <w:tcPr>
            <w:tcW w:w="2270" w:type="dxa"/>
            <w:tcBorders>
              <w:top w:val="nil"/>
              <w:bottom w:val="nil"/>
            </w:tcBorders>
          </w:tcPr>
          <w:p>
            <w:pPr>
              <w:pStyle w:val="nTable"/>
              <w:spacing w:after="40"/>
              <w:rPr>
                <w:sz w:val="19"/>
              </w:rPr>
            </w:pPr>
            <w:r>
              <w:rPr>
                <w:i/>
                <w:sz w:val="19"/>
              </w:rPr>
              <w:t xml:space="preserve">Acts Repeal and Amendment (Births, Deaths and Marriages Registration) Act 1998 </w:t>
            </w:r>
            <w:r>
              <w:rPr>
                <w:sz w:val="19"/>
              </w:rPr>
              <w:t>s. 18</w:t>
            </w:r>
          </w:p>
        </w:tc>
        <w:tc>
          <w:tcPr>
            <w:tcW w:w="1135" w:type="dxa"/>
            <w:tcBorders>
              <w:top w:val="nil"/>
              <w:bottom w:val="nil"/>
            </w:tcBorders>
          </w:tcPr>
          <w:p>
            <w:pPr>
              <w:pStyle w:val="nTable"/>
              <w:spacing w:after="40"/>
              <w:rPr>
                <w:sz w:val="19"/>
              </w:rPr>
            </w:pPr>
            <w:r>
              <w:rPr>
                <w:sz w:val="19"/>
              </w:rPr>
              <w:t>40 of 1998</w:t>
            </w:r>
          </w:p>
        </w:tc>
        <w:tc>
          <w:tcPr>
            <w:tcW w:w="1135" w:type="dxa"/>
            <w:tcBorders>
              <w:top w:val="nil"/>
              <w:bottom w:val="nil"/>
            </w:tcBorders>
          </w:tcPr>
          <w:p>
            <w:pPr>
              <w:pStyle w:val="nTable"/>
              <w:spacing w:after="40"/>
              <w:rPr>
                <w:sz w:val="19"/>
              </w:rPr>
            </w:pPr>
            <w:r>
              <w:rPr>
                <w:sz w:val="19"/>
              </w:rPr>
              <w:t>30 Oct 1998</w:t>
            </w:r>
          </w:p>
        </w:tc>
        <w:tc>
          <w:tcPr>
            <w:tcW w:w="2552" w:type="dxa"/>
            <w:tcBorders>
              <w:top w:val="nil"/>
              <w:bottom w:val="nil"/>
            </w:tcBorders>
          </w:tcPr>
          <w:p>
            <w:pPr>
              <w:pStyle w:val="nTable"/>
              <w:spacing w:after="40"/>
              <w:rPr>
                <w:sz w:val="19"/>
              </w:rPr>
            </w:pPr>
            <w:r>
              <w:rPr>
                <w:sz w:val="19"/>
              </w:rPr>
              <w:t xml:space="preserve">14 Apr 1999 (see s. 2 and </w:t>
            </w:r>
            <w:r>
              <w:rPr>
                <w:i/>
                <w:sz w:val="19"/>
              </w:rPr>
              <w:t>Gazette</w:t>
            </w:r>
            <w:r>
              <w:rPr>
                <w:sz w:val="19"/>
              </w:rPr>
              <w:t xml:space="preserve"> 9 Apr 1999 p. 1433)</w:t>
            </w:r>
          </w:p>
        </w:tc>
      </w:tr>
      <w:tr>
        <w:tc>
          <w:tcPr>
            <w:tcW w:w="2270" w:type="dxa"/>
            <w:tcBorders>
              <w:top w:val="nil"/>
              <w:bottom w:val="nil"/>
            </w:tcBorders>
          </w:tcPr>
          <w:p>
            <w:pPr>
              <w:pStyle w:val="nTable"/>
              <w:spacing w:after="40"/>
              <w:rPr>
                <w:sz w:val="19"/>
              </w:rPr>
            </w:pPr>
            <w:r>
              <w:rPr>
                <w:i/>
                <w:sz w:val="19"/>
              </w:rPr>
              <w:t>Corruption and Crime Commission Act 2003</w:t>
            </w:r>
            <w:r>
              <w:rPr>
                <w:sz w:val="19"/>
              </w:rPr>
              <w:t xml:space="preserve"> s. 62 </w:t>
            </w:r>
            <w:r>
              <w:t>and Sch. 3</w:t>
            </w:r>
            <w:r>
              <w:rPr>
                <w:vertAlign w:val="superscript"/>
              </w:rPr>
              <w:t> 3</w:t>
            </w:r>
            <w:r>
              <w:t xml:space="preserve"> cl. 11</w:t>
            </w:r>
          </w:p>
        </w:tc>
        <w:tc>
          <w:tcPr>
            <w:tcW w:w="1135" w:type="dxa"/>
            <w:tcBorders>
              <w:top w:val="nil"/>
              <w:bottom w:val="nil"/>
            </w:tcBorders>
          </w:tcPr>
          <w:p>
            <w:pPr>
              <w:pStyle w:val="nTable"/>
              <w:spacing w:after="40"/>
              <w:rPr>
                <w:sz w:val="19"/>
              </w:rPr>
            </w:pPr>
            <w:r>
              <w:rPr>
                <w:sz w:val="19"/>
              </w:rPr>
              <w:t>48 of 2003</w:t>
            </w:r>
          </w:p>
        </w:tc>
        <w:tc>
          <w:tcPr>
            <w:tcW w:w="1135" w:type="dxa"/>
            <w:tcBorders>
              <w:top w:val="nil"/>
              <w:bottom w:val="nil"/>
            </w:tcBorders>
          </w:tcPr>
          <w:p>
            <w:pPr>
              <w:pStyle w:val="nTable"/>
              <w:spacing w:after="40"/>
              <w:rPr>
                <w:sz w:val="19"/>
              </w:rPr>
            </w:pPr>
            <w:r>
              <w:rPr>
                <w:sz w:val="19"/>
              </w:rPr>
              <w:t>3 Jul 2003</w:t>
            </w:r>
          </w:p>
        </w:tc>
        <w:tc>
          <w:tcPr>
            <w:tcW w:w="255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92" w:type="dxa"/>
            <w:gridSpan w:val="4"/>
            <w:tcBorders>
              <w:top w:val="nil"/>
              <w:bottom w:val="nil"/>
            </w:tcBorders>
          </w:tcPr>
          <w:p>
            <w:pPr>
              <w:pStyle w:val="nTable"/>
              <w:spacing w:after="40"/>
              <w:rPr>
                <w:sz w:val="19"/>
              </w:rPr>
            </w:pPr>
            <w:r>
              <w:rPr>
                <w:b/>
                <w:sz w:val="19"/>
              </w:rPr>
              <w:t xml:space="preserve">Reprint 1: The </w:t>
            </w:r>
            <w:r>
              <w:rPr>
                <w:b/>
                <w:i/>
                <w:sz w:val="19"/>
              </w:rPr>
              <w:t>Witness Protection (Western Australia) Act 1996</w:t>
            </w:r>
            <w:r>
              <w:rPr>
                <w:b/>
                <w:sz w:val="19"/>
              </w:rPr>
              <w:t xml:space="preserve"> as at 10 Oct 2003</w:t>
            </w:r>
            <w:r>
              <w:rPr>
                <w:sz w:val="19"/>
              </w:rPr>
              <w:t xml:space="preserve"> (includes amendments listed above except those in the </w:t>
            </w:r>
            <w:r>
              <w:rPr>
                <w:i/>
                <w:sz w:val="19"/>
              </w:rPr>
              <w:t>Corruption and Crime Commission Act 2003</w:t>
            </w:r>
            <w:r>
              <w:rPr>
                <w:sz w:val="19"/>
              </w:rPr>
              <w:t>)</w:t>
            </w:r>
          </w:p>
        </w:tc>
      </w:tr>
      <w:tr>
        <w:tc>
          <w:tcPr>
            <w:tcW w:w="2270" w:type="dxa"/>
            <w:tcBorders>
              <w:top w:val="nil"/>
              <w:bottom w:val="nil"/>
            </w:tcBorders>
          </w:tcPr>
          <w:p>
            <w:pPr>
              <w:pStyle w:val="nTable"/>
              <w:spacing w:after="40"/>
              <w:rPr>
                <w:sz w:val="19"/>
              </w:rPr>
            </w:pPr>
            <w:r>
              <w:rPr>
                <w:i/>
                <w:sz w:val="19"/>
              </w:rPr>
              <w:t>Criminal Code Amendment Act 2004</w:t>
            </w:r>
            <w:r>
              <w:rPr>
                <w:sz w:val="19"/>
              </w:rPr>
              <w:t xml:space="preserve"> s. 58</w:t>
            </w:r>
          </w:p>
        </w:tc>
        <w:tc>
          <w:tcPr>
            <w:tcW w:w="1135" w:type="dxa"/>
            <w:tcBorders>
              <w:top w:val="nil"/>
              <w:bottom w:val="nil"/>
            </w:tcBorders>
          </w:tcPr>
          <w:p>
            <w:pPr>
              <w:pStyle w:val="nTable"/>
              <w:spacing w:after="40"/>
              <w:rPr>
                <w:sz w:val="19"/>
              </w:rPr>
            </w:pPr>
            <w:r>
              <w:rPr>
                <w:sz w:val="19"/>
              </w:rPr>
              <w:t>4 of 2004</w:t>
            </w:r>
          </w:p>
        </w:tc>
        <w:tc>
          <w:tcPr>
            <w:tcW w:w="1135" w:type="dxa"/>
            <w:tcBorders>
              <w:top w:val="nil"/>
              <w:bottom w:val="nil"/>
            </w:tcBorders>
          </w:tcPr>
          <w:p>
            <w:pPr>
              <w:pStyle w:val="nTable"/>
              <w:spacing w:after="40"/>
              <w:rPr>
                <w:sz w:val="19"/>
              </w:rPr>
            </w:pPr>
            <w:r>
              <w:rPr>
                <w:sz w:val="19"/>
              </w:rPr>
              <w:t>23 Apr 2004</w:t>
            </w:r>
          </w:p>
        </w:tc>
        <w:tc>
          <w:tcPr>
            <w:tcW w:w="2552" w:type="dxa"/>
            <w:tcBorders>
              <w:top w:val="nil"/>
              <w:bottom w:val="nil"/>
            </w:tcBorders>
          </w:tcPr>
          <w:p>
            <w:pPr>
              <w:pStyle w:val="nTable"/>
              <w:spacing w:after="40"/>
              <w:rPr>
                <w:sz w:val="19"/>
              </w:rPr>
            </w:pPr>
            <w:r>
              <w:rPr>
                <w:sz w:val="19"/>
              </w:rPr>
              <w:t>21 May 2004 (see s. 2)</w:t>
            </w:r>
          </w:p>
        </w:tc>
      </w:tr>
      <w:tr>
        <w:tc>
          <w:tcPr>
            <w:tcW w:w="2270" w:type="dxa"/>
            <w:tcBorders>
              <w:top w:val="nil"/>
              <w:bottom w:val="nil"/>
            </w:tcBorders>
          </w:tcPr>
          <w:p>
            <w:pPr>
              <w:pStyle w:val="nTable"/>
              <w:spacing w:after="40"/>
              <w:rPr>
                <w:snapToGrid w:val="0"/>
                <w:sz w:val="19"/>
                <w:vertAlign w:val="superscript"/>
                <w:lang w:val="en-US"/>
              </w:rPr>
            </w:pPr>
            <w:r>
              <w:rPr>
                <w:i/>
                <w:snapToGrid w:val="0"/>
                <w:sz w:val="19"/>
                <w:lang w:val="en-US"/>
              </w:rPr>
              <w:t xml:space="preserve">Australian Crime Commission (Western Australia) Act 2004 </w:t>
            </w:r>
            <w:r>
              <w:rPr>
                <w:snapToGrid w:val="0"/>
                <w:sz w:val="19"/>
                <w:lang w:val="en-US"/>
              </w:rPr>
              <w:t>s. 75</w:t>
            </w:r>
          </w:p>
        </w:tc>
        <w:tc>
          <w:tcPr>
            <w:tcW w:w="1135" w:type="dxa"/>
            <w:tcBorders>
              <w:top w:val="nil"/>
              <w:bottom w:val="nil"/>
            </w:tcBorders>
          </w:tcPr>
          <w:p>
            <w:pPr>
              <w:pStyle w:val="nTable"/>
              <w:spacing w:after="40"/>
              <w:rPr>
                <w:snapToGrid w:val="0"/>
                <w:sz w:val="19"/>
                <w:lang w:val="en-US"/>
              </w:rPr>
            </w:pPr>
            <w:r>
              <w:rPr>
                <w:snapToGrid w:val="0"/>
                <w:sz w:val="19"/>
                <w:lang w:val="en-US"/>
              </w:rPr>
              <w:t>74 of 2004</w:t>
            </w:r>
          </w:p>
        </w:tc>
        <w:tc>
          <w:tcPr>
            <w:tcW w:w="1135" w:type="dxa"/>
            <w:tcBorders>
              <w:top w:val="nil"/>
              <w:bottom w:val="nil"/>
            </w:tcBorders>
          </w:tcPr>
          <w:p>
            <w:pPr>
              <w:pStyle w:val="nTable"/>
              <w:spacing w:after="40"/>
              <w:rPr>
                <w:snapToGrid w:val="0"/>
                <w:sz w:val="19"/>
                <w:lang w:val="en-US"/>
              </w:rPr>
            </w:pPr>
            <w:r>
              <w:rPr>
                <w:snapToGrid w:val="0"/>
                <w:sz w:val="19"/>
                <w:lang w:val="en-US"/>
              </w:rPr>
              <w:t>8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2005 (see s. 2 and </w:t>
            </w:r>
            <w:r>
              <w:rPr>
                <w:i/>
                <w:snapToGrid w:val="0"/>
                <w:sz w:val="19"/>
                <w:lang w:val="en-US"/>
              </w:rPr>
              <w:t xml:space="preserve">Gazette </w:t>
            </w:r>
            <w:r>
              <w:rPr>
                <w:snapToGrid w:val="0"/>
                <w:sz w:val="19"/>
                <w:lang w:val="en-US"/>
              </w:rPr>
              <w:t>31 Dec 2004 p. 7130)</w:t>
            </w:r>
          </w:p>
        </w:tc>
      </w:tr>
      <w:tr>
        <w:tc>
          <w:tcPr>
            <w:tcW w:w="2270" w:type="dxa"/>
            <w:tcBorders>
              <w:top w:val="nil"/>
              <w:bottom w:val="nil"/>
            </w:tcBorders>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5" w:type="dxa"/>
            <w:tcBorders>
              <w:top w:val="nil"/>
              <w:bottom w:val="nil"/>
            </w:tcBorders>
          </w:tcPr>
          <w:p>
            <w:pPr>
              <w:pStyle w:val="nTable"/>
              <w:spacing w:after="40"/>
              <w:rPr>
                <w:snapToGrid w:val="0"/>
                <w:sz w:val="19"/>
                <w:lang w:val="en-US"/>
              </w:rPr>
            </w:pPr>
            <w:r>
              <w:rPr>
                <w:snapToGrid w:val="0"/>
                <w:sz w:val="19"/>
                <w:lang w:val="en-US"/>
              </w:rPr>
              <w:t>77 of 2006</w:t>
            </w:r>
          </w:p>
        </w:tc>
        <w:tc>
          <w:tcPr>
            <w:tcW w:w="1135" w:type="dxa"/>
            <w:tcBorders>
              <w:top w:val="nil"/>
              <w:bottom w:val="nil"/>
            </w:tcBorders>
          </w:tcPr>
          <w:p>
            <w:pPr>
              <w:pStyle w:val="nTable"/>
              <w:spacing w:after="40"/>
              <w:rPr>
                <w:snapToGrid w:val="0"/>
                <w:sz w:val="19"/>
                <w:lang w:val="en-US"/>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70" w:type="dxa"/>
            <w:tcBorders>
              <w:top w:val="nil"/>
              <w:bottom w:val="nil"/>
            </w:tcBorders>
          </w:tcPr>
          <w:p>
            <w:pPr>
              <w:pStyle w:val="nTable"/>
              <w:spacing w:after="40"/>
              <w:rPr>
                <w:i/>
                <w:snapToGrid w:val="0"/>
                <w:sz w:val="19"/>
                <w:lang w:val="en-US"/>
              </w:rPr>
            </w:pPr>
            <w:r>
              <w:rPr>
                <w:i/>
                <w:sz w:val="19"/>
              </w:rPr>
              <w:t xml:space="preserve">Police Amendment Act 2008 </w:t>
            </w:r>
            <w:r>
              <w:rPr>
                <w:iCs/>
                <w:sz w:val="19"/>
              </w:rPr>
              <w:t>s. 22 and 23(9)</w:t>
            </w:r>
          </w:p>
        </w:tc>
        <w:tc>
          <w:tcPr>
            <w:tcW w:w="1135" w:type="dxa"/>
            <w:tcBorders>
              <w:top w:val="nil"/>
              <w:bottom w:val="nil"/>
            </w:tcBorders>
          </w:tcPr>
          <w:p>
            <w:pPr>
              <w:pStyle w:val="nTable"/>
              <w:spacing w:after="40"/>
              <w:rPr>
                <w:snapToGrid w:val="0"/>
                <w:sz w:val="19"/>
                <w:lang w:val="en-US"/>
              </w:rPr>
            </w:pPr>
            <w:r>
              <w:rPr>
                <w:sz w:val="19"/>
              </w:rPr>
              <w:t>8 of 2008</w:t>
            </w:r>
          </w:p>
        </w:tc>
        <w:tc>
          <w:tcPr>
            <w:tcW w:w="1135" w:type="dxa"/>
            <w:tcBorders>
              <w:top w:val="nil"/>
              <w:bottom w:val="nil"/>
            </w:tcBorders>
          </w:tcPr>
          <w:p>
            <w:pPr>
              <w:pStyle w:val="nTable"/>
              <w:spacing w:after="40"/>
              <w:rPr>
                <w:snapToGrid w:val="0"/>
                <w:sz w:val="19"/>
                <w:lang w:val="en-US"/>
              </w:rPr>
            </w:pPr>
            <w:r>
              <w:rPr>
                <w:sz w:val="19"/>
              </w:rPr>
              <w:t>31 Mar 2008</w:t>
            </w:r>
          </w:p>
        </w:tc>
        <w:tc>
          <w:tcPr>
            <w:tcW w:w="2552" w:type="dxa"/>
            <w:tcBorders>
              <w:top w:val="nil"/>
              <w:bottom w:val="nil"/>
            </w:tcBorders>
          </w:tcPr>
          <w:p>
            <w:pPr>
              <w:pStyle w:val="nTable"/>
              <w:spacing w:after="40"/>
              <w:rPr>
                <w:snapToGrid w:val="0"/>
                <w:sz w:val="19"/>
                <w:lang w:val="en-US"/>
              </w:rPr>
            </w:pPr>
            <w:r>
              <w:rPr>
                <w:sz w:val="19"/>
              </w:rPr>
              <w:t>s. 22: 1 Apr 2008 (see s. 2(1));</w:t>
            </w:r>
            <w:r>
              <w:rPr>
                <w:sz w:val="19"/>
              </w:rPr>
              <w:br/>
              <w:t xml:space="preserve">s. 23(9): 21 Jun 2008 (see s. 2(2) and </w:t>
            </w:r>
            <w:r>
              <w:rPr>
                <w:i/>
                <w:iCs/>
                <w:sz w:val="19"/>
              </w:rPr>
              <w:t>Gazette</w:t>
            </w:r>
            <w:r>
              <w:rPr>
                <w:sz w:val="19"/>
              </w:rPr>
              <w:t xml:space="preserve"> 20 Jun 2008 p. 2706)</w:t>
            </w:r>
          </w:p>
        </w:tc>
      </w:tr>
      <w:tr>
        <w:trPr>
          <w:cantSplit/>
        </w:trPr>
        <w:tc>
          <w:tcPr>
            <w:tcW w:w="7092" w:type="dxa"/>
            <w:gridSpan w:val="4"/>
            <w:tcBorders>
              <w:top w:val="nil"/>
              <w:bottom w:val="single" w:sz="8" w:space="0" w:color="auto"/>
            </w:tcBorders>
          </w:tcPr>
          <w:p>
            <w:pPr>
              <w:pStyle w:val="nTable"/>
              <w:keepLines/>
              <w:spacing w:after="40"/>
              <w:rPr>
                <w:sz w:val="19"/>
              </w:rPr>
            </w:pPr>
            <w:r>
              <w:rPr>
                <w:b/>
                <w:sz w:val="19"/>
              </w:rPr>
              <w:t xml:space="preserve">Reprint 2: The </w:t>
            </w:r>
            <w:r>
              <w:rPr>
                <w:b/>
                <w:i/>
                <w:sz w:val="19"/>
              </w:rPr>
              <w:t>Witness Protection (Western Australia) Act 1996</w:t>
            </w:r>
            <w:r>
              <w:rPr>
                <w:b/>
                <w:sz w:val="19"/>
              </w:rPr>
              <w:t xml:space="preserve"> as at 8 Aug 2008</w:t>
            </w:r>
            <w:r>
              <w:rPr>
                <w:sz w:val="19"/>
              </w:rPr>
              <w:t xml:space="preserve"> (includes amendments listed above)</w:t>
            </w:r>
          </w:p>
        </w:tc>
      </w:tr>
    </w:tbl>
    <w:p>
      <w:pPr>
        <w:pStyle w:val="nSubsection"/>
        <w:rPr>
          <w:snapToGrid w:val="0"/>
        </w:rPr>
      </w:pPr>
      <w:r>
        <w:rPr>
          <w:snapToGrid w:val="0"/>
          <w:vertAlign w:val="superscript"/>
        </w:rPr>
        <w:t>2</w:t>
      </w:r>
      <w:r>
        <w:rPr>
          <w:snapToGrid w:val="0"/>
        </w:rPr>
        <w:tab/>
        <w:t xml:space="preserve">Repealed by the </w:t>
      </w:r>
      <w:r>
        <w:rPr>
          <w:i/>
          <w:iCs/>
          <w:snapToGrid w:val="0"/>
        </w:rPr>
        <w:t>Sentencing Legislation Amendment and Repeal Act 2003</w:t>
      </w:r>
      <w:r>
        <w:rPr>
          <w:snapToGrid w:val="0"/>
        </w:rPr>
        <w:t>.</w:t>
      </w:r>
    </w:p>
    <w:p>
      <w:pPr>
        <w:pStyle w:val="nSubsection"/>
        <w:rPr>
          <w:snapToGrid w:val="0"/>
        </w:rPr>
      </w:pPr>
      <w:r>
        <w:rPr>
          <w:snapToGrid w:val="0"/>
          <w:vertAlign w:val="superscript"/>
        </w:rPr>
        <w:t>3</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393" w:name="_Toc202343789"/>
      <w:bookmarkStart w:id="394" w:name="_Toc202343948"/>
      <w:bookmarkStart w:id="395" w:name="_Toc205279484"/>
      <w:bookmarkStart w:id="396" w:name="_Toc206911127"/>
      <w:r>
        <w:rPr>
          <w:sz w:val="28"/>
        </w:rPr>
        <w:t>Defined Terms</w:t>
      </w:r>
      <w:bookmarkEnd w:id="393"/>
      <w:bookmarkEnd w:id="394"/>
      <w:bookmarkEnd w:id="395"/>
      <w:bookmarkEnd w:id="396"/>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397" w:name="DefinedTerms"/>
      <w:bookmarkEnd w:id="397"/>
      <w:r>
        <w:rPr>
          <w:snapToGrid w:val="0"/>
        </w:rPr>
        <w:t>annual report</w:t>
      </w:r>
      <w:r>
        <w:rPr>
          <w:snapToGrid w:val="0"/>
        </w:rPr>
        <w:tab/>
        <w:t>37(2)</w:t>
      </w:r>
    </w:p>
    <w:p>
      <w:pPr>
        <w:pStyle w:val="DefinedTerms"/>
        <w:rPr>
          <w:snapToGrid w:val="0"/>
        </w:rPr>
      </w:pPr>
      <w:r>
        <w:rPr>
          <w:snapToGrid w:val="0"/>
        </w:rPr>
        <w:t>approved authority</w:t>
      </w:r>
      <w:r>
        <w:rPr>
          <w:snapToGrid w:val="0"/>
        </w:rPr>
        <w:tab/>
        <w:t>3(1)</w:t>
      </w:r>
    </w:p>
    <w:p>
      <w:pPr>
        <w:pStyle w:val="DefinedTerms"/>
        <w:rPr>
          <w:snapToGrid w:val="0"/>
        </w:rPr>
      </w:pPr>
      <w:r>
        <w:rPr>
          <w:snapToGrid w:val="0"/>
        </w:rPr>
        <w:t>Commissioner</w:t>
      </w:r>
      <w:r>
        <w:rPr>
          <w:snapToGrid w:val="0"/>
        </w:rPr>
        <w:tab/>
        <w:t>3(1)</w:t>
      </w:r>
    </w:p>
    <w:p>
      <w:pPr>
        <w:pStyle w:val="DefinedTerms"/>
        <w:rPr>
          <w:snapToGrid w:val="0"/>
        </w:rPr>
      </w:pPr>
      <w:r>
        <w:rPr>
          <w:snapToGrid w:val="0"/>
        </w:rPr>
        <w:t>Commonwealth Act</w:t>
      </w:r>
      <w:r>
        <w:rPr>
          <w:snapToGrid w:val="0"/>
        </w:rPr>
        <w:tab/>
        <w:t>3(1)</w:t>
      </w:r>
    </w:p>
    <w:p>
      <w:pPr>
        <w:pStyle w:val="DefinedTerms"/>
        <w:rPr>
          <w:snapToGrid w:val="0"/>
        </w:rPr>
      </w:pPr>
      <w:r>
        <w:rPr>
          <w:snapToGrid w:val="0"/>
        </w:rPr>
        <w:t>complementary witness protection law</w:t>
      </w:r>
      <w:r>
        <w:rPr>
          <w:snapToGrid w:val="0"/>
        </w:rPr>
        <w:tab/>
        <w:t>3(1)</w:t>
      </w:r>
    </w:p>
    <w:p>
      <w:pPr>
        <w:pStyle w:val="DefinedTerms"/>
        <w:rPr>
          <w:snapToGrid w:val="0"/>
        </w:rPr>
      </w:pPr>
      <w:r>
        <w:rPr>
          <w:snapToGrid w:val="0"/>
        </w:rPr>
        <w:t>Corruption and Crime Commission</w:t>
      </w:r>
      <w:r>
        <w:rPr>
          <w:snapToGrid w:val="0"/>
        </w:rPr>
        <w:tab/>
        <w:t>3(1)</w:t>
      </w:r>
    </w:p>
    <w:p>
      <w:pPr>
        <w:pStyle w:val="DefinedTerms"/>
        <w:rPr>
          <w:snapToGrid w:val="0"/>
        </w:rPr>
      </w:pPr>
      <w:r>
        <w:rPr>
          <w:snapToGrid w:val="0"/>
        </w:rPr>
        <w:t>court</w:t>
      </w:r>
      <w:r>
        <w:rPr>
          <w:snapToGrid w:val="0"/>
        </w:rPr>
        <w:tab/>
        <w:t>3(1)</w:t>
      </w:r>
    </w:p>
    <w:p>
      <w:pPr>
        <w:pStyle w:val="DefinedTerms"/>
        <w:rPr>
          <w:snapToGrid w:val="0"/>
        </w:rPr>
      </w:pPr>
      <w:r>
        <w:rPr>
          <w:snapToGrid w:val="0"/>
        </w:rPr>
        <w:t>designated position</w:t>
      </w:r>
      <w:r>
        <w:rPr>
          <w:snapToGrid w:val="0"/>
        </w:rPr>
        <w:tab/>
        <w:t>3(1)</w:t>
      </w:r>
    </w:p>
    <w:p>
      <w:pPr>
        <w:pStyle w:val="DefinedTerms"/>
        <w:rPr>
          <w:snapToGrid w:val="0"/>
        </w:rPr>
      </w:pPr>
      <w:r>
        <w:rPr>
          <w:snapToGrid w:val="0"/>
        </w:rPr>
        <w:t>new identity order</w:t>
      </w:r>
      <w:r>
        <w:rPr>
          <w:snapToGrid w:val="0"/>
        </w:rPr>
        <w:tab/>
        <w:t>19</w:t>
      </w:r>
    </w:p>
    <w:p>
      <w:pPr>
        <w:pStyle w:val="DefinedTerms"/>
        <w:rPr>
          <w:snapToGrid w:val="0"/>
        </w:rPr>
      </w:pPr>
      <w:r>
        <w:rPr>
          <w:snapToGrid w:val="0"/>
        </w:rPr>
        <w:t>officer of the Corruption and Crime Commission</w:t>
      </w:r>
      <w:r>
        <w:rPr>
          <w:snapToGrid w:val="0"/>
        </w:rPr>
        <w:tab/>
        <w:t>3(1)</w:t>
      </w:r>
    </w:p>
    <w:p>
      <w:pPr>
        <w:pStyle w:val="DefinedTerms"/>
        <w:rPr>
          <w:snapToGrid w:val="0"/>
        </w:rPr>
      </w:pPr>
      <w:r>
        <w:rPr>
          <w:snapToGrid w:val="0"/>
        </w:rPr>
        <w:t>Parliamentary Commissioner</w:t>
      </w:r>
      <w:r>
        <w:rPr>
          <w:snapToGrid w:val="0"/>
        </w:rPr>
        <w:tab/>
        <w:t>3(1)</w:t>
      </w:r>
    </w:p>
    <w:p>
      <w:pPr>
        <w:pStyle w:val="DefinedTerms"/>
        <w:rPr>
          <w:snapToGrid w:val="0"/>
        </w:rPr>
      </w:pPr>
      <w:r>
        <w:rPr>
          <w:snapToGrid w:val="0"/>
        </w:rPr>
        <w:t>participant</w:t>
      </w:r>
      <w:r>
        <w:rPr>
          <w:snapToGrid w:val="0"/>
        </w:rPr>
        <w:tab/>
        <w:t>3(1)</w:t>
      </w:r>
    </w:p>
    <w:p>
      <w:pPr>
        <w:pStyle w:val="DefinedTerms"/>
        <w:rPr>
          <w:snapToGrid w:val="0"/>
        </w:rPr>
      </w:pPr>
      <w:r>
        <w:rPr>
          <w:snapToGrid w:val="0"/>
        </w:rPr>
        <w:t>person</w:t>
      </w:r>
      <w:r>
        <w:rPr>
          <w:snapToGrid w:val="0"/>
        </w:rPr>
        <w:tab/>
        <w:t>33(4)</w:t>
      </w:r>
    </w:p>
    <w:p>
      <w:pPr>
        <w:pStyle w:val="DefinedTerms"/>
        <w:rPr>
          <w:snapToGrid w:val="0"/>
        </w:rPr>
      </w:pPr>
      <w:r>
        <w:rPr>
          <w:snapToGrid w:val="0"/>
        </w:rPr>
        <w:t>prescribed authority</w:t>
      </w:r>
      <w:r>
        <w:rPr>
          <w:snapToGrid w:val="0"/>
        </w:rPr>
        <w:tab/>
        <w:t>3(1)</w:t>
      </w:r>
    </w:p>
    <w:p>
      <w:pPr>
        <w:pStyle w:val="DefinedTerms"/>
        <w:rPr>
          <w:snapToGrid w:val="0"/>
        </w:rPr>
      </w:pPr>
      <w:r>
        <w:rPr>
          <w:snapToGrid w:val="0"/>
        </w:rPr>
        <w:t>prescribed register</w:t>
      </w:r>
      <w:r>
        <w:rPr>
          <w:snapToGrid w:val="0"/>
        </w:rPr>
        <w:tab/>
        <w:t>3(1)</w:t>
      </w:r>
    </w:p>
    <w:p>
      <w:pPr>
        <w:pStyle w:val="DefinedTerms"/>
        <w:rPr>
          <w:snapToGrid w:val="0"/>
        </w:rPr>
      </w:pPr>
      <w:r>
        <w:rPr>
          <w:snapToGrid w:val="0"/>
        </w:rPr>
        <w:t>sensitive information</w:t>
      </w:r>
      <w:r>
        <w:rPr>
          <w:snapToGrid w:val="0"/>
        </w:rPr>
        <w:tab/>
        <w:t>32(2)</w:t>
      </w:r>
    </w:p>
    <w:p>
      <w:pPr>
        <w:pStyle w:val="DefinedTerms"/>
        <w:rPr>
          <w:snapToGrid w:val="0"/>
        </w:rPr>
      </w:pPr>
      <w:r>
        <w:rPr>
          <w:snapToGrid w:val="0"/>
        </w:rPr>
        <w:t>State Witness Protection Program</w:t>
      </w:r>
      <w:r>
        <w:rPr>
          <w:snapToGrid w:val="0"/>
        </w:rPr>
        <w:tab/>
        <w:t>3(1)</w:t>
      </w:r>
    </w:p>
    <w:p>
      <w:pPr>
        <w:pStyle w:val="DefinedTerms"/>
        <w:rPr>
          <w:snapToGrid w:val="0"/>
        </w:rPr>
      </w:pPr>
      <w:r>
        <w:rPr>
          <w:snapToGrid w:val="0"/>
        </w:rPr>
        <w:t>witness</w:t>
      </w:r>
      <w:r>
        <w:rPr>
          <w:snapToGrid w:val="0"/>
        </w:rPr>
        <w:tab/>
        <w:t>3(1)</w:t>
      </w:r>
    </w:p>
    <w:p>
      <w:pPr>
        <w:pStyle w:val="DefinedTerms"/>
        <w:rPr>
          <w:snapToGrid w:val="0"/>
        </w:rPr>
      </w:pPr>
      <w:r>
        <w:rPr>
          <w:snapToGrid w:val="0"/>
        </w:rPr>
        <w:t>witness protection program</w:t>
      </w:r>
      <w:r>
        <w:rPr>
          <w:snapToGrid w:val="0"/>
        </w:rPr>
        <w:tab/>
        <w:t>3(1)</w:t>
      </w:r>
    </w:p>
    <w:p>
      <w:pPr>
        <w:pStyle w:val="DefinedTerms"/>
        <w:rPr>
          <w:snapToGrid w:val="0"/>
        </w:rPr>
      </w:pPr>
    </w:p>
    <w:p>
      <w:pPr>
        <w:rPr>
          <w:snapToGrid w:val="0"/>
          <w:vertAlign w:val="superscript"/>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rPr>
          <w:snapToGrid w:val="0"/>
        </w:rPr>
      </w:pPr>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Witness Protection (Western Australia) Act 1996</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Witness Protection (Western Australia)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er"/>
    </w:pPr>
  </w:p>
  <w:p>
    <w:pPr>
      <w:pStyle w:val="Header"/>
    </w:pPr>
  </w:p>
  <w:p>
    <w:pPr>
      <w:pStyle w:val="Header"/>
    </w:pPr>
  </w:p>
  <w:p>
    <w:pPr>
      <w:pStyle w:val="Header"/>
    </w:pPr>
  </w:p>
  <w:p>
    <w:pPr>
      <w:pStyle w:val="Header"/>
      <w:jc w:val="right"/>
      <w:rPr>
        <w:rFonts w:ascii="Times New Roman" w:hAnsi="Times New Roman"/>
        <w:b/>
      </w:rPr>
    </w:pPr>
    <w:r>
      <w:rPr>
        <w:rFonts w:ascii="Times New Roman" w:hAnsi="Times New Roman"/>
        <w:b/>
      </w:rPr>
      <w:t>Defined terms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C882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D82C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59ED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745A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877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104F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749C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B4693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AE363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D0EC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B6C16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628903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311"/>
    <w:docVar w:name="WAFER_20151216143311" w:val="RemoveTrackChanges"/>
    <w:docVar w:name="WAFER_20151216143311_GUID" w:val="925946fa-86cf-4900-8468-942f82136f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8756</Words>
  <Characters>43258</Characters>
  <Application>Microsoft Office Word</Application>
  <DocSecurity>0</DocSecurity>
  <Lines>1169</Lines>
  <Paragraphs>626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51388</CharactersWithSpaces>
  <SharedDoc>false</SharedDoc>
  <HLinks>
    <vt:vector size="18" baseType="variant">
      <vt:variant>
        <vt:i4>65542</vt:i4>
      </vt:variant>
      <vt:variant>
        <vt:i4>4971</vt:i4>
      </vt:variant>
      <vt:variant>
        <vt:i4>1025</vt:i4>
      </vt:variant>
      <vt:variant>
        <vt:i4>1</vt:i4>
      </vt:variant>
      <vt:variant>
        <vt:lpwstr>Crest</vt:lpwstr>
      </vt:variant>
      <vt:variant>
        <vt:lpwstr/>
      </vt:variant>
      <vt:variant>
        <vt:i4>131085</vt:i4>
      </vt:variant>
      <vt:variant>
        <vt:i4>50283</vt:i4>
      </vt:variant>
      <vt:variant>
        <vt:i4>1026</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1996 - 02-a0-06</dc:title>
  <dc:subject/>
  <dc:creator/>
  <cp:keywords/>
  <dc:description/>
  <cp:lastModifiedBy>svcMRProcess</cp:lastModifiedBy>
  <cp:revision>4</cp:revision>
  <cp:lastPrinted>2008-08-12T06:35:00Z</cp:lastPrinted>
  <dcterms:created xsi:type="dcterms:W3CDTF">2018-09-10T01:00:00Z</dcterms:created>
  <dcterms:modified xsi:type="dcterms:W3CDTF">2018-09-10T01:00:00Z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CommencementDate">
    <vt:lpwstr>20080808</vt:lpwstr>
  </property>
  <property fmtid="{D5CDD505-2E9C-101B-9397-08002B2CF9AE}" pid="4" name="DocumentType">
    <vt:lpwstr>Act</vt:lpwstr>
  </property>
  <property fmtid="{D5CDD505-2E9C-101B-9397-08002B2CF9AE}" pid="5" name="OwlsUID">
    <vt:i4>911</vt:i4>
  </property>
  <property fmtid="{D5CDD505-2E9C-101B-9397-08002B2CF9AE}" pid="6" name="AsAtDate">
    <vt:lpwstr>08 Aug 2008</vt:lpwstr>
  </property>
  <property fmtid="{D5CDD505-2E9C-101B-9397-08002B2CF9AE}" pid="7" name="Suffix">
    <vt:lpwstr>02-a0-06</vt:lpwstr>
  </property>
  <property fmtid="{D5CDD505-2E9C-101B-9397-08002B2CF9AE}" pid="8" name="ReprintNo">
    <vt:lpwstr>2</vt:lpwstr>
  </property>
</Properties>
</file>