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Magistrates Court Act 2004</w:t>
      </w:r>
    </w:p>
    <w:p>
      <w:pPr>
        <w:pStyle w:val="NameofActRegPage1"/>
        <w:spacing w:before="1800" w:after="4200"/>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_Toc207168597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_Toc207168598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_Toc207168599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_Toc207168600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_Toc207168601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_Toc207168602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_Toc207168603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_Toc207168604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_Toc207168605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_Toc207168606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_Toc207168607 \h </w:instrText>
      </w:r>
      <w:r>
        <w:fldChar w:fldCharType="separate"/>
      </w:r>
      <w:r>
        <w:t>9</w:t>
      </w:r>
      <w:r>
        <w:fldChar w:fldCharType="end"/>
      </w:r>
    </w:p>
    <w:p>
      <w:pPr>
        <w:pStyle w:val="TOC8"/>
        <w:rPr>
          <w:sz w:val="24"/>
          <w:szCs w:val="24"/>
        </w:rPr>
      </w:pPr>
      <w:r>
        <w:rPr>
          <w:szCs w:val="24"/>
        </w:rPr>
        <w:t>12.</w:t>
      </w:r>
      <w:r>
        <w:rPr>
          <w:szCs w:val="24"/>
        </w:rPr>
        <w:tab/>
        <w:t>Searchable information</w:t>
      </w:r>
      <w:r>
        <w:tab/>
      </w:r>
      <w:r>
        <w:fldChar w:fldCharType="begin"/>
      </w:r>
      <w:r>
        <w:instrText xml:space="preserve"> PAGEREF _Toc207168608 \h </w:instrText>
      </w:r>
      <w:r>
        <w:fldChar w:fldCharType="separate"/>
      </w:r>
      <w:r>
        <w:t>9</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_Toc207168609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_Toc207168610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_Toc207168611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_Toc207168617 \h </w:instrText>
      </w:r>
      <w:r>
        <w:fldChar w:fldCharType="separate"/>
      </w:r>
      <w:r>
        <w:t>20</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_Toc207168618 \h </w:instrText>
      </w:r>
      <w:r>
        <w:fldChar w:fldCharType="separate"/>
      </w:r>
      <w:r>
        <w:t>21</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_Toc207168619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_Toc207168621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_Toc207168622 \h </w:instrText>
      </w:r>
      <w:r>
        <w:fldChar w:fldCharType="separate"/>
      </w:r>
      <w:r>
        <w:t>26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1316"/>
      <w:bookmarkStart w:id="9" w:name="_Toc102451445"/>
      <w:bookmarkStart w:id="10" w:name="_Toc207168597"/>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0716859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0" w:name="_Toc96402830"/>
      <w:bookmarkStart w:id="21" w:name="_Toc100631318"/>
      <w:bookmarkStart w:id="22" w:name="_Toc102451447"/>
      <w:bookmarkStart w:id="23" w:name="_Toc207168599"/>
      <w:r>
        <w:rPr>
          <w:rStyle w:val="CharSectno"/>
        </w:rPr>
        <w:t>3</w:t>
      </w:r>
      <w:r>
        <w:t>.</w:t>
      </w:r>
      <w:r>
        <w:tab/>
        <w:t>Terms used in these regulations</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1319"/>
      <w:bookmarkStart w:id="33" w:name="_Toc102451448"/>
      <w:bookmarkStart w:id="34" w:name="_Toc207168600"/>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100631320"/>
      <w:bookmarkStart w:id="44" w:name="_Toc102451449"/>
      <w:bookmarkStart w:id="45" w:name="_Toc207168601"/>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6" w:name="_Toc100631321"/>
      <w:bookmarkStart w:id="47" w:name="_Toc102451450"/>
      <w:bookmarkStart w:id="48" w:name="_Toc207168602"/>
      <w:r>
        <w:rPr>
          <w:rStyle w:val="CharSectno"/>
        </w:rPr>
        <w:t>6</w:t>
      </w:r>
      <w:r>
        <w:t>.</w:t>
      </w:r>
      <w:r>
        <w:tab/>
        <w:t>Fees subject to conditions or waiver</w:t>
      </w:r>
      <w:bookmarkEnd w:id="46"/>
      <w:bookmarkEnd w:id="47"/>
      <w:bookmarkEnd w:id="48"/>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9" w:name="_Toc437922208"/>
      <w:bookmarkStart w:id="50" w:name="_Toc483972643"/>
      <w:bookmarkStart w:id="51" w:name="_Toc506018774"/>
      <w:bookmarkStart w:id="52" w:name="_Toc519738593"/>
      <w:bookmarkStart w:id="53" w:name="_Toc520868381"/>
      <w:bookmarkStart w:id="54" w:name="_Toc533482758"/>
      <w:bookmarkStart w:id="55" w:name="_Toc61252561"/>
      <w:bookmarkStart w:id="56" w:name="_Toc96402833"/>
      <w:bookmarkStart w:id="57" w:name="_Toc100631322"/>
      <w:bookmarkStart w:id="58" w:name="_Toc102451451"/>
      <w:bookmarkStart w:id="59" w:name="_Toc207168603"/>
      <w:r>
        <w:rPr>
          <w:rStyle w:val="CharSectno"/>
        </w:rPr>
        <w:t>7</w:t>
      </w:r>
      <w:r>
        <w:t>.</w:t>
      </w:r>
      <w:r>
        <w:tab/>
      </w:r>
      <w:r>
        <w:rPr>
          <w:rStyle w:val="CharSectno"/>
        </w:rPr>
        <w:t>F</w:t>
      </w:r>
      <w:r>
        <w:rPr>
          <w:snapToGrid w:val="0"/>
        </w:rPr>
        <w:t>ees to be paid before documents etc. filed</w:t>
      </w:r>
      <w:bookmarkEnd w:id="49"/>
      <w:bookmarkEnd w:id="50"/>
      <w:bookmarkEnd w:id="51"/>
      <w:bookmarkEnd w:id="52"/>
      <w:bookmarkEnd w:id="53"/>
      <w:bookmarkEnd w:id="54"/>
      <w:bookmarkEnd w:id="55"/>
      <w:bookmarkEnd w:id="56"/>
      <w:bookmarkEnd w:id="57"/>
      <w:bookmarkEnd w:id="58"/>
      <w:bookmarkEnd w:id="5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0" w:name="_Toc437922210"/>
      <w:bookmarkStart w:id="61" w:name="_Toc483972645"/>
      <w:bookmarkStart w:id="62" w:name="_Toc506018776"/>
      <w:bookmarkStart w:id="63" w:name="_Toc519738594"/>
      <w:bookmarkStart w:id="64" w:name="_Toc520868382"/>
      <w:bookmarkStart w:id="65" w:name="_Toc533482759"/>
      <w:bookmarkStart w:id="66" w:name="_Toc61252562"/>
      <w:bookmarkStart w:id="67" w:name="_Toc96402834"/>
      <w:bookmarkStart w:id="68" w:name="_Toc100631323"/>
      <w:bookmarkStart w:id="69" w:name="_Toc102451452"/>
      <w:bookmarkStart w:id="70" w:name="_Toc207168604"/>
      <w:r>
        <w:rPr>
          <w:rStyle w:val="CharSectno"/>
        </w:rPr>
        <w:t>8</w:t>
      </w:r>
      <w:r>
        <w:t>.</w:t>
      </w:r>
      <w:r>
        <w:tab/>
      </w:r>
      <w:r>
        <w:rPr>
          <w:snapToGrid w:val="0"/>
        </w:rPr>
        <w:t>Court or registrar may remit fees</w:t>
      </w:r>
      <w:bookmarkEnd w:id="60"/>
      <w:bookmarkEnd w:id="61"/>
      <w:bookmarkEnd w:id="62"/>
      <w:bookmarkEnd w:id="63"/>
      <w:bookmarkEnd w:id="64"/>
      <w:bookmarkEnd w:id="65"/>
      <w:bookmarkEnd w:id="66"/>
      <w:bookmarkEnd w:id="67"/>
      <w:bookmarkEnd w:id="68"/>
      <w:bookmarkEnd w:id="69"/>
      <w:bookmarkEnd w:id="7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1" w:name="_Toc437922211"/>
      <w:bookmarkStart w:id="72" w:name="_Toc483972646"/>
      <w:bookmarkStart w:id="73" w:name="_Toc506018777"/>
      <w:bookmarkStart w:id="74" w:name="_Toc519738595"/>
      <w:bookmarkStart w:id="75" w:name="_Toc520868383"/>
      <w:bookmarkStart w:id="76" w:name="_Toc533482760"/>
      <w:r>
        <w:tab/>
        <w:t>(12)</w:t>
      </w:r>
      <w:r>
        <w:tab/>
        <w:t>Despite the provisions of these regulations, a fee is not to be charged in respect of an application under subregulation (2).</w:t>
      </w:r>
    </w:p>
    <w:p>
      <w:pPr>
        <w:pStyle w:val="Heading5"/>
        <w:rPr>
          <w:snapToGrid w:val="0"/>
        </w:rPr>
      </w:pPr>
      <w:bookmarkStart w:id="77" w:name="_Toc61252563"/>
      <w:bookmarkStart w:id="78" w:name="_Toc96402835"/>
      <w:bookmarkStart w:id="79" w:name="_Toc100631324"/>
      <w:bookmarkStart w:id="80" w:name="_Toc102451453"/>
      <w:bookmarkStart w:id="81" w:name="_Toc207168605"/>
      <w:r>
        <w:rPr>
          <w:rStyle w:val="CharSectno"/>
        </w:rPr>
        <w:t>9</w:t>
      </w:r>
      <w:r>
        <w:t>.</w:t>
      </w:r>
      <w:r>
        <w:tab/>
      </w:r>
      <w:r>
        <w:rPr>
          <w:snapToGrid w:val="0"/>
        </w:rPr>
        <w:t>Conventions</w:t>
      </w:r>
      <w:bookmarkEnd w:id="71"/>
      <w:bookmarkEnd w:id="72"/>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2" w:name="_Toc533482761"/>
      <w:bookmarkStart w:id="83" w:name="_Toc61252564"/>
      <w:bookmarkStart w:id="84" w:name="_Toc96402836"/>
      <w:bookmarkStart w:id="85" w:name="_Toc100631325"/>
      <w:bookmarkStart w:id="86" w:name="_Toc102451454"/>
      <w:bookmarkStart w:id="87" w:name="_Toc207168606"/>
      <w:r>
        <w:rPr>
          <w:rStyle w:val="CharSectno"/>
        </w:rPr>
        <w:t>10</w:t>
      </w:r>
      <w:r>
        <w:t>.</w:t>
      </w:r>
      <w:r>
        <w:tab/>
        <w:t>Schedule 1 Division 2 item 5 fee</w:t>
      </w:r>
      <w:bookmarkEnd w:id="82"/>
      <w:bookmarkEnd w:id="83"/>
      <w:bookmarkEnd w:id="84"/>
      <w:bookmarkEnd w:id="85"/>
      <w:bookmarkEnd w:id="86"/>
      <w:bookmarkEnd w:id="8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8" w:name="_Toc533482762"/>
      <w:bookmarkStart w:id="89" w:name="_Toc61252565"/>
      <w:bookmarkStart w:id="90" w:name="_Toc96402837"/>
      <w:bookmarkStart w:id="91" w:name="_Toc100631326"/>
      <w:bookmarkStart w:id="92" w:name="_Toc102451455"/>
      <w:bookmarkStart w:id="93" w:name="_Toc207168607"/>
      <w:r>
        <w:rPr>
          <w:rStyle w:val="CharSectno"/>
        </w:rPr>
        <w:t>11</w:t>
      </w:r>
      <w:r>
        <w:t>.</w:t>
      </w:r>
      <w:r>
        <w:tab/>
        <w:t>Schedule 1 Division 2 item 6 fee</w:t>
      </w:r>
      <w:bookmarkEnd w:id="88"/>
      <w:bookmarkEnd w:id="89"/>
      <w:bookmarkEnd w:id="90"/>
      <w:bookmarkEnd w:id="91"/>
      <w:bookmarkEnd w:id="92"/>
      <w:bookmarkEnd w:id="9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4" w:name="_Toc100631327"/>
      <w:bookmarkStart w:id="95" w:name="_Toc102451456"/>
      <w:bookmarkStart w:id="96" w:name="_Toc207168608"/>
      <w:r>
        <w:rPr>
          <w:rStyle w:val="CharSectno"/>
        </w:rPr>
        <w:t>12</w:t>
      </w:r>
      <w:r>
        <w:t>.</w:t>
      </w:r>
      <w:r>
        <w:tab/>
        <w:t>Searchable information</w:t>
      </w:r>
      <w:bookmarkEnd w:id="94"/>
      <w:bookmarkEnd w:id="95"/>
      <w:bookmarkEnd w:id="96"/>
    </w:p>
    <w:p>
      <w:pPr>
        <w:pStyle w:val="Subsection"/>
      </w:pPr>
      <w:r>
        <w:tab/>
        <w:t>(1)</w:t>
      </w:r>
      <w:r>
        <w:tab/>
        <w:t xml:space="preserve">In this regulation and Schedule 1 Division 1 items 4 and 5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97" w:name="_Toc96398500"/>
      <w:bookmarkStart w:id="98" w:name="_Toc100631328"/>
      <w:bookmarkStart w:id="99" w:name="_Toc102451457"/>
      <w:bookmarkStart w:id="100" w:name="_Toc207168609"/>
      <w:r>
        <w:rPr>
          <w:rStyle w:val="CharSectno"/>
        </w:rPr>
        <w:t>13</w:t>
      </w:r>
      <w:r>
        <w:t>.</w:t>
      </w:r>
      <w:r>
        <w:tab/>
        <w:t>Resolution of disputes as to fees</w:t>
      </w:r>
      <w:bookmarkEnd w:id="97"/>
      <w:bookmarkEnd w:id="98"/>
      <w:bookmarkEnd w:id="99"/>
      <w:bookmarkEnd w:id="10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1" w:name="_Toc100631329"/>
      <w:bookmarkStart w:id="102" w:name="_Toc102451458"/>
      <w:bookmarkStart w:id="103" w:name="_Toc207168610"/>
      <w:r>
        <w:rPr>
          <w:rStyle w:val="CharSectno"/>
        </w:rPr>
        <w:t>14</w:t>
      </w:r>
      <w:r>
        <w:t>.</w:t>
      </w:r>
      <w:r>
        <w:tab/>
        <w:t>Recovery of unpaid fees</w:t>
      </w:r>
      <w:bookmarkEnd w:id="101"/>
      <w:bookmarkEnd w:id="102"/>
      <w:bookmarkEnd w:id="103"/>
    </w:p>
    <w:p>
      <w:pPr>
        <w:pStyle w:val="Subsection"/>
      </w:pPr>
      <w:r>
        <w:tab/>
      </w:r>
      <w:r>
        <w:tab/>
        <w:t>Any unpaid fee is a debt due to the State and may be recovered by action in a court of competent jurisdiction.</w:t>
      </w:r>
    </w:p>
    <w:p>
      <w:pPr>
        <w:pStyle w:val="Heading5"/>
      </w:pPr>
      <w:bookmarkStart w:id="104" w:name="_Toc533482764"/>
      <w:bookmarkStart w:id="105" w:name="_Toc61252567"/>
      <w:bookmarkStart w:id="106" w:name="_Toc96402839"/>
      <w:bookmarkStart w:id="107" w:name="_Toc100631330"/>
      <w:bookmarkStart w:id="108" w:name="_Toc102451459"/>
      <w:bookmarkStart w:id="109" w:name="_Toc207168611"/>
      <w:r>
        <w:rPr>
          <w:rStyle w:val="CharSectno"/>
        </w:rPr>
        <w:t>15</w:t>
      </w:r>
      <w:r>
        <w:t>.</w:t>
      </w:r>
      <w:r>
        <w:tab/>
        <w:t>Transitional</w:t>
      </w:r>
      <w:bookmarkEnd w:id="104"/>
      <w:bookmarkEnd w:id="105"/>
      <w:bookmarkEnd w:id="106"/>
      <w:bookmarkEnd w:id="107"/>
      <w:bookmarkEnd w:id="108"/>
      <w:bookmarkEnd w:id="10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0" w:name="_Toc100631331"/>
      <w:bookmarkStart w:id="111" w:name="_Toc102451460"/>
    </w:p>
    <w:p>
      <w:pPr>
        <w:pStyle w:val="yScheduleHeading"/>
      </w:pPr>
      <w:bookmarkStart w:id="112" w:name="_Toc139104715"/>
      <w:bookmarkStart w:id="113" w:name="_Toc139276713"/>
      <w:bookmarkStart w:id="114" w:name="_Toc171051732"/>
      <w:bookmarkStart w:id="115" w:name="_Toc198631552"/>
      <w:bookmarkStart w:id="116" w:name="_Toc202521832"/>
      <w:bookmarkStart w:id="117" w:name="_Toc203535227"/>
      <w:bookmarkStart w:id="118" w:name="_Toc207168612"/>
      <w:r>
        <w:rPr>
          <w:rStyle w:val="CharSchNo"/>
        </w:rPr>
        <w:t>Schedule 1</w:t>
      </w:r>
      <w:r>
        <w:t xml:space="preserve"> — </w:t>
      </w:r>
      <w:r>
        <w:rPr>
          <w:rStyle w:val="CharSchText"/>
        </w:rPr>
        <w:t>Fees</w:t>
      </w:r>
      <w:bookmarkEnd w:id="110"/>
      <w:bookmarkEnd w:id="111"/>
      <w:bookmarkEnd w:id="112"/>
      <w:bookmarkEnd w:id="113"/>
      <w:bookmarkEnd w:id="114"/>
      <w:bookmarkEnd w:id="115"/>
      <w:bookmarkEnd w:id="116"/>
      <w:bookmarkEnd w:id="117"/>
      <w:bookmarkEnd w:id="118"/>
    </w:p>
    <w:p>
      <w:pPr>
        <w:pStyle w:val="yShoulderClause"/>
        <w:spacing w:after="360"/>
      </w:pPr>
      <w:r>
        <w:t>[r. 4]</w:t>
      </w:r>
    </w:p>
    <w:p>
      <w:pPr>
        <w:pStyle w:val="yHeading3"/>
        <w:spacing w:before="120" w:after="120"/>
      </w:pPr>
      <w:bookmarkStart w:id="119" w:name="_Toc100631332"/>
      <w:bookmarkStart w:id="120" w:name="_Toc102451461"/>
      <w:bookmarkStart w:id="121" w:name="_Toc139104716"/>
      <w:bookmarkStart w:id="122" w:name="_Toc139276714"/>
      <w:bookmarkStart w:id="123" w:name="_Toc171051733"/>
      <w:bookmarkStart w:id="124" w:name="_Toc198631553"/>
      <w:bookmarkStart w:id="125" w:name="_Toc202521833"/>
      <w:bookmarkStart w:id="126" w:name="_Toc203535228"/>
      <w:bookmarkStart w:id="127" w:name="_Toc207168613"/>
      <w:r>
        <w:rPr>
          <w:rStyle w:val="CharSDivNo"/>
        </w:rPr>
        <w:t>Division 1</w:t>
      </w:r>
      <w:r>
        <w:rPr>
          <w:b w:val="0"/>
        </w:rPr>
        <w:t> — </w:t>
      </w:r>
      <w:r>
        <w:rPr>
          <w:rStyle w:val="CharSDivText"/>
        </w:rPr>
        <w:t>General</w:t>
      </w:r>
      <w:bookmarkEnd w:id="119"/>
      <w:bookmarkEnd w:id="120"/>
      <w:bookmarkEnd w:id="121"/>
      <w:bookmarkEnd w:id="122"/>
      <w:bookmarkEnd w:id="123"/>
      <w:bookmarkEnd w:id="124"/>
      <w:bookmarkEnd w:id="125"/>
      <w:bookmarkEnd w:id="126"/>
      <w:bookmarkEnd w:id="127"/>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1.10</w:t>
            </w:r>
          </w:p>
          <w:p>
            <w:pPr>
              <w:pStyle w:val="yTable"/>
              <w:ind w:right="601"/>
              <w:jc w:val="right"/>
              <w:rPr>
                <w:sz w:val="20"/>
              </w:rPr>
            </w:pPr>
            <w:r>
              <w:rPr>
                <w:sz w:val="20"/>
              </w:rPr>
              <w:br/>
              <w:t>35 841.00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27 Jun 2008 p. 3068-9.]</w:t>
      </w:r>
    </w:p>
    <w:p>
      <w:pPr>
        <w:pStyle w:val="yHeading3"/>
        <w:spacing w:after="240"/>
      </w:pPr>
      <w:bookmarkStart w:id="128" w:name="_Toc100631333"/>
      <w:bookmarkStart w:id="129" w:name="_Toc102451462"/>
      <w:bookmarkStart w:id="130" w:name="_Toc139104717"/>
      <w:bookmarkStart w:id="131" w:name="_Toc139276715"/>
      <w:bookmarkStart w:id="132" w:name="_Toc171051734"/>
      <w:bookmarkStart w:id="133" w:name="_Toc198631554"/>
      <w:bookmarkStart w:id="134" w:name="_Toc202521834"/>
      <w:bookmarkStart w:id="135" w:name="_Toc203535229"/>
      <w:bookmarkStart w:id="136" w:name="_Toc207168614"/>
      <w:r>
        <w:rPr>
          <w:rStyle w:val="CharSDivNo"/>
        </w:rPr>
        <w:t>Division 2</w:t>
      </w:r>
      <w:r>
        <w:rPr>
          <w:b w:val="0"/>
        </w:rPr>
        <w:t> — </w:t>
      </w:r>
      <w:r>
        <w:rPr>
          <w:rStyle w:val="CharSDivText"/>
        </w:rPr>
        <w:t>Civil jurisdiction</w:t>
      </w:r>
      <w:bookmarkEnd w:id="128"/>
      <w:bookmarkEnd w:id="129"/>
      <w:bookmarkEnd w:id="130"/>
      <w:bookmarkEnd w:id="131"/>
      <w:bookmarkEnd w:id="132"/>
      <w:bookmarkEnd w:id="133"/>
      <w:bookmarkEnd w:id="134"/>
      <w:bookmarkEnd w:id="135"/>
      <w:bookmarkEnd w:id="136"/>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37" w:name="_Toc100631334"/>
      <w:bookmarkStart w:id="138" w:name="_Toc102451463"/>
      <w:r>
        <w:tab/>
        <w:t>[Division 2 amended in Gazette 23 Jun 2006 p. 2179</w:t>
      </w:r>
      <w:r>
        <w:noBreakHyphen/>
        <w:t>81; 26 Jun 2007 p. 3034-5; 27 Jun 2008 p. 3069-70.]</w:t>
      </w:r>
    </w:p>
    <w:p>
      <w:pPr>
        <w:pStyle w:val="yHeading3"/>
        <w:spacing w:after="240"/>
      </w:pPr>
      <w:bookmarkStart w:id="139" w:name="_Toc139104718"/>
      <w:bookmarkStart w:id="140" w:name="_Toc139276716"/>
      <w:bookmarkStart w:id="141" w:name="_Toc171051735"/>
      <w:bookmarkStart w:id="142" w:name="_Toc198631555"/>
      <w:bookmarkStart w:id="143" w:name="_Toc202521835"/>
      <w:bookmarkStart w:id="144" w:name="_Toc203535230"/>
      <w:bookmarkStart w:id="145" w:name="_Toc207168615"/>
      <w:r>
        <w:rPr>
          <w:rStyle w:val="CharSDivNo"/>
        </w:rPr>
        <w:t>Division 3</w:t>
      </w:r>
      <w:r>
        <w:rPr>
          <w:b w:val="0"/>
        </w:rPr>
        <w:t> — </w:t>
      </w:r>
      <w:r>
        <w:rPr>
          <w:rStyle w:val="CharSDivText"/>
        </w:rPr>
        <w:t>Criminal jurisdiction</w:t>
      </w:r>
      <w:bookmarkEnd w:id="137"/>
      <w:bookmarkEnd w:id="138"/>
      <w:bookmarkEnd w:id="139"/>
      <w:bookmarkEnd w:id="140"/>
      <w:bookmarkEnd w:id="141"/>
      <w:bookmarkEnd w:id="142"/>
      <w:bookmarkEnd w:id="143"/>
      <w:bookmarkEnd w:id="144"/>
      <w:bookmarkEnd w:id="145"/>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46" w:name="_Toc100631335"/>
      <w:r>
        <w:tab/>
        <w:t>[Division 3 amended in Gazette 23 Jun 2006 p. 2181; 26 Jun 2007 p. 3035; 27 Jun 2008 p. 3070.]</w:t>
      </w:r>
    </w:p>
    <w:p>
      <w:pPr>
        <w:pStyle w:val="yScheduleHeading"/>
      </w:pPr>
      <w:bookmarkStart w:id="147" w:name="_Toc102451464"/>
      <w:bookmarkStart w:id="148" w:name="_Toc139104719"/>
      <w:bookmarkStart w:id="149" w:name="_Toc139276717"/>
      <w:bookmarkStart w:id="150" w:name="_Toc171051736"/>
      <w:bookmarkStart w:id="151" w:name="_Toc198631556"/>
      <w:bookmarkStart w:id="152" w:name="_Toc202521836"/>
      <w:bookmarkStart w:id="153" w:name="_Toc203535231"/>
      <w:bookmarkStart w:id="154" w:name="_Toc207168616"/>
      <w:r>
        <w:rPr>
          <w:rStyle w:val="CharSchNo"/>
        </w:rPr>
        <w:t>Schedule 2</w:t>
      </w:r>
      <w:r>
        <w:rPr>
          <w:rStyle w:val="CharSDivNo"/>
        </w:rPr>
        <w:t> </w:t>
      </w:r>
      <w:r>
        <w:t>—</w:t>
      </w:r>
      <w:r>
        <w:rPr>
          <w:rStyle w:val="CharSDivText"/>
        </w:rPr>
        <w:t> </w:t>
      </w:r>
      <w:r>
        <w:rPr>
          <w:rStyle w:val="CharSchText"/>
        </w:rPr>
        <w:t>Forms</w:t>
      </w:r>
      <w:bookmarkEnd w:id="146"/>
      <w:bookmarkEnd w:id="147"/>
      <w:bookmarkEnd w:id="148"/>
      <w:bookmarkEnd w:id="149"/>
      <w:bookmarkEnd w:id="150"/>
      <w:bookmarkEnd w:id="151"/>
      <w:bookmarkEnd w:id="152"/>
      <w:bookmarkEnd w:id="153"/>
      <w:bookmarkEnd w:id="154"/>
    </w:p>
    <w:p>
      <w:pPr>
        <w:pStyle w:val="yShoulderClause"/>
      </w:pPr>
      <w:r>
        <w:t>[r. 4(6), 8(6), 13(2)]</w:t>
      </w:r>
    </w:p>
    <w:p>
      <w:pPr>
        <w:pStyle w:val="yHeading5"/>
      </w:pPr>
      <w:bookmarkStart w:id="155" w:name="_Toc96398510"/>
      <w:bookmarkStart w:id="156" w:name="_Toc96417044"/>
      <w:bookmarkStart w:id="157" w:name="_Toc100631336"/>
      <w:bookmarkStart w:id="158" w:name="_Toc102451465"/>
      <w:bookmarkStart w:id="159" w:name="_Toc207168617"/>
      <w:r>
        <w:rPr>
          <w:rStyle w:val="CharSClsNo"/>
        </w:rPr>
        <w:t>1</w:t>
      </w:r>
      <w:r>
        <w:t>.</w:t>
      </w:r>
      <w:r>
        <w:tab/>
        <w:t>Declaration that a person is a small business or a non</w:t>
      </w:r>
      <w:r>
        <w:noBreakHyphen/>
        <w:t>profit association</w:t>
      </w:r>
      <w:bookmarkEnd w:id="155"/>
      <w:bookmarkEnd w:id="156"/>
      <w:bookmarkEnd w:id="157"/>
      <w:bookmarkEnd w:id="158"/>
      <w:bookmarkEnd w:id="159"/>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60" w:name="_Toc96398511"/>
      <w:bookmarkStart w:id="161" w:name="_Toc96417045"/>
      <w:bookmarkStart w:id="162" w:name="_Toc100631337"/>
      <w:bookmarkStart w:id="163" w:name="_Toc102451466"/>
      <w:bookmarkStart w:id="164" w:name="_Toc207168618"/>
      <w:r>
        <w:rPr>
          <w:rStyle w:val="CharSClsNo"/>
        </w:rPr>
        <w:t>2</w:t>
      </w:r>
      <w:r>
        <w:t>.</w:t>
      </w:r>
      <w:r>
        <w:tab/>
        <w:t>Application to remit fees</w:t>
      </w:r>
      <w:bookmarkEnd w:id="160"/>
      <w:bookmarkEnd w:id="161"/>
      <w:bookmarkEnd w:id="162"/>
      <w:bookmarkEnd w:id="163"/>
      <w:bookmarkEnd w:id="16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65" w:name="_Toc100631338"/>
      <w:bookmarkStart w:id="166" w:name="_Toc102451467"/>
      <w:bookmarkStart w:id="167" w:name="_Toc207168619"/>
      <w:r>
        <w:rPr>
          <w:rStyle w:val="CharSClsNo"/>
        </w:rPr>
        <w:t>3</w:t>
      </w:r>
      <w:r>
        <w:t>.</w:t>
      </w:r>
      <w:r>
        <w:tab/>
        <w:t>Application for determination of dispute about fees</w:t>
      </w:r>
      <w:bookmarkEnd w:id="165"/>
      <w:bookmarkEnd w:id="166"/>
      <w:bookmarkEnd w:id="16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68" w:name="_Toc102451468"/>
      <w:bookmarkStart w:id="169" w:name="_Toc139104723"/>
      <w:bookmarkStart w:id="170" w:name="_Toc139276721"/>
      <w:bookmarkStart w:id="171" w:name="_Toc171051740"/>
      <w:bookmarkStart w:id="172" w:name="_Toc198631560"/>
      <w:bookmarkStart w:id="173" w:name="_Toc202521840"/>
      <w:bookmarkStart w:id="174" w:name="_Toc203535235"/>
      <w:bookmarkStart w:id="175" w:name="_Toc207168620"/>
      <w:r>
        <w:t>Notes</w:t>
      </w:r>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76" w:name="_Toc70311430"/>
      <w:bookmarkStart w:id="177" w:name="_Toc102451469"/>
      <w:bookmarkStart w:id="178" w:name="_Toc207168621"/>
      <w:r>
        <w:t>Compilation table</w:t>
      </w:r>
      <w:bookmarkEnd w:id="176"/>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Borders>
              <w:bottom w:val="single" w:sz="4" w:space="0" w:color="auto"/>
            </w:tcBorders>
          </w:tcPr>
          <w:p>
            <w:pPr>
              <w:pStyle w:val="nTable"/>
              <w:rPr>
                <w:i/>
                <w:sz w:val="19"/>
              </w:rPr>
            </w:pPr>
            <w:r>
              <w:rPr>
                <w:i/>
                <w:sz w:val="19"/>
              </w:rPr>
              <w:t>Magistrates Court (Fees) Amendment Regulations (No. 2) 2008</w:t>
            </w:r>
          </w:p>
        </w:tc>
        <w:tc>
          <w:tcPr>
            <w:tcW w:w="1276" w:type="dxa"/>
            <w:tcBorders>
              <w:bottom w:val="single" w:sz="4" w:space="0" w:color="auto"/>
            </w:tcBorders>
          </w:tcPr>
          <w:p>
            <w:pPr>
              <w:pStyle w:val="nTable"/>
              <w:rPr>
                <w:sz w:val="19"/>
              </w:rPr>
            </w:pPr>
            <w:r>
              <w:rPr>
                <w:sz w:val="19"/>
              </w:rPr>
              <w:t>27 Jun 2008 p. 3068-70</w:t>
            </w:r>
          </w:p>
        </w:tc>
        <w:tc>
          <w:tcPr>
            <w:tcW w:w="2693" w:type="dxa"/>
            <w:tcBorders>
              <w:bottom w:val="single" w:sz="4" w:space="0" w:color="auto"/>
            </w:tcBorders>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9" w:name="_Toc534778309"/>
      <w:bookmarkStart w:id="180" w:name="_Toc7405063"/>
      <w:bookmarkStart w:id="181" w:name="_Toc207168622"/>
      <w:r>
        <w:rPr>
          <w:snapToGrid w:val="0"/>
        </w:rPr>
        <w:t>Provisions that have not come into operation</w:t>
      </w:r>
      <w:bookmarkEnd w:id="179"/>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tcBorders>
          </w:tcPr>
          <w:p>
            <w:pPr>
              <w:pStyle w:val="nTable"/>
              <w:rPr>
                <w:sz w:val="19"/>
              </w:rPr>
            </w:pPr>
            <w:r>
              <w:rPr>
                <w:sz w:val="19"/>
              </w:rPr>
              <w:t>16 May 2008 p. 1910-11</w:t>
            </w:r>
          </w:p>
        </w:tc>
        <w:tc>
          <w:tcPr>
            <w:tcW w:w="2693" w:type="dxa"/>
            <w:tcBorders>
              <w:top w:val="single" w:sz="4" w:space="0" w:color="auto"/>
            </w:tcBorders>
          </w:tcPr>
          <w:p>
            <w:pPr>
              <w:pStyle w:val="nTable"/>
              <w:rPr>
                <w:sz w:val="19"/>
              </w:rPr>
            </w:pP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Borders>
              <w:bottom w:val="single" w:sz="4" w:space="0" w:color="auto"/>
            </w:tcBorders>
          </w:tcPr>
          <w:p>
            <w:pPr>
              <w:pStyle w:val="nTable"/>
              <w:rPr>
                <w:i/>
                <w:sz w:val="19"/>
              </w:rPr>
            </w:pPr>
            <w:r>
              <w:rPr>
                <w:i/>
                <w:sz w:val="19"/>
              </w:rPr>
              <w:t>Magistrates Court (Fees) Amendment Regulations (No. 3) 2008</w:t>
            </w:r>
            <w:r>
              <w:rPr>
                <w:iCs/>
                <w:sz w:val="19"/>
              </w:rPr>
              <w:t xml:space="preserve"> r. 3 and 4 </w:t>
            </w:r>
            <w:r>
              <w:rPr>
                <w:iCs/>
                <w:sz w:val="19"/>
                <w:vertAlign w:val="superscript"/>
              </w:rPr>
              <w:t>3</w:t>
            </w:r>
          </w:p>
        </w:tc>
        <w:tc>
          <w:tcPr>
            <w:tcW w:w="1276" w:type="dxa"/>
            <w:tcBorders>
              <w:bottom w:val="single" w:sz="4" w:space="0" w:color="auto"/>
            </w:tcBorders>
          </w:tcPr>
          <w:p>
            <w:pPr>
              <w:pStyle w:val="nTable"/>
              <w:rPr>
                <w:sz w:val="19"/>
              </w:rPr>
            </w:pPr>
            <w:r>
              <w:rPr>
                <w:sz w:val="19"/>
              </w:rPr>
              <w:t>22 Aug 2008 p. 3669-70</w:t>
            </w:r>
          </w:p>
        </w:tc>
        <w:tc>
          <w:tcPr>
            <w:tcW w:w="2693" w:type="dxa"/>
            <w:tcBorders>
              <w:bottom w:val="single" w:sz="4" w:space="0" w:color="auto"/>
            </w:tcBorders>
          </w:tcPr>
          <w:p>
            <w:pPr>
              <w:pStyle w:val="nTable"/>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rPr>
        <w:t>Magistrates Court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82" w:name="_Toc423332724"/>
      <w:bookmarkStart w:id="183" w:name="_Toc425219443"/>
      <w:bookmarkStart w:id="184" w:name="_Toc426249310"/>
      <w:bookmarkStart w:id="185" w:name="_Toc449924706"/>
      <w:bookmarkStart w:id="186" w:name="_Toc449947724"/>
      <w:bookmarkStart w:id="187" w:name="_Toc454185715"/>
      <w:bookmarkStart w:id="188" w:name="_Toc515958688"/>
      <w:r>
        <w:rPr>
          <w:rStyle w:val="CharSectno"/>
        </w:rPr>
        <w:t>3</w:t>
      </w:r>
      <w:r>
        <w:rPr>
          <w:snapToGrid w:val="0"/>
        </w:rPr>
        <w:t>.</w:t>
      </w:r>
      <w:r>
        <w:rPr>
          <w:snapToGrid w:val="0"/>
        </w:rPr>
        <w:tab/>
        <w:t>The regulations amended</w:t>
      </w:r>
      <w:bookmarkEnd w:id="182"/>
      <w:bookmarkEnd w:id="183"/>
      <w:bookmarkEnd w:id="184"/>
      <w:bookmarkEnd w:id="185"/>
      <w:bookmarkEnd w:id="186"/>
      <w:bookmarkEnd w:id="187"/>
      <w:bookmarkEnd w:id="188"/>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to —</w:t>
      </w:r>
    </w:p>
    <w:p>
      <w:pPr>
        <w:pStyle w:val="nzIndenta"/>
      </w:pPr>
      <w:r>
        <w:tab/>
        <w:t>(a)</w:t>
      </w:r>
      <w:r>
        <w:tab/>
        <w:t>if the information is not provided by email — a fee in the amount referred to in Schedule 1 Division 1 item 5(a) for each case specified in the information;</w:t>
      </w:r>
    </w:p>
    <w:p>
      <w:pPr>
        <w:pStyle w:val="nzIndenta"/>
      </w:pPr>
      <w:r>
        <w:tab/>
        <w:t>(b)</w:t>
      </w:r>
      <w:r>
        <w:tab/>
        <w:t>if the information is provided by email — an annual fee in the amount referred to in Schedule 1 Division 1 item 5(b) for all information provided in the relevant year.</w:t>
      </w:r>
    </w:p>
    <w:p>
      <w:pPr>
        <w:pStyle w:val="MiscClose"/>
      </w:pPr>
      <w:r>
        <w:t xml:space="preserve">    ”.</w:t>
      </w:r>
    </w:p>
    <w:p>
      <w:pPr>
        <w:pStyle w:val="MiscClose"/>
      </w:pPr>
      <w:r>
        <w:t>”.</w:t>
      </w: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905"/>
    <w:docVar w:name="WAFER_20151208105905" w:val="RemoveTrackChanges"/>
    <w:docVar w:name="WAFER_20151208105905_GUID" w:val="d61b3cfb-84f7-458f-9afe-a352f82b59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6942</Words>
  <Characters>35545</Characters>
  <Application>Microsoft Office Word</Application>
  <DocSecurity>0</DocSecurity>
  <Lines>1615</Lines>
  <Paragraphs>867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41620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2005 - 00-g0-04</dc:title>
  <dc:subject/>
  <dc:creator/>
  <cp:keywords/>
  <dc:description/>
  <cp:lastModifiedBy>svcMRProcess</cp:lastModifiedBy>
  <cp:revision>4</cp:revision>
  <cp:lastPrinted>2005-04-06T23:51:00Z</cp:lastPrinted>
  <dcterms:created xsi:type="dcterms:W3CDTF">2018-09-12T16:25:00Z</dcterms:created>
  <dcterms:modified xsi:type="dcterms:W3CDTF">2018-09-12T16:25:00Z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37120</vt:i4>
  </property>
  <property fmtid="{D5CDD505-2E9C-101B-9397-08002B2CF9AE}" pid="6" name="AsAtDate">
    <vt:lpwstr>22 Aug 2008</vt:lpwstr>
  </property>
  <property fmtid="{D5CDD505-2E9C-101B-9397-08002B2CF9AE}" pid="7" name="Suffix">
    <vt:lpwstr>00-g0-04</vt:lpwstr>
  </property>
</Properties>
</file>