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Corporation (Business Disposal)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_Toc122836110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_Toc122836111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_Toc122836112 \h </w:instrText>
      </w:r>
      <w:r>
        <w:fldChar w:fldCharType="separate"/>
      </w:r>
      <w:r>
        <w:t>3</w:t>
      </w:r>
      <w:r>
        <w:fldChar w:fldCharType="end"/>
      </w:r>
    </w:p>
    <w:p>
      <w:pPr>
        <w:pStyle w:val="TOC8"/>
        <w:rPr>
          <w:sz w:val="24"/>
          <w:szCs w:val="24"/>
        </w:rPr>
      </w:pPr>
      <w:r>
        <w:rPr>
          <w:szCs w:val="24"/>
        </w:rPr>
        <w:t>4.</w:t>
      </w:r>
      <w:r>
        <w:rPr>
          <w:szCs w:val="24"/>
        </w:rPr>
        <w:tab/>
        <w:t>Crown bound</w:t>
      </w:r>
      <w:r>
        <w:tab/>
      </w:r>
      <w:r>
        <w:fldChar w:fldCharType="begin"/>
      </w:r>
      <w:r>
        <w:instrText xml:space="preserve"> PAGEREF _Toc122836113 \h </w:instrText>
      </w:r>
      <w:r>
        <w:fldChar w:fldCharType="separate"/>
      </w:r>
      <w:r>
        <w:t>3</w:t>
      </w:r>
      <w:r>
        <w:fldChar w:fldCharType="end"/>
      </w:r>
    </w:p>
    <w:p>
      <w:pPr>
        <w:pStyle w:val="TOC2"/>
        <w:tabs>
          <w:tab w:val="right" w:leader="dot" w:pos="7086"/>
        </w:tabs>
        <w:rPr>
          <w:b w:val="0"/>
          <w:sz w:val="24"/>
          <w:szCs w:val="24"/>
        </w:rPr>
      </w:pPr>
      <w:r>
        <w:rPr>
          <w:szCs w:val="30"/>
        </w:rPr>
        <w:t>Part 2 — The disposal</w:t>
      </w:r>
    </w:p>
    <w:p>
      <w:pPr>
        <w:pStyle w:val="TOC8"/>
        <w:rPr>
          <w:sz w:val="24"/>
          <w:szCs w:val="24"/>
        </w:rPr>
      </w:pPr>
      <w:r>
        <w:rPr>
          <w:szCs w:val="24"/>
        </w:rPr>
        <w:t>5.</w:t>
      </w:r>
      <w:r>
        <w:rPr>
          <w:szCs w:val="24"/>
        </w:rPr>
        <w:tab/>
        <w:t>Disposal of business and property authorised</w:t>
      </w:r>
      <w:r>
        <w:tab/>
      </w:r>
      <w:r>
        <w:fldChar w:fldCharType="begin"/>
      </w:r>
      <w:r>
        <w:instrText xml:space="preserve"> PAGEREF _Toc122836115 \h </w:instrText>
      </w:r>
      <w:r>
        <w:fldChar w:fldCharType="separate"/>
      </w:r>
      <w:r>
        <w:t>4</w:t>
      </w:r>
      <w:r>
        <w:fldChar w:fldCharType="end"/>
      </w:r>
    </w:p>
    <w:p>
      <w:pPr>
        <w:pStyle w:val="TOC8"/>
        <w:rPr>
          <w:sz w:val="24"/>
          <w:szCs w:val="24"/>
        </w:rPr>
      </w:pPr>
      <w:r>
        <w:rPr>
          <w:szCs w:val="24"/>
        </w:rPr>
        <w:t>6.</w:t>
      </w:r>
      <w:r>
        <w:rPr>
          <w:szCs w:val="24"/>
        </w:rPr>
        <w:tab/>
        <w:t>Minister may order disposal</w:t>
      </w:r>
      <w:r>
        <w:tab/>
      </w:r>
      <w:r>
        <w:fldChar w:fldCharType="begin"/>
      </w:r>
      <w:r>
        <w:instrText xml:space="preserve"> PAGEREF _Toc122836116 \h </w:instrText>
      </w:r>
      <w:r>
        <w:fldChar w:fldCharType="separate"/>
      </w:r>
      <w:r>
        <w:t>5</w:t>
      </w:r>
      <w:r>
        <w:fldChar w:fldCharType="end"/>
      </w:r>
    </w:p>
    <w:p>
      <w:pPr>
        <w:pStyle w:val="TOC8"/>
        <w:rPr>
          <w:sz w:val="24"/>
          <w:szCs w:val="24"/>
        </w:rPr>
      </w:pPr>
      <w:r>
        <w:rPr>
          <w:szCs w:val="24"/>
        </w:rPr>
        <w:t>7.</w:t>
      </w:r>
      <w:r>
        <w:rPr>
          <w:szCs w:val="24"/>
        </w:rPr>
        <w:tab/>
        <w:t>Minister may give directions to corporation</w:t>
      </w:r>
      <w:r>
        <w:tab/>
      </w:r>
      <w:r>
        <w:fldChar w:fldCharType="begin"/>
      </w:r>
      <w:r>
        <w:instrText xml:space="preserve"> PAGEREF _Toc122836117 \h </w:instrText>
      </w:r>
      <w:r>
        <w:fldChar w:fldCharType="separate"/>
      </w:r>
      <w:r>
        <w:t>5</w:t>
      </w:r>
      <w:r>
        <w:fldChar w:fldCharType="end"/>
      </w:r>
    </w:p>
    <w:p>
      <w:pPr>
        <w:pStyle w:val="TOC8"/>
        <w:rPr>
          <w:sz w:val="24"/>
          <w:szCs w:val="24"/>
        </w:rPr>
      </w:pPr>
      <w:r>
        <w:rPr>
          <w:szCs w:val="24"/>
        </w:rPr>
        <w:t>8.</w:t>
      </w:r>
      <w:r>
        <w:rPr>
          <w:szCs w:val="24"/>
        </w:rPr>
        <w:tab/>
        <w:t>Corporation to comply with directions</w:t>
      </w:r>
      <w:r>
        <w:tab/>
      </w:r>
      <w:r>
        <w:fldChar w:fldCharType="begin"/>
      </w:r>
      <w:r>
        <w:instrText xml:space="preserve"> PAGEREF _Toc122836118 \h </w:instrText>
      </w:r>
      <w:r>
        <w:fldChar w:fldCharType="separate"/>
      </w:r>
      <w:r>
        <w:t>6</w:t>
      </w:r>
      <w:r>
        <w:fldChar w:fldCharType="end"/>
      </w:r>
    </w:p>
    <w:p>
      <w:pPr>
        <w:pStyle w:val="TOC8"/>
        <w:rPr>
          <w:sz w:val="24"/>
          <w:szCs w:val="24"/>
        </w:rPr>
      </w:pPr>
      <w:r>
        <w:rPr>
          <w:szCs w:val="24"/>
        </w:rPr>
        <w:t>9.</w:t>
      </w:r>
      <w:r>
        <w:rPr>
          <w:szCs w:val="24"/>
        </w:rPr>
        <w:tab/>
        <w:t>General powers</w:t>
      </w:r>
      <w:r>
        <w:tab/>
      </w:r>
      <w:r>
        <w:fldChar w:fldCharType="begin"/>
      </w:r>
      <w:r>
        <w:instrText xml:space="preserve"> PAGEREF _Toc122836119 \h </w:instrText>
      </w:r>
      <w:r>
        <w:fldChar w:fldCharType="separate"/>
      </w:r>
      <w:r>
        <w:t>7</w:t>
      </w:r>
      <w:r>
        <w:fldChar w:fldCharType="end"/>
      </w:r>
    </w:p>
    <w:p>
      <w:pPr>
        <w:pStyle w:val="TOC8"/>
        <w:rPr>
          <w:sz w:val="24"/>
          <w:szCs w:val="24"/>
        </w:rPr>
      </w:pPr>
      <w:r>
        <w:rPr>
          <w:szCs w:val="24"/>
        </w:rPr>
        <w:t>10.</w:t>
      </w:r>
      <w:r>
        <w:rPr>
          <w:szCs w:val="24"/>
        </w:rPr>
        <w:tab/>
        <w:t>Corporate vehicle’s constitution to contain certain provisions</w:t>
      </w:r>
      <w:r>
        <w:tab/>
      </w:r>
      <w:r>
        <w:fldChar w:fldCharType="begin"/>
      </w:r>
      <w:r>
        <w:instrText xml:space="preserve"> PAGEREF _Toc122836120 \h </w:instrText>
      </w:r>
      <w:r>
        <w:fldChar w:fldCharType="separate"/>
      </w:r>
      <w:r>
        <w:t>7</w:t>
      </w:r>
      <w:r>
        <w:fldChar w:fldCharType="end"/>
      </w:r>
    </w:p>
    <w:p>
      <w:pPr>
        <w:pStyle w:val="TOC8"/>
        <w:rPr>
          <w:sz w:val="24"/>
          <w:szCs w:val="24"/>
        </w:rPr>
      </w:pPr>
      <w:r>
        <w:rPr>
          <w:szCs w:val="24"/>
        </w:rPr>
        <w:t>11.</w:t>
      </w:r>
      <w:r>
        <w:rPr>
          <w:szCs w:val="24"/>
        </w:rPr>
        <w:tab/>
        <w:t>Cornerstone investor’s share entitlement to be frozen for 2 years</w:t>
      </w:r>
      <w:r>
        <w:tab/>
      </w:r>
      <w:r>
        <w:fldChar w:fldCharType="begin"/>
      </w:r>
      <w:r>
        <w:instrText xml:space="preserve"> PAGEREF _Toc122836121 \h </w:instrText>
      </w:r>
      <w:r>
        <w:fldChar w:fldCharType="separate"/>
      </w:r>
      <w:r>
        <w:t>8</w:t>
      </w:r>
      <w:r>
        <w:fldChar w:fldCharType="end"/>
      </w:r>
    </w:p>
    <w:p>
      <w:pPr>
        <w:pStyle w:val="TOC8"/>
        <w:rPr>
          <w:sz w:val="24"/>
          <w:szCs w:val="24"/>
        </w:rPr>
      </w:pPr>
      <w:r>
        <w:rPr>
          <w:szCs w:val="24"/>
        </w:rPr>
        <w:t>12.</w:t>
      </w:r>
      <w:r>
        <w:rPr>
          <w:szCs w:val="24"/>
        </w:rPr>
        <w:tab/>
        <w:t>Restrictions on share dealings</w:t>
      </w:r>
      <w:r>
        <w:tab/>
      </w:r>
      <w:r>
        <w:fldChar w:fldCharType="begin"/>
      </w:r>
      <w:r>
        <w:instrText xml:space="preserve"> PAGEREF _Toc122836122 \h </w:instrText>
      </w:r>
      <w:r>
        <w:fldChar w:fldCharType="separate"/>
      </w:r>
      <w:r>
        <w:t>9</w:t>
      </w:r>
      <w:r>
        <w:fldChar w:fldCharType="end"/>
      </w:r>
    </w:p>
    <w:p>
      <w:pPr>
        <w:pStyle w:val="TOC8"/>
        <w:rPr>
          <w:sz w:val="24"/>
          <w:szCs w:val="24"/>
        </w:rPr>
      </w:pPr>
      <w:r>
        <w:rPr>
          <w:szCs w:val="24"/>
        </w:rPr>
        <w:t>12A.</w:t>
      </w:r>
      <w:r>
        <w:rPr>
          <w:szCs w:val="24"/>
        </w:rPr>
        <w:tab/>
        <w:t>Exclusion of Corporations legislation</w:t>
      </w:r>
      <w:r>
        <w:tab/>
      </w:r>
      <w:r>
        <w:fldChar w:fldCharType="begin"/>
      </w:r>
      <w:r>
        <w:instrText xml:space="preserve"> PAGEREF _Toc122836123 \h </w:instrText>
      </w:r>
      <w:r>
        <w:fldChar w:fldCharType="separate"/>
      </w:r>
      <w:r>
        <w:t>10</w:t>
      </w:r>
      <w:r>
        <w:fldChar w:fldCharType="end"/>
      </w:r>
    </w:p>
    <w:p>
      <w:pPr>
        <w:pStyle w:val="TOC8"/>
        <w:rPr>
          <w:sz w:val="24"/>
          <w:szCs w:val="24"/>
        </w:rPr>
      </w:pPr>
      <w:r>
        <w:rPr>
          <w:szCs w:val="24"/>
        </w:rPr>
        <w:t>13.</w:t>
      </w:r>
      <w:r>
        <w:rPr>
          <w:szCs w:val="24"/>
        </w:rPr>
        <w:tab/>
        <w:t>Liability of management for offence by body corporate</w:t>
      </w:r>
      <w:r>
        <w:tab/>
      </w:r>
      <w:r>
        <w:fldChar w:fldCharType="begin"/>
      </w:r>
      <w:r>
        <w:instrText xml:space="preserve"> PAGEREF _Toc122836124 \h </w:instrText>
      </w:r>
      <w:r>
        <w:fldChar w:fldCharType="separate"/>
      </w:r>
      <w:r>
        <w:t>10</w:t>
      </w:r>
      <w:r>
        <w:fldChar w:fldCharType="end"/>
      </w:r>
    </w:p>
    <w:p>
      <w:pPr>
        <w:pStyle w:val="TOC2"/>
        <w:tabs>
          <w:tab w:val="right" w:leader="dot" w:pos="7086"/>
        </w:tabs>
        <w:rPr>
          <w:b w:val="0"/>
          <w:sz w:val="24"/>
          <w:szCs w:val="24"/>
        </w:rPr>
      </w:pPr>
      <w:r>
        <w:rPr>
          <w:szCs w:val="30"/>
        </w:rPr>
        <w:t>Part 3 — Implementing disposal and ancillary matters</w:t>
      </w:r>
    </w:p>
    <w:p>
      <w:pPr>
        <w:pStyle w:val="TOC4"/>
        <w:tabs>
          <w:tab w:val="right" w:leader="dot" w:pos="7086"/>
        </w:tabs>
        <w:rPr>
          <w:b w:val="0"/>
          <w:sz w:val="24"/>
          <w:szCs w:val="24"/>
        </w:rPr>
      </w:pPr>
      <w:r>
        <w:rPr>
          <w:szCs w:val="26"/>
        </w:rPr>
        <w:t>Division 1 — Transfer orders</w:t>
      </w:r>
    </w:p>
    <w:p>
      <w:pPr>
        <w:pStyle w:val="TOC8"/>
        <w:rPr>
          <w:sz w:val="24"/>
          <w:szCs w:val="24"/>
        </w:rPr>
      </w:pPr>
      <w:r>
        <w:rPr>
          <w:szCs w:val="24"/>
        </w:rPr>
        <w:t>14.</w:t>
      </w:r>
      <w:r>
        <w:rPr>
          <w:szCs w:val="24"/>
        </w:rPr>
        <w:tab/>
        <w:t>Definitions</w:t>
      </w:r>
      <w:r>
        <w:tab/>
      </w:r>
      <w:r>
        <w:fldChar w:fldCharType="begin"/>
      </w:r>
      <w:r>
        <w:instrText xml:space="preserve"> PAGEREF _Toc122836127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Minister may make transfer orders</w:t>
      </w:r>
      <w:r>
        <w:tab/>
      </w:r>
      <w:r>
        <w:fldChar w:fldCharType="begin"/>
      </w:r>
      <w:r>
        <w:instrText xml:space="preserve"> PAGEREF _Toc122836128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Consequences of transfer order</w:t>
      </w:r>
      <w:r>
        <w:tab/>
      </w:r>
      <w:r>
        <w:fldChar w:fldCharType="begin"/>
      </w:r>
      <w:r>
        <w:instrText xml:space="preserve"> PAGEREF _Toc122836129 \h </w:instrText>
      </w:r>
      <w:r>
        <w:fldChar w:fldCharType="separate"/>
      </w:r>
      <w:r>
        <w:t>14</w:t>
      </w:r>
      <w:r>
        <w:fldChar w:fldCharType="end"/>
      </w:r>
    </w:p>
    <w:p>
      <w:pPr>
        <w:pStyle w:val="TOC8"/>
        <w:rPr>
          <w:sz w:val="24"/>
          <w:szCs w:val="24"/>
        </w:rPr>
      </w:pPr>
      <w:r>
        <w:rPr>
          <w:szCs w:val="24"/>
        </w:rPr>
        <w:t>17.</w:t>
      </w:r>
      <w:r>
        <w:rPr>
          <w:szCs w:val="24"/>
        </w:rPr>
        <w:tab/>
        <w:t>Completion of necessary transactions</w:t>
      </w:r>
      <w:r>
        <w:tab/>
      </w:r>
      <w:r>
        <w:fldChar w:fldCharType="begin"/>
      </w:r>
      <w:r>
        <w:instrText xml:space="preserve"> PAGEREF _Toc122836130 \h </w:instrText>
      </w:r>
      <w:r>
        <w:fldChar w:fldCharType="separate"/>
      </w:r>
      <w:r>
        <w:t>15</w:t>
      </w:r>
      <w:r>
        <w:fldChar w:fldCharType="end"/>
      </w:r>
    </w:p>
    <w:p>
      <w:pPr>
        <w:pStyle w:val="TOC8"/>
        <w:rPr>
          <w:sz w:val="24"/>
          <w:szCs w:val="24"/>
        </w:rPr>
      </w:pPr>
      <w:r>
        <w:rPr>
          <w:szCs w:val="24"/>
        </w:rPr>
        <w:t>18.</w:t>
      </w:r>
      <w:r>
        <w:rPr>
          <w:szCs w:val="24"/>
        </w:rPr>
        <w:tab/>
        <w:t>Contracts arising from certain internal arrangements of corporation</w:t>
      </w:r>
      <w:r>
        <w:tab/>
      </w:r>
      <w:r>
        <w:fldChar w:fldCharType="begin"/>
      </w:r>
      <w:r>
        <w:instrText xml:space="preserve"> PAGEREF _Toc122836131 \h </w:instrText>
      </w:r>
      <w:r>
        <w:fldChar w:fldCharType="separate"/>
      </w:r>
      <w:r>
        <w:t>15</w:t>
      </w:r>
      <w:r>
        <w:fldChar w:fldCharType="end"/>
      </w:r>
    </w:p>
    <w:p>
      <w:pPr>
        <w:pStyle w:val="TOC8"/>
        <w:rPr>
          <w:sz w:val="24"/>
          <w:szCs w:val="24"/>
        </w:rPr>
      </w:pPr>
      <w:r>
        <w:rPr>
          <w:szCs w:val="24"/>
        </w:rPr>
        <w:t>19.</w:t>
      </w:r>
      <w:r>
        <w:rPr>
          <w:szCs w:val="24"/>
        </w:rPr>
        <w:tab/>
        <w:t>Arrangements for custody and use of records</w:t>
      </w:r>
      <w:r>
        <w:tab/>
      </w:r>
      <w:r>
        <w:fldChar w:fldCharType="begin"/>
      </w:r>
      <w:r>
        <w:instrText xml:space="preserve"> PAGEREF _Toc122836132 \h </w:instrText>
      </w:r>
      <w:r>
        <w:fldChar w:fldCharType="separate"/>
      </w:r>
      <w:r>
        <w:t>16</w:t>
      </w:r>
      <w:r>
        <w:fldChar w:fldCharType="end"/>
      </w:r>
    </w:p>
    <w:p>
      <w:pPr>
        <w:pStyle w:val="TOC8"/>
        <w:rPr>
          <w:sz w:val="24"/>
          <w:szCs w:val="24"/>
        </w:rPr>
      </w:pPr>
      <w:r>
        <w:rPr>
          <w:szCs w:val="24"/>
        </w:rPr>
        <w:t>20.</w:t>
      </w:r>
      <w:r>
        <w:rPr>
          <w:szCs w:val="24"/>
        </w:rPr>
        <w:tab/>
        <w:t>Registration of documents</w:t>
      </w:r>
      <w:r>
        <w:tab/>
      </w:r>
      <w:r>
        <w:fldChar w:fldCharType="begin"/>
      </w:r>
      <w:r>
        <w:instrText xml:space="preserve"> PAGEREF _Toc122836133 \h </w:instrText>
      </w:r>
      <w:r>
        <w:fldChar w:fldCharType="separate"/>
      </w:r>
      <w:r>
        <w:t>16</w:t>
      </w:r>
      <w:r>
        <w:fldChar w:fldCharType="end"/>
      </w:r>
    </w:p>
    <w:p>
      <w:pPr>
        <w:pStyle w:val="TOC8"/>
        <w:rPr>
          <w:sz w:val="24"/>
          <w:szCs w:val="24"/>
        </w:rPr>
      </w:pPr>
      <w:r>
        <w:rPr>
          <w:szCs w:val="24"/>
        </w:rPr>
        <w:t>21.</w:t>
      </w:r>
      <w:r>
        <w:rPr>
          <w:szCs w:val="24"/>
        </w:rPr>
        <w:tab/>
        <w:t>Rectifying error in transfer order</w:t>
      </w:r>
      <w:r>
        <w:tab/>
      </w:r>
      <w:r>
        <w:fldChar w:fldCharType="begin"/>
      </w:r>
      <w:r>
        <w:instrText xml:space="preserve"> PAGEREF _Toc122836134 \h </w:instrText>
      </w:r>
      <w:r>
        <w:fldChar w:fldCharType="separate"/>
      </w:r>
      <w:r>
        <w:t>16</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22.</w:t>
      </w:r>
      <w:r>
        <w:rPr>
          <w:szCs w:val="24"/>
        </w:rPr>
        <w:tab/>
        <w:t>Assignable nature of the assets</w:t>
      </w:r>
      <w:r>
        <w:tab/>
      </w:r>
      <w:r>
        <w:fldChar w:fldCharType="begin"/>
      </w:r>
      <w:r>
        <w:instrText xml:space="preserve"> PAGEREF _Toc122836136 \h </w:instrText>
      </w:r>
      <w:r>
        <w:fldChar w:fldCharType="separate"/>
      </w:r>
      <w:r>
        <w:t>17</w:t>
      </w:r>
      <w:r>
        <w:fldChar w:fldCharType="end"/>
      </w:r>
    </w:p>
    <w:p>
      <w:pPr>
        <w:pStyle w:val="TOC8"/>
        <w:rPr>
          <w:sz w:val="24"/>
          <w:szCs w:val="24"/>
        </w:rPr>
      </w:pPr>
      <w:r>
        <w:rPr>
          <w:szCs w:val="24"/>
        </w:rPr>
        <w:t>23.</w:t>
      </w:r>
      <w:r>
        <w:rPr>
          <w:szCs w:val="24"/>
        </w:rPr>
        <w:tab/>
        <w:t>Benefits of easements assignable</w:t>
      </w:r>
      <w:r>
        <w:tab/>
      </w:r>
      <w:r>
        <w:fldChar w:fldCharType="begin"/>
      </w:r>
      <w:r>
        <w:instrText xml:space="preserve"> PAGEREF _Toc122836137 \h </w:instrText>
      </w:r>
      <w:r>
        <w:fldChar w:fldCharType="separate"/>
      </w:r>
      <w:r>
        <w:t>17</w:t>
      </w:r>
      <w:r>
        <w:fldChar w:fldCharType="end"/>
      </w:r>
    </w:p>
    <w:p>
      <w:pPr>
        <w:pStyle w:val="TOC8"/>
        <w:rPr>
          <w:sz w:val="24"/>
          <w:szCs w:val="24"/>
        </w:rPr>
      </w:pPr>
      <w:r>
        <w:rPr>
          <w:szCs w:val="24"/>
        </w:rPr>
        <w:t>24.</w:t>
      </w:r>
      <w:r>
        <w:rPr>
          <w:szCs w:val="24"/>
        </w:rPr>
        <w:tab/>
        <w:t>Use of corporation’s staff and facilities</w:t>
      </w:r>
      <w:r>
        <w:tab/>
      </w:r>
      <w:r>
        <w:fldChar w:fldCharType="begin"/>
      </w:r>
      <w:r>
        <w:instrText xml:space="preserve"> PAGEREF _Toc122836138 \h </w:instrText>
      </w:r>
      <w:r>
        <w:fldChar w:fldCharType="separate"/>
      </w:r>
      <w:r>
        <w:t>18</w:t>
      </w:r>
      <w:r>
        <w:fldChar w:fldCharType="end"/>
      </w:r>
    </w:p>
    <w:p>
      <w:pPr>
        <w:pStyle w:val="TOC8"/>
        <w:rPr>
          <w:sz w:val="24"/>
          <w:szCs w:val="24"/>
        </w:rPr>
      </w:pPr>
      <w:r>
        <w:rPr>
          <w:szCs w:val="24"/>
        </w:rPr>
        <w:t>25.</w:t>
      </w:r>
      <w:r>
        <w:rPr>
          <w:szCs w:val="24"/>
        </w:rPr>
        <w:tab/>
        <w:t>Consumer contracts</w:t>
      </w:r>
      <w:r>
        <w:tab/>
      </w:r>
      <w:r>
        <w:fldChar w:fldCharType="begin"/>
      </w:r>
      <w:r>
        <w:instrText xml:space="preserve"> PAGEREF _Toc122836139 \h </w:instrText>
      </w:r>
      <w:r>
        <w:fldChar w:fldCharType="separate"/>
      </w:r>
      <w:r>
        <w:t>18</w:t>
      </w:r>
      <w:r>
        <w:fldChar w:fldCharType="end"/>
      </w:r>
    </w:p>
    <w:p>
      <w:pPr>
        <w:pStyle w:val="TOC8"/>
        <w:rPr>
          <w:sz w:val="24"/>
          <w:szCs w:val="24"/>
        </w:rPr>
      </w:pPr>
      <w:r>
        <w:rPr>
          <w:szCs w:val="24"/>
        </w:rPr>
        <w:t>26.</w:t>
      </w:r>
      <w:r>
        <w:rPr>
          <w:szCs w:val="24"/>
        </w:rPr>
        <w:tab/>
        <w:t>Proceeds of disposal</w:t>
      </w:r>
      <w:r>
        <w:tab/>
      </w:r>
      <w:r>
        <w:fldChar w:fldCharType="begin"/>
      </w:r>
      <w:r>
        <w:instrText xml:space="preserve"> PAGEREF _Toc122836140 \h </w:instrText>
      </w:r>
      <w:r>
        <w:fldChar w:fldCharType="separate"/>
      </w:r>
      <w:r>
        <w:t>19</w:t>
      </w:r>
      <w:r>
        <w:fldChar w:fldCharType="end"/>
      </w:r>
    </w:p>
    <w:p>
      <w:pPr>
        <w:pStyle w:val="TOC8"/>
        <w:rPr>
          <w:sz w:val="24"/>
          <w:szCs w:val="24"/>
        </w:rPr>
      </w:pPr>
      <w:r>
        <w:rPr>
          <w:szCs w:val="24"/>
        </w:rPr>
        <w:t>27.</w:t>
      </w:r>
      <w:r>
        <w:rPr>
          <w:szCs w:val="24"/>
        </w:rPr>
        <w:tab/>
        <w:t>Disclosure of information</w:t>
      </w:r>
      <w:r>
        <w:tab/>
      </w:r>
      <w:r>
        <w:fldChar w:fldCharType="begin"/>
      </w:r>
      <w:r>
        <w:instrText xml:space="preserve"> PAGEREF _Toc122836141 \h </w:instrText>
      </w:r>
      <w:r>
        <w:fldChar w:fldCharType="separate"/>
      </w:r>
      <w:r>
        <w:t>19</w:t>
      </w:r>
      <w:r>
        <w:fldChar w:fldCharType="end"/>
      </w:r>
    </w:p>
    <w:p>
      <w:pPr>
        <w:pStyle w:val="TOC8"/>
        <w:rPr>
          <w:sz w:val="24"/>
          <w:szCs w:val="24"/>
        </w:rPr>
      </w:pPr>
      <w:r>
        <w:rPr>
          <w:szCs w:val="24"/>
        </w:rPr>
        <w:t>28.</w:t>
      </w:r>
      <w:r>
        <w:rPr>
          <w:szCs w:val="24"/>
        </w:rPr>
        <w:tab/>
        <w:t>Auditor General may disclose information</w:t>
      </w:r>
      <w:r>
        <w:tab/>
      </w:r>
      <w:r>
        <w:fldChar w:fldCharType="begin"/>
      </w:r>
      <w:r>
        <w:instrText xml:space="preserve"> PAGEREF _Toc122836142 \h </w:instrText>
      </w:r>
      <w:r>
        <w:fldChar w:fldCharType="separate"/>
      </w:r>
      <w:r>
        <w:t>20</w:t>
      </w:r>
      <w:r>
        <w:fldChar w:fldCharType="end"/>
      </w:r>
    </w:p>
    <w:p>
      <w:pPr>
        <w:pStyle w:val="TOC8"/>
        <w:rPr>
          <w:sz w:val="24"/>
          <w:szCs w:val="24"/>
        </w:rPr>
      </w:pPr>
      <w:r>
        <w:rPr>
          <w:szCs w:val="24"/>
        </w:rPr>
        <w:t>29.</w:t>
      </w:r>
      <w:r>
        <w:rPr>
          <w:szCs w:val="24"/>
        </w:rPr>
        <w:tab/>
        <w:t>Offence of disclosing information</w:t>
      </w:r>
      <w:r>
        <w:tab/>
      </w:r>
      <w:r>
        <w:fldChar w:fldCharType="begin"/>
      </w:r>
      <w:r>
        <w:instrText xml:space="preserve"> PAGEREF _Toc122836143 \h </w:instrText>
      </w:r>
      <w:r>
        <w:fldChar w:fldCharType="separate"/>
      </w:r>
      <w:r>
        <w:t>21</w:t>
      </w:r>
      <w:r>
        <w:fldChar w:fldCharType="end"/>
      </w:r>
    </w:p>
    <w:p>
      <w:pPr>
        <w:pStyle w:val="TOC8"/>
        <w:rPr>
          <w:sz w:val="24"/>
          <w:szCs w:val="24"/>
        </w:rPr>
      </w:pPr>
      <w:r>
        <w:rPr>
          <w:szCs w:val="24"/>
        </w:rPr>
        <w:t>30.</w:t>
      </w:r>
      <w:r>
        <w:rPr>
          <w:szCs w:val="24"/>
        </w:rPr>
        <w:tab/>
        <w:t>Saving</w:t>
      </w:r>
      <w:r>
        <w:tab/>
      </w:r>
      <w:r>
        <w:fldChar w:fldCharType="begin"/>
      </w:r>
      <w:r>
        <w:instrText xml:space="preserve"> PAGEREF _Toc122836144 \h </w:instrText>
      </w:r>
      <w:r>
        <w:fldChar w:fldCharType="separate"/>
      </w:r>
      <w:r>
        <w:t>21</w:t>
      </w:r>
      <w:r>
        <w:fldChar w:fldCharType="end"/>
      </w:r>
    </w:p>
    <w:p>
      <w:pPr>
        <w:pStyle w:val="TOC8"/>
        <w:rPr>
          <w:sz w:val="24"/>
          <w:szCs w:val="24"/>
        </w:rPr>
      </w:pPr>
      <w:r>
        <w:rPr>
          <w:szCs w:val="24"/>
        </w:rPr>
        <w:t>31.</w:t>
      </w:r>
      <w:r>
        <w:rPr>
          <w:szCs w:val="24"/>
        </w:rPr>
        <w:tab/>
        <w:t>State indemnities and guarantees</w:t>
      </w:r>
      <w:r>
        <w:tab/>
      </w:r>
      <w:r>
        <w:fldChar w:fldCharType="begin"/>
      </w:r>
      <w:r>
        <w:instrText xml:space="preserve"> PAGEREF _Toc122836145 \h </w:instrText>
      </w:r>
      <w:r>
        <w:fldChar w:fldCharType="separate"/>
      </w:r>
      <w:r>
        <w:t>22</w:t>
      </w:r>
      <w:r>
        <w:fldChar w:fldCharType="end"/>
      </w:r>
    </w:p>
    <w:p>
      <w:pPr>
        <w:pStyle w:val="TOC8"/>
        <w:rPr>
          <w:sz w:val="24"/>
          <w:szCs w:val="24"/>
        </w:rPr>
      </w:pPr>
      <w:r>
        <w:rPr>
          <w:szCs w:val="24"/>
        </w:rPr>
        <w:t>32.</w:t>
      </w:r>
      <w:r>
        <w:rPr>
          <w:szCs w:val="24"/>
        </w:rPr>
        <w:tab/>
        <w:t>State takeover of certain obligations</w:t>
      </w:r>
      <w:r>
        <w:tab/>
      </w:r>
      <w:r>
        <w:fldChar w:fldCharType="begin"/>
      </w:r>
      <w:r>
        <w:instrText xml:space="preserve"> PAGEREF _Toc122836146 \h </w:instrText>
      </w:r>
      <w:r>
        <w:fldChar w:fldCharType="separate"/>
      </w:r>
      <w:r>
        <w:t>22</w:t>
      </w:r>
      <w:r>
        <w:fldChar w:fldCharType="end"/>
      </w:r>
    </w:p>
    <w:p>
      <w:pPr>
        <w:pStyle w:val="TOC8"/>
        <w:rPr>
          <w:sz w:val="24"/>
          <w:szCs w:val="24"/>
        </w:rPr>
      </w:pPr>
      <w:r>
        <w:rPr>
          <w:szCs w:val="24"/>
        </w:rPr>
        <w:t>33.</w:t>
      </w:r>
      <w:r>
        <w:rPr>
          <w:szCs w:val="24"/>
        </w:rPr>
        <w:tab/>
        <w:t>Regulations</w:t>
      </w:r>
      <w:r>
        <w:tab/>
      </w:r>
      <w:r>
        <w:fldChar w:fldCharType="begin"/>
      </w:r>
      <w:r>
        <w:instrText xml:space="preserve"> PAGEREF _Toc122836147 \h </w:instrText>
      </w:r>
      <w:r>
        <w:fldChar w:fldCharType="separate"/>
      </w:r>
      <w:r>
        <w:t>23</w:t>
      </w:r>
      <w:r>
        <w:fldChar w:fldCharType="end"/>
      </w:r>
    </w:p>
    <w:p>
      <w:pPr>
        <w:pStyle w:val="TOC2"/>
        <w:tabs>
          <w:tab w:val="right" w:leader="dot" w:pos="7086"/>
        </w:tabs>
        <w:rPr>
          <w:b w:val="0"/>
          <w:sz w:val="24"/>
          <w:szCs w:val="24"/>
        </w:rPr>
      </w:pPr>
      <w:r>
        <w:rPr>
          <w:szCs w:val="30"/>
        </w:rPr>
        <w:t>Part 4 — Transitional provisions</w:t>
      </w:r>
    </w:p>
    <w:p>
      <w:pPr>
        <w:pStyle w:val="TOC8"/>
        <w:rPr>
          <w:sz w:val="24"/>
          <w:szCs w:val="24"/>
        </w:rPr>
      </w:pPr>
      <w:r>
        <w:rPr>
          <w:szCs w:val="24"/>
        </w:rPr>
        <w:t>34.</w:t>
      </w:r>
      <w:r>
        <w:rPr>
          <w:szCs w:val="24"/>
        </w:rPr>
        <w:tab/>
        <w:t>Purpose of this Part</w:t>
      </w:r>
      <w:r>
        <w:tab/>
      </w:r>
      <w:r>
        <w:fldChar w:fldCharType="begin"/>
      </w:r>
      <w:r>
        <w:instrText xml:space="preserve"> PAGEREF _Toc122836149 \h </w:instrText>
      </w:r>
      <w:r>
        <w:fldChar w:fldCharType="separate"/>
      </w:r>
      <w:r>
        <w:t>24</w:t>
      </w:r>
      <w:r>
        <w:fldChar w:fldCharType="end"/>
      </w:r>
    </w:p>
    <w:p>
      <w:pPr>
        <w:pStyle w:val="TOC8"/>
        <w:rPr>
          <w:sz w:val="24"/>
          <w:szCs w:val="24"/>
        </w:rPr>
      </w:pPr>
      <w:r>
        <w:rPr>
          <w:szCs w:val="24"/>
        </w:rPr>
        <w:t>35.</w:t>
      </w:r>
      <w:r>
        <w:rPr>
          <w:szCs w:val="24"/>
        </w:rPr>
        <w:tab/>
        <w:t>Subsidiary to have corporation’s powers and duties</w:t>
      </w:r>
      <w:r>
        <w:tab/>
      </w:r>
      <w:r>
        <w:fldChar w:fldCharType="begin"/>
      </w:r>
      <w:r>
        <w:instrText xml:space="preserve"> PAGEREF _Toc122836150 \h </w:instrText>
      </w:r>
      <w:r>
        <w:fldChar w:fldCharType="separate"/>
      </w:r>
      <w:r>
        <w:t>24</w:t>
      </w:r>
      <w:r>
        <w:fldChar w:fldCharType="end"/>
      </w:r>
    </w:p>
    <w:p>
      <w:pPr>
        <w:pStyle w:val="TOC8"/>
        <w:rPr>
          <w:sz w:val="24"/>
          <w:szCs w:val="24"/>
        </w:rPr>
      </w:pPr>
      <w:r>
        <w:rPr>
          <w:szCs w:val="24"/>
        </w:rPr>
        <w:t>36.</w:t>
      </w:r>
      <w:r>
        <w:rPr>
          <w:szCs w:val="24"/>
        </w:rPr>
        <w:tab/>
        <w:t>Modification of other written laws</w:t>
      </w:r>
      <w:r>
        <w:tab/>
      </w:r>
      <w:r>
        <w:fldChar w:fldCharType="begin"/>
      </w:r>
      <w:r>
        <w:instrText xml:space="preserve"> PAGEREF _Toc122836151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37.</w:t>
      </w:r>
      <w:r>
        <w:rPr>
          <w:szCs w:val="24"/>
        </w:rPr>
        <w:tab/>
        <w:t>Auditor General to report on certain matters</w:t>
      </w:r>
      <w:r>
        <w:tab/>
      </w:r>
      <w:r>
        <w:fldChar w:fldCharType="begin"/>
      </w:r>
      <w:r>
        <w:instrText xml:space="preserve"> PAGEREF _Toc122836153 \h </w:instrText>
      </w:r>
      <w:r>
        <w:fldChar w:fldCharType="separate"/>
      </w:r>
      <w:r>
        <w:t>25</w:t>
      </w:r>
      <w:r>
        <w:fldChar w:fldCharType="end"/>
      </w:r>
    </w:p>
    <w:p>
      <w:pPr>
        <w:pStyle w:val="TOC8"/>
        <w:rPr>
          <w:sz w:val="24"/>
          <w:szCs w:val="24"/>
        </w:rPr>
      </w:pPr>
      <w:r>
        <w:rPr>
          <w:szCs w:val="24"/>
        </w:rPr>
        <w:t>38.</w:t>
      </w:r>
      <w:r>
        <w:rPr>
          <w:szCs w:val="24"/>
        </w:rPr>
        <w:tab/>
        <w:t>Regulations</w:t>
      </w:r>
      <w:r>
        <w:tab/>
      </w:r>
      <w:r>
        <w:fldChar w:fldCharType="begin"/>
      </w:r>
      <w:r>
        <w:instrText xml:space="preserve"> PAGEREF _Toc122836154 \h </w:instrText>
      </w:r>
      <w:r>
        <w:fldChar w:fldCharType="separate"/>
      </w:r>
      <w:r>
        <w:t>25</w:t>
      </w:r>
      <w:r>
        <w:fldChar w:fldCharType="end"/>
      </w:r>
    </w:p>
    <w:p>
      <w:pPr>
        <w:pStyle w:val="TOC2"/>
        <w:tabs>
          <w:tab w:val="right" w:leader="dot" w:pos="7086"/>
        </w:tabs>
        <w:rPr>
          <w:b w:val="0"/>
          <w:sz w:val="24"/>
          <w:szCs w:val="24"/>
        </w:rPr>
      </w:pPr>
      <w:r>
        <w:rPr>
          <w:szCs w:val="30"/>
        </w:rPr>
        <w:t>Part 6 — Effect on other Acts</w:t>
      </w:r>
    </w:p>
    <w:p>
      <w:pPr>
        <w:pStyle w:val="TOC4"/>
        <w:tabs>
          <w:tab w:val="right" w:leader="dot" w:pos="7086"/>
        </w:tabs>
        <w:rPr>
          <w:b w:val="0"/>
          <w:sz w:val="24"/>
          <w:szCs w:val="24"/>
        </w:rPr>
      </w:pPr>
      <w:r>
        <w:rPr>
          <w:szCs w:val="26"/>
        </w:rPr>
        <w:t>Division 1 — Provisions commencing on Royal Assent</w:t>
      </w:r>
    </w:p>
    <w:p>
      <w:pPr>
        <w:pStyle w:val="TOC6"/>
        <w:tabs>
          <w:tab w:val="right" w:leader="dot" w:pos="7086"/>
        </w:tabs>
        <w:rPr>
          <w:b w:val="0"/>
          <w:sz w:val="24"/>
          <w:szCs w:val="24"/>
        </w:rPr>
      </w:pPr>
      <w:r>
        <w:rPr>
          <w:szCs w:val="24"/>
        </w:rPr>
        <w:t xml:space="preserve">Subdivision 9 — </w:t>
      </w:r>
      <w:r>
        <w:rPr>
          <w:i/>
          <w:szCs w:val="24"/>
        </w:rPr>
        <w:t>Local Government Act 1995</w:t>
      </w:r>
    </w:p>
    <w:p>
      <w:pPr>
        <w:pStyle w:val="TOC8"/>
        <w:rPr>
          <w:sz w:val="24"/>
          <w:szCs w:val="24"/>
        </w:rPr>
      </w:pPr>
      <w:r>
        <w:rPr>
          <w:szCs w:val="24"/>
        </w:rPr>
        <w:t>67.</w:t>
      </w:r>
      <w:r>
        <w:rPr>
          <w:szCs w:val="24"/>
        </w:rPr>
        <w:tab/>
        <w:t>Presence of pipeline does not constitute occupation of land</w:t>
      </w:r>
      <w:r>
        <w:tab/>
      </w:r>
      <w:r>
        <w:fldChar w:fldCharType="begin"/>
      </w:r>
      <w:r>
        <w:instrText xml:space="preserve"> PAGEREF _Toc122836158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_Toc122836160 \h </w:instrText>
      </w:r>
      <w:r>
        <w:fldChar w:fldCharType="separate"/>
      </w:r>
      <w:r>
        <w:t>28</w:t>
      </w:r>
      <w:r>
        <w:fldChar w:fldCharType="end"/>
      </w:r>
    </w:p>
    <w:p>
      <w:pPr>
        <w:pStyle w:val="TOC8"/>
        <w:rPr>
          <w:sz w:val="24"/>
        </w:rPr>
      </w:pPr>
      <w:r>
        <w:rPr>
          <w:snapToGrid w:val="0"/>
        </w:rPr>
        <w:tab/>
        <w:t>Provisions that have not come into operation</w:t>
      </w:r>
      <w:r>
        <w:tab/>
      </w:r>
      <w:r>
        <w:fldChar w:fldCharType="begin"/>
      </w:r>
      <w:r>
        <w:instrText xml:space="preserve"> PAGEREF _Toc122836161 \h </w:instrText>
      </w:r>
      <w:r>
        <w:fldChar w:fldCharType="separate"/>
      </w:r>
      <w:r>
        <w:t>28</w:t>
      </w:r>
      <w:r>
        <w:fldChar w:fldCharType="end"/>
      </w:r>
    </w:p>
    <w:p>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ind w:right="8"/>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1" w:name="_Toc113957241"/>
      <w:bookmarkStart w:id="2" w:name="_Toc117066117"/>
      <w:bookmarkStart w:id="3" w:name="_Toc117306711"/>
      <w:bookmarkStart w:id="4" w:name="_Toc119234146"/>
      <w:bookmarkStart w:id="5" w:name="_Toc119234377"/>
      <w:bookmarkStart w:id="6" w:name="_Toc121277009"/>
      <w:bookmarkStart w:id="7" w:name="_Toc12283610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70049081"/>
      <w:bookmarkStart w:id="9" w:name="_Toc471116525"/>
      <w:bookmarkStart w:id="10" w:name="_Toc471175129"/>
      <w:bookmarkStart w:id="11" w:name="_Toc59524458"/>
      <w:bookmarkStart w:id="12" w:name="_Toc59524568"/>
      <w:bookmarkStart w:id="13" w:name="_Toc122836110"/>
      <w:r>
        <w:rPr>
          <w:rStyle w:val="CharSectno"/>
        </w:rPr>
        <w:t>1</w:t>
      </w:r>
      <w:r>
        <w:rPr>
          <w:snapToGrid w:val="0"/>
        </w:rPr>
        <w:t>.</w:t>
      </w:r>
      <w:r>
        <w:rPr>
          <w:snapToGrid w:val="0"/>
        </w:rPr>
        <w:tab/>
        <w:t>Short title</w:t>
      </w:r>
      <w:bookmarkEnd w:id="8"/>
      <w:bookmarkEnd w:id="9"/>
      <w:bookmarkEnd w:id="10"/>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14" w:name="_Toc470049082"/>
      <w:bookmarkStart w:id="15" w:name="_Toc471116526"/>
      <w:bookmarkStart w:id="16" w:name="_Toc471175130"/>
      <w:bookmarkStart w:id="17" w:name="_Toc59524459"/>
      <w:bookmarkStart w:id="18" w:name="_Toc59524569"/>
      <w:bookmarkStart w:id="19" w:name="_Toc122836111"/>
      <w:r>
        <w:rPr>
          <w:rStyle w:val="CharSectno"/>
        </w:rPr>
        <w:t>2</w:t>
      </w:r>
      <w:r>
        <w:rPr>
          <w:snapToGrid w:val="0"/>
        </w:rPr>
        <w:t>.</w:t>
      </w:r>
      <w:r>
        <w:rPr>
          <w:snapToGrid w:val="0"/>
        </w:rPr>
        <w:tab/>
        <w:t>Commencement</w:t>
      </w:r>
      <w:bookmarkEnd w:id="14"/>
      <w:bookmarkEnd w:id="15"/>
      <w:bookmarkEnd w:id="16"/>
      <w:bookmarkEnd w:id="17"/>
      <w:bookmarkEnd w:id="18"/>
      <w:bookmarkEnd w:id="19"/>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bookmarkStart w:id="20" w:name="_Toc470049083"/>
      <w:bookmarkStart w:id="21" w:name="_Toc471116527"/>
      <w:bookmarkStart w:id="22" w:name="_Toc471175131"/>
      <w:r>
        <w:tab/>
        <w:t>[Section 2 amended by No. 74 of 2003 s. 58(2).]</w:t>
      </w:r>
    </w:p>
    <w:p>
      <w:pPr>
        <w:pStyle w:val="Heading5"/>
      </w:pPr>
      <w:bookmarkStart w:id="23" w:name="_Toc59524460"/>
      <w:bookmarkStart w:id="24" w:name="_Toc59524570"/>
      <w:bookmarkStart w:id="25" w:name="_Toc122836112"/>
      <w:r>
        <w:rPr>
          <w:rStyle w:val="CharSectno"/>
        </w:rPr>
        <w:t>3</w:t>
      </w:r>
      <w:r>
        <w:t>.</w:t>
      </w:r>
      <w:r>
        <w:tab/>
        <w:t>Definitions</w:t>
      </w:r>
      <w:bookmarkEnd w:id="20"/>
      <w:bookmarkEnd w:id="21"/>
      <w:bookmarkEnd w:id="22"/>
      <w:bookmarkEnd w:id="23"/>
      <w:bookmarkEnd w:id="24"/>
      <w:bookmarkEnd w:id="25"/>
    </w:p>
    <w:p>
      <w:pPr>
        <w:pStyle w:val="Subsection"/>
        <w:keepNext/>
      </w:pPr>
      <w:r>
        <w:tab/>
      </w:r>
      <w:r>
        <w:tab/>
        <w:t>In this Act, unless the contrary intention appears —</w:t>
      </w:r>
    </w:p>
    <w:p>
      <w:pPr>
        <w:pStyle w:val="Defstart"/>
      </w:pPr>
      <w:r>
        <w:tab/>
      </w:r>
      <w:r>
        <w:rPr>
          <w:b/>
        </w:rPr>
        <w:t>“</w:t>
      </w:r>
      <w:r>
        <w:rPr>
          <w:rStyle w:val="CharDefText"/>
        </w:rPr>
        <w:t>acquire</w:t>
      </w:r>
      <w:r>
        <w:rPr>
          <w:b/>
        </w:rPr>
        <w:t>”</w:t>
      </w:r>
      <w:r>
        <w:t xml:space="preserve">, </w:t>
      </w:r>
      <w:r>
        <w:rPr>
          <w:b/>
        </w:rPr>
        <w:t>“</w:t>
      </w:r>
      <w:r>
        <w:rPr>
          <w:rStyle w:val="CharDefText"/>
        </w:rPr>
        <w:t>dispose of</w:t>
      </w:r>
      <w:r>
        <w:rPr>
          <w:b/>
        </w:rPr>
        <w:t>”</w:t>
      </w:r>
      <w:r>
        <w:t xml:space="preserve"> and </w:t>
      </w:r>
      <w:r>
        <w:rPr>
          <w:b/>
        </w:rPr>
        <w:t>“</w:t>
      </w:r>
      <w:r>
        <w:rPr>
          <w:rStyle w:val="CharDefText"/>
        </w:rPr>
        <w:t>entitled</w:t>
      </w:r>
      <w:r>
        <w:rPr>
          <w:b/>
        </w:rPr>
        <w:t>”</w:t>
      </w:r>
      <w:r>
        <w:t>, in relation to shares or other securities in the corporate vehicle, have the same meanings as they had in Chapter 6 of the Corporations Law as in force immediately before 13 March 2000;</w:t>
      </w:r>
    </w:p>
    <w:p>
      <w:pPr>
        <w:pStyle w:val="Defstart"/>
      </w:pPr>
      <w:r>
        <w:tab/>
      </w:r>
      <w:r>
        <w:rPr>
          <w:b/>
        </w:rPr>
        <w:t>“</w:t>
      </w:r>
      <w:r>
        <w:rPr>
          <w:rStyle w:val="CharDefText"/>
        </w:rPr>
        <w:t>cornerstone investor</w:t>
      </w:r>
      <w:r>
        <w:rPr>
          <w:b/>
        </w:rPr>
        <w:t>”</w:t>
      </w:r>
      <w:r>
        <w:t xml:space="preserve"> has the meaning given by section 5(5)(a);</w:t>
      </w:r>
    </w:p>
    <w:p>
      <w:pPr>
        <w:pStyle w:val="Defstart"/>
      </w:pPr>
      <w:r>
        <w:tab/>
      </w:r>
      <w:r>
        <w:rPr>
          <w:b/>
        </w:rPr>
        <w:t>“</w:t>
      </w:r>
      <w:r>
        <w:rPr>
          <w:rStyle w:val="CharDefText"/>
        </w:rPr>
        <w:t>corporate vehicle</w:t>
      </w:r>
      <w:r>
        <w:rPr>
          <w:b/>
        </w:rPr>
        <w:t xml:space="preserve">” </w:t>
      </w:r>
      <w:r>
        <w:t>has the meaning given by section 5(2);</w:t>
      </w:r>
    </w:p>
    <w:p>
      <w:pPr>
        <w:pStyle w:val="Defstart"/>
      </w:pPr>
      <w:r>
        <w:tab/>
      </w:r>
      <w:r>
        <w:rPr>
          <w:b/>
        </w:rPr>
        <w:t>“</w:t>
      </w:r>
      <w:r>
        <w:rPr>
          <w:rStyle w:val="CharDefText"/>
        </w:rPr>
        <w:t>corporation</w:t>
      </w:r>
      <w:r>
        <w:rPr>
          <w:b/>
        </w:rPr>
        <w:t>”</w:t>
      </w:r>
      <w:r>
        <w:t xml:space="preserve"> means the Gas Corporation established by the </w:t>
      </w:r>
      <w:r>
        <w:rPr>
          <w:i/>
        </w:rPr>
        <w:t>Gas Corporation Act 1994</w:t>
      </w:r>
      <w:r>
        <w:rPr>
          <w:vertAlign w:val="superscript"/>
        </w:rPr>
        <w:t> 2</w:t>
      </w:r>
      <w:r>
        <w:t>;</w:t>
      </w:r>
    </w:p>
    <w:p>
      <w:pPr>
        <w:pStyle w:val="Defstart"/>
      </w:pPr>
      <w:r>
        <w:tab/>
      </w:r>
      <w:r>
        <w:rPr>
          <w:b/>
        </w:rPr>
        <w:t>“</w:t>
      </w:r>
      <w:r>
        <w:rPr>
          <w:rStyle w:val="CharDefText"/>
        </w:rPr>
        <w:t>section </w:t>
      </w:r>
      <w:bookmarkStart w:id="26" w:name="_Hlt455296912"/>
      <w:r>
        <w:rPr>
          <w:rStyle w:val="CharDefText"/>
        </w:rPr>
        <w:t>6</w:t>
      </w:r>
      <w:bookmarkEnd w:id="26"/>
      <w:r>
        <w:rPr>
          <w:rStyle w:val="CharDefText"/>
        </w:rPr>
        <w:t xml:space="preserve"> disposal</w:t>
      </w:r>
      <w:r>
        <w:rPr>
          <w:b/>
        </w:rPr>
        <w:t>”</w:t>
      </w:r>
      <w:r>
        <w:t xml:space="preserve"> means a disposal for which an order has been made under section 6;</w:t>
      </w:r>
    </w:p>
    <w:p>
      <w:pPr>
        <w:pStyle w:val="Defstart"/>
      </w:pPr>
      <w:r>
        <w:tab/>
      </w:r>
      <w:r>
        <w:rPr>
          <w:b/>
        </w:rPr>
        <w:t>“</w:t>
      </w:r>
      <w:r>
        <w:rPr>
          <w:rStyle w:val="CharDefText"/>
        </w:rPr>
        <w:t>securities</w:t>
      </w:r>
      <w:r>
        <w:rPr>
          <w:b/>
        </w:rPr>
        <w:t>”</w:t>
      </w:r>
      <w:r>
        <w:t>, in relation to the corporate vehicle, has the meaning given by section 92 of the Corporations Law;</w:t>
      </w:r>
    </w:p>
    <w:p>
      <w:pPr>
        <w:pStyle w:val="Defstart"/>
      </w:pPr>
      <w:r>
        <w:tab/>
      </w:r>
      <w:r>
        <w:rPr>
          <w:b/>
        </w:rPr>
        <w:t>“</w:t>
      </w:r>
      <w:r>
        <w:rPr>
          <w:rStyle w:val="CharDefText"/>
        </w:rPr>
        <w:t>specified percentage</w:t>
      </w:r>
      <w:r>
        <w:rPr>
          <w:b/>
        </w:rPr>
        <w:t>”</w:t>
      </w:r>
      <w:r>
        <w:t xml:space="preserve"> has the meaning given by section 5(5)(a);</w:t>
      </w:r>
    </w:p>
    <w:p>
      <w:pPr>
        <w:pStyle w:val="Defstart"/>
      </w:pPr>
      <w:r>
        <w:tab/>
      </w:r>
      <w:r>
        <w:rPr>
          <w:b/>
        </w:rPr>
        <w:t>“</w:t>
      </w:r>
      <w:r>
        <w:rPr>
          <w:rStyle w:val="CharDefText"/>
        </w:rPr>
        <w:t>subsidiary</w:t>
      </w:r>
      <w:r>
        <w:rPr>
          <w:b/>
        </w:rPr>
        <w:t>”</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27" w:name="_Toc470049084"/>
      <w:bookmarkStart w:id="28" w:name="_Toc471116528"/>
      <w:bookmarkStart w:id="29" w:name="_Toc471175132"/>
      <w:bookmarkStart w:id="30" w:name="_Toc59524461"/>
      <w:bookmarkStart w:id="31" w:name="_Toc59524571"/>
      <w:bookmarkStart w:id="32" w:name="_Toc122836113"/>
      <w:r>
        <w:rPr>
          <w:rStyle w:val="CharSectno"/>
        </w:rPr>
        <w:t>4</w:t>
      </w:r>
      <w:r>
        <w:t>.</w:t>
      </w:r>
      <w:r>
        <w:tab/>
        <w:t>Crown bound</w:t>
      </w:r>
      <w:bookmarkEnd w:id="27"/>
      <w:bookmarkEnd w:id="28"/>
      <w:bookmarkEnd w:id="29"/>
      <w:bookmarkEnd w:id="30"/>
      <w:bookmarkEnd w:id="31"/>
      <w:bookmarkEnd w:id="32"/>
    </w:p>
    <w:p>
      <w:pPr>
        <w:pStyle w:val="Subsection"/>
      </w:pPr>
      <w:r>
        <w:tab/>
      </w:r>
      <w:r>
        <w:tab/>
        <w:t>This Act binds the Crown.</w:t>
      </w:r>
    </w:p>
    <w:p>
      <w:pPr>
        <w:pStyle w:val="Heading2"/>
      </w:pPr>
      <w:bookmarkStart w:id="33" w:name="_Toc113957246"/>
      <w:bookmarkStart w:id="34" w:name="_Toc117066122"/>
      <w:bookmarkStart w:id="35" w:name="_Toc117306716"/>
      <w:bookmarkStart w:id="36" w:name="_Toc119234151"/>
      <w:bookmarkStart w:id="37" w:name="_Toc119234382"/>
      <w:bookmarkStart w:id="38" w:name="_Toc121277014"/>
      <w:bookmarkStart w:id="39" w:name="_Toc122836114"/>
      <w:r>
        <w:rPr>
          <w:rStyle w:val="CharPartNo"/>
        </w:rPr>
        <w:t>Part 2</w:t>
      </w:r>
      <w:r>
        <w:rPr>
          <w:rStyle w:val="CharDivNo"/>
        </w:rPr>
        <w:t xml:space="preserve"> </w:t>
      </w:r>
      <w:r>
        <w:t>—</w:t>
      </w:r>
      <w:r>
        <w:rPr>
          <w:rStyle w:val="CharDivText"/>
        </w:rPr>
        <w:t xml:space="preserve"> </w:t>
      </w:r>
      <w:r>
        <w:rPr>
          <w:rStyle w:val="CharPartText"/>
        </w:rPr>
        <w:t>The disposal</w:t>
      </w:r>
      <w:bookmarkEnd w:id="33"/>
      <w:bookmarkEnd w:id="34"/>
      <w:bookmarkEnd w:id="35"/>
      <w:bookmarkEnd w:id="36"/>
      <w:bookmarkEnd w:id="37"/>
      <w:bookmarkEnd w:id="38"/>
      <w:bookmarkEnd w:id="39"/>
    </w:p>
    <w:p>
      <w:pPr>
        <w:pStyle w:val="Heading5"/>
      </w:pPr>
      <w:bookmarkStart w:id="40" w:name="_Toc470049085"/>
      <w:bookmarkStart w:id="41" w:name="_Toc471116529"/>
      <w:bookmarkStart w:id="42" w:name="_Toc471175133"/>
      <w:bookmarkStart w:id="43" w:name="_Toc59524462"/>
      <w:bookmarkStart w:id="44" w:name="_Toc59524572"/>
      <w:bookmarkStart w:id="45" w:name="_Toc122836115"/>
      <w:r>
        <w:rPr>
          <w:rStyle w:val="CharSectno"/>
        </w:rPr>
        <w:t>5</w:t>
      </w:r>
      <w:r>
        <w:t>.</w:t>
      </w:r>
      <w:r>
        <w:tab/>
        <w:t>Disposal of business and property authorised</w:t>
      </w:r>
      <w:bookmarkEnd w:id="40"/>
      <w:bookmarkEnd w:id="41"/>
      <w:bookmarkEnd w:id="42"/>
      <w:bookmarkEnd w:id="43"/>
      <w:bookmarkEnd w:id="44"/>
      <w:bookmarkEnd w:id="45"/>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b/>
        </w:rPr>
        <w:t>“</w:t>
      </w:r>
      <w:r>
        <w:rPr>
          <w:rStyle w:val="CharDefText"/>
        </w:rPr>
        <w:t>corporate vehicle</w:t>
      </w:r>
      <w:r>
        <w:rPr>
          <w:b/>
        </w:rPr>
        <w:t>”</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b/>
        </w:rPr>
        <w:t>“</w:t>
      </w:r>
      <w:r>
        <w:rPr>
          <w:rStyle w:val="CharDefText"/>
        </w:rPr>
        <w:t>cornerstone investor</w:t>
      </w:r>
      <w:r>
        <w:rPr>
          <w:b/>
        </w:rPr>
        <w:t>”</w:t>
      </w:r>
      <w:r>
        <w:t xml:space="preserve">) to become entitled to a percentage specified by the order (the </w:t>
      </w:r>
      <w:r>
        <w:rPr>
          <w:b/>
        </w:rPr>
        <w:t>“</w:t>
      </w:r>
      <w:r>
        <w:rPr>
          <w:rStyle w:val="CharDefText"/>
        </w:rPr>
        <w:t>specified percentage</w:t>
      </w:r>
      <w:r>
        <w:rPr>
          <w:b/>
        </w:rPr>
        <w:t>”</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46" w:name="_Toc470049086"/>
      <w:bookmarkStart w:id="47" w:name="_Toc471116530"/>
      <w:bookmarkStart w:id="48" w:name="_Toc471175134"/>
      <w:bookmarkStart w:id="49" w:name="_Toc59524463"/>
      <w:bookmarkStart w:id="50" w:name="_Toc59524573"/>
      <w:bookmarkStart w:id="51" w:name="_Toc122836116"/>
      <w:r>
        <w:rPr>
          <w:rStyle w:val="CharSectno"/>
        </w:rPr>
        <w:t>6</w:t>
      </w:r>
      <w:r>
        <w:t>.</w:t>
      </w:r>
      <w:r>
        <w:tab/>
        <w:t>Minister may order disposal</w:t>
      </w:r>
      <w:bookmarkEnd w:id="46"/>
      <w:bookmarkEnd w:id="47"/>
      <w:bookmarkEnd w:id="48"/>
      <w:bookmarkEnd w:id="49"/>
      <w:bookmarkEnd w:id="50"/>
      <w:bookmarkEnd w:id="51"/>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52" w:name="_Toc470049087"/>
      <w:bookmarkStart w:id="53" w:name="_Toc471116531"/>
      <w:bookmarkStart w:id="54" w:name="_Toc471175135"/>
      <w:bookmarkStart w:id="55" w:name="_Toc59524464"/>
      <w:bookmarkStart w:id="56" w:name="_Toc59524574"/>
      <w:bookmarkStart w:id="57" w:name="_Toc122836117"/>
      <w:r>
        <w:rPr>
          <w:rStyle w:val="CharSectno"/>
        </w:rPr>
        <w:t>7</w:t>
      </w:r>
      <w:r>
        <w:t>.</w:t>
      </w:r>
      <w:r>
        <w:tab/>
        <w:t>Minister may give directions to corporation</w:t>
      </w:r>
      <w:bookmarkEnd w:id="52"/>
      <w:bookmarkEnd w:id="53"/>
      <w:bookmarkEnd w:id="54"/>
      <w:bookmarkEnd w:id="55"/>
      <w:bookmarkEnd w:id="56"/>
      <w:bookmarkEnd w:id="57"/>
    </w:p>
    <w:p>
      <w:pPr>
        <w:pStyle w:val="Subsection"/>
      </w:pPr>
      <w:r>
        <w:tab/>
      </w:r>
      <w:bookmarkStart w:id="58" w:name="_Hlt452008618"/>
      <w:bookmarkEnd w:id="58"/>
      <w:r>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59" w:name="_Toc470049088"/>
      <w:bookmarkStart w:id="60" w:name="_Toc471116532"/>
      <w:bookmarkStart w:id="61" w:name="_Toc471175136"/>
      <w:bookmarkStart w:id="62" w:name="_Toc59524465"/>
      <w:bookmarkStart w:id="63" w:name="_Toc59524575"/>
      <w:bookmarkStart w:id="64" w:name="_Toc122836118"/>
      <w:r>
        <w:rPr>
          <w:rStyle w:val="CharSectno"/>
        </w:rPr>
        <w:t>8</w:t>
      </w:r>
      <w:r>
        <w:t>.</w:t>
      </w:r>
      <w:r>
        <w:tab/>
        <w:t>Corporation to comply with directions</w:t>
      </w:r>
      <w:bookmarkEnd w:id="59"/>
      <w:bookmarkEnd w:id="60"/>
      <w:bookmarkEnd w:id="61"/>
      <w:bookmarkEnd w:id="62"/>
      <w:bookmarkEnd w:id="63"/>
      <w:bookmarkEnd w:id="64"/>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65" w:name="_Toc470049089"/>
      <w:bookmarkStart w:id="66" w:name="_Toc471116533"/>
      <w:bookmarkStart w:id="67" w:name="_Toc471175137"/>
      <w:bookmarkStart w:id="68" w:name="_Toc59524466"/>
      <w:bookmarkStart w:id="69" w:name="_Toc59524576"/>
      <w:bookmarkStart w:id="70" w:name="_Toc122836119"/>
      <w:r>
        <w:rPr>
          <w:rStyle w:val="CharSectno"/>
        </w:rPr>
        <w:t>9</w:t>
      </w:r>
      <w:r>
        <w:t>.</w:t>
      </w:r>
      <w:r>
        <w:tab/>
        <w:t>General powers</w:t>
      </w:r>
      <w:bookmarkEnd w:id="65"/>
      <w:bookmarkEnd w:id="66"/>
      <w:bookmarkEnd w:id="67"/>
      <w:bookmarkEnd w:id="68"/>
      <w:bookmarkEnd w:id="69"/>
      <w:bookmarkEnd w:id="70"/>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71" w:name="_Toc470049090"/>
      <w:bookmarkStart w:id="72" w:name="_Toc471116534"/>
      <w:bookmarkStart w:id="73" w:name="_Toc471175138"/>
      <w:bookmarkStart w:id="74" w:name="_Toc59524467"/>
      <w:bookmarkStart w:id="75" w:name="_Toc59524577"/>
      <w:bookmarkStart w:id="76" w:name="_Toc122836120"/>
      <w:r>
        <w:rPr>
          <w:rStyle w:val="CharSectno"/>
        </w:rPr>
        <w:t>10</w:t>
      </w:r>
      <w:r>
        <w:t>.</w:t>
      </w:r>
      <w:r>
        <w:tab/>
        <w:t>Corporate vehicle’s constitution to contain certain provisions</w:t>
      </w:r>
      <w:bookmarkEnd w:id="71"/>
      <w:bookmarkEnd w:id="72"/>
      <w:bookmarkEnd w:id="73"/>
      <w:bookmarkEnd w:id="74"/>
      <w:bookmarkEnd w:id="75"/>
      <w:bookmarkEnd w:id="76"/>
    </w:p>
    <w:p>
      <w:pPr>
        <w:pStyle w:val="Subsection"/>
      </w:pPr>
      <w:r>
        <w:tab/>
        <w:t>(1)</w:t>
      </w:r>
      <w:r>
        <w:tab/>
        <w:t>The constitution of the corporate vehicle must —</w:t>
      </w:r>
    </w:p>
    <w:p>
      <w:pPr>
        <w:pStyle w:val="Indenta"/>
      </w:pPr>
      <w:r>
        <w:tab/>
        <w:t>(a)</w:t>
      </w:r>
      <w:r>
        <w:tab/>
        <w:t>require the corporate vehicle to be taken to be registered in Western Australia;</w:t>
      </w:r>
    </w:p>
    <w:p>
      <w:pPr>
        <w:pStyle w:val="Indenta"/>
      </w:pPr>
      <w:r>
        <w:tab/>
        <w:t>(b)</w:t>
      </w:r>
      <w:r>
        <w:tab/>
        <w:t>require that the head office of the corporate vehicle, that is the place where central management and control of the corporate vehicle are exercised, be located in Western Australia;</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while holding office be ordinarily resident in Western Australia;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77" w:name="_Toc470049091"/>
      <w:bookmarkStart w:id="78" w:name="_Toc471116535"/>
      <w:bookmarkStart w:id="79" w:name="_Toc471175139"/>
      <w:bookmarkStart w:id="80" w:name="_Toc59524468"/>
      <w:bookmarkStart w:id="81" w:name="_Toc59524578"/>
      <w:bookmarkStart w:id="82" w:name="_Toc122836121"/>
      <w:r>
        <w:rPr>
          <w:rStyle w:val="CharSectno"/>
        </w:rPr>
        <w:t>11</w:t>
      </w:r>
      <w:r>
        <w:t>.</w:t>
      </w:r>
      <w:r>
        <w:tab/>
        <w:t>Cornerstone investor’s share entitlement to be frozen for 2 years</w:t>
      </w:r>
      <w:bookmarkEnd w:id="77"/>
      <w:bookmarkEnd w:id="78"/>
      <w:bookmarkEnd w:id="79"/>
      <w:bookmarkEnd w:id="80"/>
      <w:bookmarkEnd w:id="81"/>
      <w:bookmarkEnd w:id="82"/>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83" w:name="_Toc470049092"/>
      <w:bookmarkStart w:id="84" w:name="_Toc471116536"/>
      <w:bookmarkStart w:id="85" w:name="_Toc471175140"/>
      <w:bookmarkStart w:id="86" w:name="_Toc59524469"/>
      <w:bookmarkStart w:id="87" w:name="_Toc59524579"/>
      <w:bookmarkStart w:id="88" w:name="_Toc122836122"/>
      <w:r>
        <w:rPr>
          <w:rStyle w:val="CharSectno"/>
        </w:rPr>
        <w:t>12</w:t>
      </w:r>
      <w:r>
        <w:t>.</w:t>
      </w:r>
      <w:r>
        <w:tab/>
        <w:t>Restrictions on share dealings</w:t>
      </w:r>
      <w:bookmarkEnd w:id="83"/>
      <w:bookmarkEnd w:id="84"/>
      <w:bookmarkEnd w:id="85"/>
      <w:bookmarkEnd w:id="86"/>
      <w:bookmarkEnd w:id="87"/>
      <w:bookmarkEnd w:id="88"/>
    </w:p>
    <w:p>
      <w:pPr>
        <w:pStyle w:val="Subsection"/>
      </w:pPr>
      <w:r>
        <w:tab/>
      </w:r>
      <w:bookmarkStart w:id="89" w:name="_Hlt451850865"/>
      <w:bookmarkEnd w:id="89"/>
      <w:r>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r>
      <w:bookmarkStart w:id="90" w:name="_Hlt451850875"/>
      <w:bookmarkEnd w:id="90"/>
      <w:r>
        <w:t>(2)</w:t>
      </w:r>
      <w:r>
        <w:tab/>
        <w:t>Subsection (1) does not apply to the issue or purchase of shares under an underwriting agreement entered into to facilitate the sale of shares in the corporate vehicle by a public float.</w:t>
      </w:r>
    </w:p>
    <w:p>
      <w:pPr>
        <w:pStyle w:val="Subsection"/>
      </w:pPr>
      <w:r>
        <w:tab/>
      </w:r>
      <w:bookmarkStart w:id="91" w:name="_Hlt451850870"/>
      <w:bookmarkEnd w:id="91"/>
      <w:r>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r>
      <w:bookmarkStart w:id="92" w:name="_Hlt451850878"/>
      <w:bookmarkEnd w:id="92"/>
      <w:r>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93" w:name="_Toc59524470"/>
      <w:bookmarkStart w:id="94" w:name="_Toc59524580"/>
      <w:bookmarkStart w:id="95" w:name="_Toc122836123"/>
      <w:bookmarkStart w:id="96" w:name="_Toc470049093"/>
      <w:bookmarkStart w:id="97" w:name="_Toc471116537"/>
      <w:bookmarkStart w:id="98" w:name="_Toc471175141"/>
      <w:r>
        <w:rPr>
          <w:rStyle w:val="CharSectno"/>
        </w:rPr>
        <w:t>12A</w:t>
      </w:r>
      <w:r>
        <w:t>.</w:t>
      </w:r>
      <w:r>
        <w:tab/>
        <w:t>Exclusion of Corporations legislation</w:t>
      </w:r>
      <w:bookmarkEnd w:id="93"/>
      <w:bookmarkEnd w:id="94"/>
      <w:bookmarkEnd w:id="95"/>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99" w:name="_Toc59524471"/>
      <w:bookmarkStart w:id="100" w:name="_Toc59524581"/>
      <w:bookmarkStart w:id="101" w:name="_Toc122836124"/>
      <w:r>
        <w:rPr>
          <w:rStyle w:val="CharSectno"/>
        </w:rPr>
        <w:t>13</w:t>
      </w:r>
      <w:r>
        <w:t>.</w:t>
      </w:r>
      <w:r>
        <w:tab/>
        <w:t>Liability of management for offence by body corporate</w:t>
      </w:r>
      <w:bookmarkEnd w:id="96"/>
      <w:bookmarkEnd w:id="97"/>
      <w:bookmarkEnd w:id="98"/>
      <w:bookmarkEnd w:id="99"/>
      <w:bookmarkEnd w:id="100"/>
      <w:bookmarkEnd w:id="101"/>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02" w:name="_Toc113957257"/>
      <w:bookmarkStart w:id="103" w:name="_Toc117066133"/>
      <w:bookmarkStart w:id="104" w:name="_Toc117306727"/>
      <w:bookmarkStart w:id="105" w:name="_Toc119234162"/>
      <w:bookmarkStart w:id="106" w:name="_Toc119234393"/>
      <w:bookmarkStart w:id="107" w:name="_Toc121277025"/>
      <w:bookmarkStart w:id="108" w:name="_Toc122836125"/>
      <w:r>
        <w:rPr>
          <w:rStyle w:val="CharPartNo"/>
        </w:rPr>
        <w:t>Part 3</w:t>
      </w:r>
      <w:r>
        <w:t xml:space="preserve"> — </w:t>
      </w:r>
      <w:r>
        <w:rPr>
          <w:rStyle w:val="CharPartText"/>
        </w:rPr>
        <w:t>Implementing disposal and ancillary matters</w:t>
      </w:r>
      <w:bookmarkEnd w:id="102"/>
      <w:bookmarkEnd w:id="103"/>
      <w:bookmarkEnd w:id="104"/>
      <w:bookmarkEnd w:id="105"/>
      <w:bookmarkEnd w:id="106"/>
      <w:bookmarkEnd w:id="107"/>
      <w:bookmarkEnd w:id="108"/>
    </w:p>
    <w:p>
      <w:pPr>
        <w:pStyle w:val="Heading3"/>
      </w:pPr>
      <w:bookmarkStart w:id="109" w:name="_Toc113957258"/>
      <w:bookmarkStart w:id="110" w:name="_Toc117066134"/>
      <w:bookmarkStart w:id="111" w:name="_Toc117306728"/>
      <w:bookmarkStart w:id="112" w:name="_Toc119234163"/>
      <w:bookmarkStart w:id="113" w:name="_Toc119234394"/>
      <w:bookmarkStart w:id="114" w:name="_Toc121277026"/>
      <w:bookmarkStart w:id="115" w:name="_Toc122836126"/>
      <w:r>
        <w:rPr>
          <w:rStyle w:val="CharDivNo"/>
        </w:rPr>
        <w:t>Division 1</w:t>
      </w:r>
      <w:r>
        <w:t xml:space="preserve"> — </w:t>
      </w:r>
      <w:r>
        <w:rPr>
          <w:rStyle w:val="CharDivText"/>
        </w:rPr>
        <w:t>Transfer orders</w:t>
      </w:r>
      <w:bookmarkEnd w:id="109"/>
      <w:bookmarkEnd w:id="110"/>
      <w:bookmarkEnd w:id="111"/>
      <w:bookmarkEnd w:id="112"/>
      <w:bookmarkEnd w:id="113"/>
      <w:bookmarkEnd w:id="114"/>
      <w:bookmarkEnd w:id="115"/>
    </w:p>
    <w:p>
      <w:pPr>
        <w:pStyle w:val="Heading5"/>
      </w:pPr>
      <w:bookmarkStart w:id="116" w:name="_Toc470049094"/>
      <w:bookmarkStart w:id="117" w:name="_Toc471116538"/>
      <w:bookmarkStart w:id="118" w:name="_Toc471175142"/>
      <w:bookmarkStart w:id="119" w:name="_Toc59524472"/>
      <w:bookmarkStart w:id="120" w:name="_Toc59524582"/>
      <w:bookmarkStart w:id="121" w:name="_Toc122836127"/>
      <w:r>
        <w:rPr>
          <w:rStyle w:val="CharSectno"/>
        </w:rPr>
        <w:t>14</w:t>
      </w:r>
      <w:r>
        <w:t>.</w:t>
      </w:r>
      <w:r>
        <w:tab/>
        <w:t>Definitions</w:t>
      </w:r>
      <w:bookmarkEnd w:id="116"/>
      <w:bookmarkEnd w:id="117"/>
      <w:bookmarkEnd w:id="118"/>
      <w:bookmarkEnd w:id="119"/>
      <w:bookmarkEnd w:id="120"/>
      <w:bookmarkEnd w:id="121"/>
    </w:p>
    <w:p>
      <w:pPr>
        <w:pStyle w:val="Subsection"/>
        <w:rPr>
          <w:snapToGrid w:val="0"/>
        </w:rPr>
      </w:pPr>
      <w:r>
        <w:tab/>
      </w:r>
      <w:r>
        <w:tab/>
      </w:r>
      <w:r>
        <w:rPr>
          <w:snapToGrid w:val="0"/>
        </w:rPr>
        <w:t>In this Division, unless the contrary intention appears —</w:t>
      </w:r>
    </w:p>
    <w:p>
      <w:pPr>
        <w:pStyle w:val="Defstart"/>
      </w:pPr>
      <w:r>
        <w:tab/>
      </w:r>
      <w:r>
        <w:rPr>
          <w:b/>
        </w:rPr>
        <w:t>“</w:t>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assignee</w:t>
      </w:r>
      <w:r>
        <w:rPr>
          <w:b/>
        </w:rPr>
        <w:t>”</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22" w:name="_Hlt447356669"/>
      <w:bookmarkEnd w:id="122"/>
      <w:r>
        <w:t>being substituted for a reference to the corporation in an agreement or instrument in order to give effect to section 16(1)(b);</w:t>
      </w:r>
    </w:p>
    <w:p>
      <w:pPr>
        <w:pStyle w:val="Defstart"/>
      </w:pPr>
      <w:r>
        <w:tab/>
      </w:r>
      <w:r>
        <w:rPr>
          <w:b/>
        </w:rPr>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b/>
        </w:rPr>
        <w:t>“</w:t>
      </w:r>
      <w:r>
        <w:rPr>
          <w:rStyle w:val="CharDefText"/>
        </w:rPr>
        <w:t>transfer order</w:t>
      </w:r>
      <w:r>
        <w:rPr>
          <w:b/>
        </w:rPr>
        <w:t>”</w:t>
      </w:r>
      <w:r>
        <w:t xml:space="preserve"> means an order under section 15, as amended under that section or corrected under section 21 if applicable;</w:t>
      </w:r>
    </w:p>
    <w:p>
      <w:pPr>
        <w:pStyle w:val="Defstart"/>
      </w:pPr>
      <w:r>
        <w:tab/>
      </w:r>
      <w:r>
        <w:rPr>
          <w:b/>
        </w:rPr>
        <w:t>“</w:t>
      </w:r>
      <w:r>
        <w:rPr>
          <w:rStyle w:val="CharDefText"/>
        </w:rPr>
        <w:t>transfer time</w:t>
      </w:r>
      <w:r>
        <w:rPr>
          <w:b/>
        </w:rPr>
        <w:t>”</w:t>
      </w:r>
      <w:r>
        <w:t xml:space="preserve"> means the transfer time specified in a transfer order.</w:t>
      </w:r>
    </w:p>
    <w:p>
      <w:pPr>
        <w:pStyle w:val="Heading5"/>
      </w:pPr>
      <w:bookmarkStart w:id="123" w:name="_Toc450990721"/>
      <w:bookmarkStart w:id="124" w:name="_Toc470049095"/>
      <w:bookmarkStart w:id="125" w:name="_Toc471116539"/>
      <w:bookmarkStart w:id="126" w:name="_Toc471175143"/>
      <w:bookmarkStart w:id="127" w:name="_Toc59524473"/>
      <w:bookmarkStart w:id="128" w:name="_Toc59524583"/>
      <w:bookmarkStart w:id="129" w:name="_Toc122836128"/>
      <w:r>
        <w:rPr>
          <w:rStyle w:val="CharSectno"/>
        </w:rPr>
        <w:t>15</w:t>
      </w:r>
      <w:r>
        <w:rPr>
          <w:snapToGrid w:val="0"/>
        </w:rPr>
        <w:t>.</w:t>
      </w:r>
      <w:r>
        <w:rPr>
          <w:snapToGrid w:val="0"/>
        </w:rPr>
        <w:tab/>
        <w:t>Minister may make transfer orders</w:t>
      </w:r>
      <w:bookmarkEnd w:id="123"/>
      <w:bookmarkEnd w:id="124"/>
      <w:bookmarkEnd w:id="125"/>
      <w:bookmarkEnd w:id="126"/>
      <w:bookmarkEnd w:id="127"/>
      <w:bookmarkEnd w:id="128"/>
      <w:bookmarkEnd w:id="129"/>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r>
      <w:bookmarkStart w:id="130" w:name="_Hlt448917800"/>
      <w:bookmarkEnd w:id="130"/>
      <w:r>
        <w:rPr>
          <w:snapToGrid w:val="0"/>
        </w:rPr>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131" w:name="_Hlt446758549"/>
      <w:bookmarkStart w:id="132" w:name="_Toc450990722"/>
      <w:bookmarkStart w:id="133" w:name="_Toc470049096"/>
      <w:bookmarkStart w:id="134" w:name="_Toc471116540"/>
      <w:bookmarkStart w:id="135" w:name="_Toc471175144"/>
      <w:bookmarkStart w:id="136" w:name="_Toc59524474"/>
      <w:bookmarkStart w:id="137" w:name="_Toc59524584"/>
      <w:bookmarkStart w:id="138" w:name="_Toc122836129"/>
      <w:bookmarkEnd w:id="131"/>
      <w:r>
        <w:rPr>
          <w:rStyle w:val="CharSectno"/>
        </w:rPr>
        <w:t>16</w:t>
      </w:r>
      <w:r>
        <w:rPr>
          <w:snapToGrid w:val="0"/>
        </w:rPr>
        <w:t>.</w:t>
      </w:r>
      <w:r>
        <w:rPr>
          <w:snapToGrid w:val="0"/>
        </w:rPr>
        <w:tab/>
        <w:t>Consequences of transfer order</w:t>
      </w:r>
      <w:bookmarkEnd w:id="132"/>
      <w:bookmarkEnd w:id="133"/>
      <w:bookmarkEnd w:id="134"/>
      <w:bookmarkEnd w:id="135"/>
      <w:bookmarkEnd w:id="136"/>
      <w:bookmarkEnd w:id="137"/>
      <w:bookmarkEnd w:id="138"/>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r>
      <w:bookmarkStart w:id="139" w:name="_Hlt445623825"/>
      <w:bookmarkEnd w:id="139"/>
      <w:r>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r>
      <w:bookmarkStart w:id="140" w:name="_Hlt451937145"/>
      <w:bookmarkEnd w:id="140"/>
      <w:r>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r>
        <w:rPr>
          <w:b/>
        </w:rPr>
        <w:t>“</w:t>
      </w:r>
      <w:r>
        <w:rPr>
          <w:rStyle w:val="CharDefText"/>
        </w:rPr>
        <w:t>Electricity Corporation</w:t>
      </w:r>
      <w:r>
        <w:rPr>
          <w:b/>
        </w:rPr>
        <w:t>”</w:t>
      </w:r>
      <w:r>
        <w:t xml:space="preserve"> means the Electricity Corporation established by the </w:t>
      </w:r>
      <w:r>
        <w:rPr>
          <w:i/>
        </w:rPr>
        <w:t>Electricity Corporation Act 1994</w:t>
      </w:r>
      <w:r>
        <w:t>;</w:t>
      </w:r>
    </w:p>
    <w:p>
      <w:pPr>
        <w:pStyle w:val="Defstart"/>
      </w:pPr>
      <w:r>
        <w:tab/>
      </w:r>
      <w:r>
        <w:rPr>
          <w:b/>
          <w:bCs/>
        </w:rPr>
        <w:t>“</w:t>
      </w:r>
      <w:r>
        <w:rPr>
          <w:rStyle w:val="CharDefText"/>
        </w:rPr>
        <w:t>specified</w:t>
      </w:r>
      <w:r>
        <w:rPr>
          <w:b/>
          <w:bCs/>
        </w:rPr>
        <w:t>”</w:t>
      </w:r>
      <w:r>
        <w:t xml:space="preserve"> means specified in the transfer order.</w:t>
      </w:r>
    </w:p>
    <w:p>
      <w:pPr>
        <w:pStyle w:val="Heading5"/>
      </w:pPr>
      <w:bookmarkStart w:id="141" w:name="_Toc450990723"/>
      <w:bookmarkStart w:id="142" w:name="_Toc470049097"/>
      <w:bookmarkStart w:id="143" w:name="_Toc471116541"/>
      <w:bookmarkStart w:id="144" w:name="_Toc471175145"/>
      <w:bookmarkStart w:id="145" w:name="_Toc59524475"/>
      <w:bookmarkStart w:id="146" w:name="_Toc59524585"/>
      <w:bookmarkStart w:id="147" w:name="_Toc122836130"/>
      <w:r>
        <w:rPr>
          <w:rStyle w:val="CharSectno"/>
        </w:rPr>
        <w:t>17</w:t>
      </w:r>
      <w:r>
        <w:t>.</w:t>
      </w:r>
      <w:r>
        <w:tab/>
        <w:t>Completion of necessary transactions</w:t>
      </w:r>
      <w:bookmarkEnd w:id="141"/>
      <w:bookmarkEnd w:id="142"/>
      <w:bookmarkEnd w:id="143"/>
      <w:bookmarkEnd w:id="144"/>
      <w:bookmarkEnd w:id="145"/>
      <w:bookmarkEnd w:id="146"/>
      <w:bookmarkEnd w:id="147"/>
    </w:p>
    <w:p>
      <w:pPr>
        <w:pStyle w:val="Subsection"/>
      </w:pPr>
      <w:r>
        <w:tab/>
      </w:r>
      <w:r>
        <w:tab/>
        <w:t xml:space="preserve">If section 16 cannot, to any extent, have effect as described in this Division (whether because a matter is governed </w:t>
      </w:r>
      <w:bookmarkStart w:id="148" w:name="_Hlt448916617"/>
      <w:bookmarkEnd w:id="148"/>
      <w:r>
        <w:t>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149" w:name="_Toc450990724"/>
      <w:bookmarkStart w:id="150" w:name="_Toc470049098"/>
      <w:bookmarkStart w:id="151" w:name="_Toc471116542"/>
      <w:bookmarkStart w:id="152" w:name="_Toc471175146"/>
      <w:bookmarkStart w:id="153" w:name="_Toc59524476"/>
      <w:bookmarkStart w:id="154" w:name="_Toc59524586"/>
      <w:bookmarkStart w:id="155" w:name="_Toc122836131"/>
      <w:r>
        <w:rPr>
          <w:rStyle w:val="CharSectno"/>
        </w:rPr>
        <w:t>18</w:t>
      </w:r>
      <w:r>
        <w:t>.</w:t>
      </w:r>
      <w:r>
        <w:tab/>
        <w:t>Contracts arising from certain internal arrangements of corporation</w:t>
      </w:r>
      <w:bookmarkEnd w:id="149"/>
      <w:bookmarkEnd w:id="150"/>
      <w:bookmarkEnd w:id="151"/>
      <w:bookmarkEnd w:id="152"/>
      <w:bookmarkEnd w:id="153"/>
      <w:bookmarkEnd w:id="154"/>
      <w:bookmarkEnd w:id="155"/>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156" w:name="_Toc450990725"/>
      <w:bookmarkStart w:id="157" w:name="_Toc470049099"/>
      <w:bookmarkStart w:id="158" w:name="_Toc471116543"/>
      <w:bookmarkStart w:id="159" w:name="_Toc471175147"/>
      <w:bookmarkStart w:id="160" w:name="_Toc59524477"/>
      <w:bookmarkStart w:id="161" w:name="_Toc59524587"/>
      <w:bookmarkStart w:id="162" w:name="_Toc122836132"/>
      <w:r>
        <w:rPr>
          <w:rStyle w:val="CharSectno"/>
        </w:rPr>
        <w:t>19</w:t>
      </w:r>
      <w:r>
        <w:t>.</w:t>
      </w:r>
      <w:r>
        <w:tab/>
        <w:t>Arrangements for custody and use of records</w:t>
      </w:r>
      <w:bookmarkEnd w:id="156"/>
      <w:bookmarkEnd w:id="157"/>
      <w:bookmarkEnd w:id="158"/>
      <w:bookmarkEnd w:id="159"/>
      <w:bookmarkEnd w:id="160"/>
      <w:bookmarkEnd w:id="161"/>
      <w:bookmarkEnd w:id="162"/>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w:t>
      </w:r>
      <w:bookmarkStart w:id="163" w:name="_Hlt445629737"/>
      <w:bookmarkEnd w:id="163"/>
      <w:r>
        <w:rPr>
          <w:snapToGrid w:val="0"/>
        </w:rPr>
        <w:t xml:space="preserve">asset, liability, </w:t>
      </w:r>
      <w:r>
        <w:t>proceedings, agreement, or instrument</w:t>
      </w:r>
      <w:r>
        <w:rPr>
          <w:snapToGrid w:val="0"/>
        </w:rPr>
        <w:t xml:space="preserve"> specified under section 15(1) </w:t>
      </w:r>
      <w:r>
        <w:t>in a transfer order.</w:t>
      </w:r>
    </w:p>
    <w:p>
      <w:pPr>
        <w:pStyle w:val="Heading5"/>
      </w:pPr>
      <w:bookmarkStart w:id="164" w:name="_Toc450990726"/>
      <w:bookmarkStart w:id="165" w:name="_Toc470049100"/>
      <w:bookmarkStart w:id="166" w:name="_Toc471116544"/>
      <w:bookmarkStart w:id="167" w:name="_Toc471175148"/>
      <w:bookmarkStart w:id="168" w:name="_Toc59524478"/>
      <w:bookmarkStart w:id="169" w:name="_Toc59524588"/>
      <w:bookmarkStart w:id="170" w:name="_Toc122836133"/>
      <w:r>
        <w:rPr>
          <w:rStyle w:val="CharSectno"/>
        </w:rPr>
        <w:t>20</w:t>
      </w:r>
      <w:r>
        <w:t>.</w:t>
      </w:r>
      <w:r>
        <w:tab/>
        <w:t>Registration of documents</w:t>
      </w:r>
      <w:bookmarkEnd w:id="164"/>
      <w:bookmarkEnd w:id="165"/>
      <w:bookmarkEnd w:id="166"/>
      <w:bookmarkEnd w:id="167"/>
      <w:bookmarkEnd w:id="168"/>
      <w:bookmarkEnd w:id="169"/>
      <w:bookmarkEnd w:id="170"/>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b/>
          <w:bCs/>
        </w:rPr>
        <w:t>“</w:t>
      </w:r>
      <w:r>
        <w:rPr>
          <w:rStyle w:val="CharDefText"/>
        </w:rPr>
        <w:t>relevant official</w:t>
      </w:r>
      <w:r>
        <w:rPr>
          <w:b/>
        </w:rPr>
        <w:t>”</w:t>
      </w:r>
      <w:r>
        <w:t xml:space="preserve"> means the Registrar of Titles, the Registrar of Deeds,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b/>
          <w:bCs/>
        </w:rPr>
        <w:t>“</w:t>
      </w:r>
      <w:r>
        <w:rPr>
          <w:rStyle w:val="CharDefText"/>
        </w:rPr>
        <w:t>relevant property</w:t>
      </w:r>
      <w:r>
        <w:rPr>
          <w:b/>
          <w:bCs/>
        </w:rPr>
        <w:t>”</w:t>
      </w:r>
      <w:r>
        <w:t xml:space="preserve"> means property of a kind affected by the transfer order, whether it is an estate or interest in land or any other property.</w:t>
      </w:r>
    </w:p>
    <w:p>
      <w:pPr>
        <w:pStyle w:val="Heading5"/>
        <w:keepNext w:val="0"/>
      </w:pPr>
      <w:bookmarkStart w:id="171" w:name="_Toc450990727"/>
      <w:bookmarkStart w:id="172" w:name="_Toc470049101"/>
      <w:bookmarkStart w:id="173" w:name="_Toc471116545"/>
      <w:bookmarkStart w:id="174" w:name="_Toc471175149"/>
      <w:bookmarkStart w:id="175" w:name="_Toc59524479"/>
      <w:bookmarkStart w:id="176" w:name="_Toc59524589"/>
      <w:bookmarkStart w:id="177" w:name="_Toc122836134"/>
      <w:r>
        <w:rPr>
          <w:rStyle w:val="CharSectno"/>
        </w:rPr>
        <w:t>21</w:t>
      </w:r>
      <w:r>
        <w:t>.</w:t>
      </w:r>
      <w:r>
        <w:tab/>
        <w:t>Rectifying error in transfer order</w:t>
      </w:r>
      <w:bookmarkEnd w:id="171"/>
      <w:bookmarkEnd w:id="172"/>
      <w:bookmarkEnd w:id="173"/>
      <w:bookmarkEnd w:id="174"/>
      <w:bookmarkEnd w:id="175"/>
      <w:bookmarkEnd w:id="176"/>
      <w:bookmarkEnd w:id="177"/>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78" w:name="_Hlt448917040"/>
      <w:bookmarkEnd w:id="178"/>
      <w:r>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179" w:name="_Toc113957267"/>
      <w:bookmarkStart w:id="180" w:name="_Toc117066143"/>
      <w:bookmarkStart w:id="181" w:name="_Toc117306737"/>
      <w:bookmarkStart w:id="182" w:name="_Toc119234172"/>
      <w:bookmarkStart w:id="183" w:name="_Toc119234403"/>
      <w:bookmarkStart w:id="184" w:name="_Toc121277035"/>
      <w:bookmarkStart w:id="185" w:name="_Toc122836135"/>
      <w:r>
        <w:rPr>
          <w:rStyle w:val="CharDivNo"/>
        </w:rPr>
        <w:t>Division 2</w:t>
      </w:r>
      <w:r>
        <w:t xml:space="preserve"> — </w:t>
      </w:r>
      <w:r>
        <w:rPr>
          <w:rStyle w:val="CharDivText"/>
        </w:rPr>
        <w:t>Other matters</w:t>
      </w:r>
      <w:bookmarkEnd w:id="179"/>
      <w:bookmarkEnd w:id="180"/>
      <w:bookmarkEnd w:id="181"/>
      <w:bookmarkEnd w:id="182"/>
      <w:bookmarkEnd w:id="183"/>
      <w:bookmarkEnd w:id="184"/>
      <w:bookmarkEnd w:id="185"/>
    </w:p>
    <w:p>
      <w:pPr>
        <w:pStyle w:val="Heading5"/>
      </w:pPr>
      <w:bookmarkStart w:id="186" w:name="_Toc470049102"/>
      <w:bookmarkStart w:id="187" w:name="_Toc471116546"/>
      <w:bookmarkStart w:id="188" w:name="_Toc471175150"/>
      <w:bookmarkStart w:id="189" w:name="_Toc59524480"/>
      <w:bookmarkStart w:id="190" w:name="_Toc59524590"/>
      <w:bookmarkStart w:id="191" w:name="_Toc122836136"/>
      <w:r>
        <w:rPr>
          <w:rStyle w:val="CharSectno"/>
        </w:rPr>
        <w:t>22</w:t>
      </w:r>
      <w:r>
        <w:t>.</w:t>
      </w:r>
      <w:r>
        <w:tab/>
        <w:t>Assignable nature of the assets</w:t>
      </w:r>
      <w:bookmarkEnd w:id="186"/>
      <w:bookmarkEnd w:id="187"/>
      <w:bookmarkEnd w:id="188"/>
      <w:bookmarkEnd w:id="189"/>
      <w:bookmarkEnd w:id="190"/>
      <w:bookmarkEnd w:id="191"/>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192" w:name="_Toc470049103"/>
      <w:bookmarkStart w:id="193" w:name="_Toc471116547"/>
      <w:bookmarkStart w:id="194" w:name="_Toc471175151"/>
      <w:bookmarkStart w:id="195" w:name="_Toc59524481"/>
      <w:bookmarkStart w:id="196" w:name="_Toc59524591"/>
      <w:bookmarkStart w:id="197" w:name="_Toc122836137"/>
      <w:r>
        <w:rPr>
          <w:rStyle w:val="CharSectno"/>
        </w:rPr>
        <w:t>23</w:t>
      </w:r>
      <w:r>
        <w:t>.</w:t>
      </w:r>
      <w:r>
        <w:tab/>
        <w:t>Benefits of easements assignable</w:t>
      </w:r>
      <w:bookmarkEnd w:id="192"/>
      <w:bookmarkEnd w:id="193"/>
      <w:bookmarkEnd w:id="194"/>
      <w:bookmarkEnd w:id="195"/>
      <w:bookmarkEnd w:id="196"/>
      <w:bookmarkEnd w:id="197"/>
    </w:p>
    <w:p>
      <w:pPr>
        <w:pStyle w:val="Subsection"/>
      </w:pPr>
      <w:r>
        <w:tab/>
        <w:t>(1)</w:t>
      </w:r>
      <w:r>
        <w:tab/>
        <w:t xml:space="preserve">The benefit of an easement in favour of the corporation to which any land is subject by virtue of section 27A(1)(b)(v) of the </w:t>
      </w:r>
      <w:r>
        <w:rPr>
          <w:i/>
        </w:rPr>
        <w:t>Town Planning and Development Act 1928</w:t>
      </w:r>
      <w:r>
        <w:t xml:space="preserve"> or otherwise (even though the easement may not have been created as being assignable) is capable of being assigned from the corporation or any person to whom it may be subsequently assigned.</w:t>
      </w:r>
    </w:p>
    <w:p>
      <w:pPr>
        <w:pStyle w:val="Subsection"/>
      </w:pPr>
      <w:r>
        <w:tab/>
        <w:t>(2)</w:t>
      </w:r>
      <w:r>
        <w:tab/>
        <w:t>Upon being satisfied that an easement has been assigned in accordance with subsection (1), the Registrar of Titles or Registrar of Deeds 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rPr>
          <w:b/>
        </w:rPr>
      </w:pPr>
      <w:r>
        <w:tab/>
      </w:r>
      <w:r>
        <w:tab/>
        <w:t>is to make all such entries or endorsements, or register any such memorial, as may be necessary or proper to show the person having the benefit of the easement.</w:t>
      </w:r>
    </w:p>
    <w:p>
      <w:pPr>
        <w:pStyle w:val="Heading5"/>
      </w:pPr>
      <w:bookmarkStart w:id="198" w:name="_Toc470049104"/>
      <w:bookmarkStart w:id="199" w:name="_Toc471116548"/>
      <w:bookmarkStart w:id="200" w:name="_Toc471175152"/>
      <w:bookmarkStart w:id="201" w:name="_Toc59524482"/>
      <w:bookmarkStart w:id="202" w:name="_Toc59524592"/>
      <w:bookmarkStart w:id="203" w:name="_Toc122836138"/>
      <w:r>
        <w:rPr>
          <w:rStyle w:val="CharSectno"/>
        </w:rPr>
        <w:t>24</w:t>
      </w:r>
      <w:r>
        <w:t>.</w:t>
      </w:r>
      <w:r>
        <w:tab/>
        <w:t>Use of corporation’s staff and facilities</w:t>
      </w:r>
      <w:bookmarkEnd w:id="198"/>
      <w:bookmarkEnd w:id="199"/>
      <w:bookmarkEnd w:id="200"/>
      <w:bookmarkEnd w:id="201"/>
      <w:bookmarkEnd w:id="202"/>
      <w:bookmarkEnd w:id="203"/>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204" w:name="_Toc470049105"/>
      <w:bookmarkStart w:id="205" w:name="_Toc471116549"/>
      <w:bookmarkStart w:id="206" w:name="_Toc471175153"/>
      <w:bookmarkStart w:id="207" w:name="_Toc59524483"/>
      <w:bookmarkStart w:id="208" w:name="_Toc59524593"/>
      <w:bookmarkStart w:id="209" w:name="_Toc122836139"/>
      <w:r>
        <w:rPr>
          <w:rStyle w:val="CharSectno"/>
        </w:rPr>
        <w:t>25</w:t>
      </w:r>
      <w:r>
        <w:t>.</w:t>
      </w:r>
      <w:r>
        <w:tab/>
        <w:t>Consumer contracts</w:t>
      </w:r>
      <w:bookmarkEnd w:id="204"/>
      <w:bookmarkEnd w:id="205"/>
      <w:bookmarkEnd w:id="206"/>
      <w:bookmarkEnd w:id="207"/>
      <w:bookmarkEnd w:id="208"/>
      <w:bookmarkEnd w:id="209"/>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b/>
        </w:rPr>
        <w:t>“</w:t>
      </w:r>
      <w:r>
        <w:rPr>
          <w:rStyle w:val="CharDefText"/>
        </w:rPr>
        <w:t>Coordinator of Energy</w:t>
      </w:r>
      <w:r>
        <w:rPr>
          <w:b/>
        </w:rPr>
        <w:t>”</w:t>
      </w:r>
      <w:r>
        <w:t xml:space="preserve"> means the Coordinator of Energy referred to in section 4 of the </w:t>
      </w:r>
      <w:r>
        <w:rPr>
          <w:i/>
        </w:rPr>
        <w:t>Energy Coordination Act 1994;</w:t>
      </w:r>
    </w:p>
    <w:p>
      <w:pPr>
        <w:pStyle w:val="Defstart"/>
      </w:pPr>
      <w:r>
        <w:tab/>
      </w:r>
      <w:r>
        <w:rPr>
          <w:b/>
        </w:rPr>
        <w:t>“</w:t>
      </w:r>
      <w:r>
        <w:rPr>
          <w:rStyle w:val="CharDefText"/>
        </w:rPr>
        <w:t>relevant day</w:t>
      </w:r>
      <w:r>
        <w:rPr>
          <w:b/>
        </w:rPr>
        <w:t>”</w:t>
      </w:r>
      <w:r>
        <w:t xml:space="preserve"> means the day fixed under section 2(5) or such earlier day as the Minister may fix for the purposes of this section by notice published in the </w:t>
      </w:r>
      <w:r>
        <w:rPr>
          <w:i/>
        </w:rPr>
        <w:t>Gazette</w:t>
      </w:r>
      <w:r>
        <w:t>;</w:t>
      </w:r>
    </w:p>
    <w:p>
      <w:pPr>
        <w:pStyle w:val="Defstart"/>
      </w:pPr>
      <w:r>
        <w:tab/>
      </w:r>
      <w:r>
        <w:rPr>
          <w:b/>
        </w:rPr>
        <w:t>“</w:t>
      </w:r>
      <w:r>
        <w:rPr>
          <w:rStyle w:val="CharDefText"/>
        </w:rPr>
        <w:t>supply business</w:t>
      </w:r>
      <w:r>
        <w:rPr>
          <w:b/>
        </w:rPr>
        <w:t>”</w:t>
      </w:r>
      <w:r>
        <w:t xml:space="preserve"> means that part of the operations of the corporation or a subsidiary that consisted of or included the supply of gas to tariff consumers;</w:t>
      </w:r>
    </w:p>
    <w:p>
      <w:pPr>
        <w:pStyle w:val="Defstart"/>
      </w:pPr>
      <w:r>
        <w:tab/>
      </w:r>
      <w:r>
        <w:rPr>
          <w:b/>
        </w:rPr>
        <w:t>“</w:t>
      </w:r>
      <w:r>
        <w:rPr>
          <w:rStyle w:val="CharDefText"/>
        </w:rPr>
        <w:t>tariff consumer</w:t>
      </w:r>
      <w:r>
        <w:rPr>
          <w:b/>
        </w:rPr>
        <w:t>”</w:t>
      </w:r>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210" w:name="_Toc470049106"/>
      <w:bookmarkStart w:id="211" w:name="_Toc471116550"/>
      <w:bookmarkStart w:id="212" w:name="_Toc471175154"/>
      <w:bookmarkStart w:id="213" w:name="_Toc59524484"/>
      <w:bookmarkStart w:id="214" w:name="_Toc59524594"/>
      <w:bookmarkStart w:id="215" w:name="_Toc122836140"/>
      <w:r>
        <w:rPr>
          <w:rStyle w:val="CharSectno"/>
        </w:rPr>
        <w:t>26</w:t>
      </w:r>
      <w:r>
        <w:t>.</w:t>
      </w:r>
      <w:r>
        <w:tab/>
        <w:t>Proceeds of disposal</w:t>
      </w:r>
      <w:bookmarkEnd w:id="210"/>
      <w:bookmarkEnd w:id="211"/>
      <w:bookmarkEnd w:id="212"/>
      <w:bookmarkEnd w:id="213"/>
      <w:bookmarkEnd w:id="214"/>
      <w:bookmarkEnd w:id="215"/>
    </w:p>
    <w:p>
      <w:pPr>
        <w:pStyle w:val="Subsection"/>
      </w:pPr>
      <w:r>
        <w:tab/>
        <w:t>(1)</w:t>
      </w:r>
      <w:r>
        <w:tab/>
        <w:t>A direction under section </w:t>
      </w:r>
      <w:bookmarkStart w:id="216" w:name="_Hlt452008613"/>
      <w:r>
        <w:t>7(1)</w:t>
      </w:r>
      <w:bookmarkEnd w:id="216"/>
      <w:r>
        <w:t xml:space="preserve">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fourthly by the payment of the balance into the Consolidated Fund.</w:t>
      </w:r>
    </w:p>
    <w:p>
      <w:pPr>
        <w:pStyle w:val="Heading5"/>
        <w:keepNext w:val="0"/>
      </w:pPr>
      <w:bookmarkStart w:id="217" w:name="_Toc470049107"/>
      <w:bookmarkStart w:id="218" w:name="_Toc471116551"/>
      <w:bookmarkStart w:id="219" w:name="_Toc471175155"/>
      <w:bookmarkStart w:id="220" w:name="_Toc59524485"/>
      <w:bookmarkStart w:id="221" w:name="_Toc59524595"/>
      <w:bookmarkStart w:id="222" w:name="_Toc122836141"/>
      <w:r>
        <w:rPr>
          <w:rStyle w:val="CharSectno"/>
        </w:rPr>
        <w:t>27</w:t>
      </w:r>
      <w:r>
        <w:t>.</w:t>
      </w:r>
      <w:r>
        <w:tab/>
        <w:t>Disclosure of information</w:t>
      </w:r>
      <w:bookmarkEnd w:id="217"/>
      <w:bookmarkEnd w:id="218"/>
      <w:bookmarkEnd w:id="219"/>
      <w:bookmarkEnd w:id="220"/>
      <w:bookmarkEnd w:id="221"/>
      <w:bookmarkEnd w:id="222"/>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r>
      <w:bookmarkStart w:id="223" w:name="_Hlt451741287"/>
      <w:bookmarkEnd w:id="223"/>
      <w:r>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224" w:name="_Toc470049108"/>
      <w:bookmarkStart w:id="225" w:name="_Toc471116552"/>
      <w:bookmarkStart w:id="226" w:name="_Toc471175156"/>
      <w:bookmarkStart w:id="227" w:name="_Toc59524486"/>
      <w:bookmarkStart w:id="228" w:name="_Toc59524596"/>
      <w:bookmarkStart w:id="229" w:name="_Toc122836142"/>
      <w:r>
        <w:rPr>
          <w:rStyle w:val="CharSectno"/>
        </w:rPr>
        <w:t>28</w:t>
      </w:r>
      <w:r>
        <w:t>.</w:t>
      </w:r>
      <w:r>
        <w:tab/>
        <w:t>Auditor General may disclose information</w:t>
      </w:r>
      <w:bookmarkEnd w:id="224"/>
      <w:bookmarkEnd w:id="225"/>
      <w:bookmarkEnd w:id="226"/>
      <w:bookmarkEnd w:id="227"/>
      <w:bookmarkEnd w:id="228"/>
      <w:bookmarkEnd w:id="229"/>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91 of the </w:t>
      </w:r>
      <w:r>
        <w:rPr>
          <w:i/>
        </w:rPr>
        <w:t>Financial Administration and Audit Act 1985</w:t>
      </w:r>
      <w:r>
        <w:t>.</w:t>
      </w:r>
    </w:p>
    <w:p>
      <w:pPr>
        <w:pStyle w:val="Heading5"/>
      </w:pPr>
      <w:bookmarkStart w:id="230" w:name="_Toc470049109"/>
      <w:bookmarkStart w:id="231" w:name="_Toc471116553"/>
      <w:bookmarkStart w:id="232" w:name="_Toc471175157"/>
      <w:bookmarkStart w:id="233" w:name="_Toc59524487"/>
      <w:bookmarkStart w:id="234" w:name="_Toc59524597"/>
      <w:bookmarkStart w:id="235" w:name="_Toc122836143"/>
      <w:r>
        <w:rPr>
          <w:rStyle w:val="CharSectno"/>
        </w:rPr>
        <w:t>29</w:t>
      </w:r>
      <w:r>
        <w:t>.</w:t>
      </w:r>
      <w:r>
        <w:tab/>
        <w:t>Offence of disclosing information</w:t>
      </w:r>
      <w:bookmarkEnd w:id="230"/>
      <w:bookmarkEnd w:id="231"/>
      <w:bookmarkEnd w:id="232"/>
      <w:bookmarkEnd w:id="233"/>
      <w:bookmarkEnd w:id="234"/>
      <w:bookmarkEnd w:id="235"/>
    </w:p>
    <w:p>
      <w:pPr>
        <w:pStyle w:val="Subsection"/>
      </w:pPr>
      <w:r>
        <w:tab/>
        <w:t>(1)</w:t>
      </w:r>
      <w:r>
        <w:tab/>
        <w:t>A person who —</w:t>
      </w:r>
    </w:p>
    <w:p>
      <w:pPr>
        <w:pStyle w:val="Indenta"/>
      </w:pPr>
      <w:r>
        <w:tab/>
        <w:t>(a)</w:t>
      </w:r>
      <w:r>
        <w:tab/>
        <w:t>under section </w:t>
      </w:r>
      <w:bookmarkStart w:id="236" w:name="_Hlt462034284"/>
      <w:r>
        <w:t>28</w:t>
      </w:r>
      <w:bookmarkEnd w:id="236"/>
      <w:r>
        <w:t xml:space="preserve">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r>
        <w:rPr>
          <w:b/>
        </w:rPr>
        <w:t>“</w:t>
      </w:r>
      <w:r>
        <w:rPr>
          <w:rStyle w:val="CharDefText"/>
        </w:rPr>
        <w:t>the bound recipient</w:t>
      </w:r>
      <w:r>
        <w:rPr>
          <w:b/>
        </w:rPr>
        <w:t>”</w:t>
      </w:r>
      <w:r>
        <w:t>)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237" w:name="_Toc470049110"/>
      <w:bookmarkStart w:id="238" w:name="_Toc471116554"/>
      <w:bookmarkStart w:id="239" w:name="_Toc471175158"/>
      <w:bookmarkStart w:id="240" w:name="_Toc59524488"/>
      <w:bookmarkStart w:id="241" w:name="_Toc59524598"/>
      <w:bookmarkStart w:id="242" w:name="_Toc122836144"/>
      <w:r>
        <w:rPr>
          <w:rStyle w:val="CharSectno"/>
        </w:rPr>
        <w:t>30</w:t>
      </w:r>
      <w:r>
        <w:t>.</w:t>
      </w:r>
      <w:r>
        <w:tab/>
        <w:t>Saving</w:t>
      </w:r>
      <w:bookmarkEnd w:id="237"/>
      <w:bookmarkEnd w:id="238"/>
      <w:bookmarkEnd w:id="239"/>
      <w:bookmarkEnd w:id="240"/>
      <w:bookmarkEnd w:id="241"/>
      <w:bookmarkEnd w:id="242"/>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43" w:name="_Toc470049111"/>
      <w:bookmarkStart w:id="244" w:name="_Toc471116555"/>
      <w:bookmarkStart w:id="245" w:name="_Toc471175159"/>
      <w:bookmarkStart w:id="246" w:name="_Toc59524489"/>
      <w:bookmarkStart w:id="247" w:name="_Toc59524599"/>
      <w:bookmarkStart w:id="248" w:name="_Toc122836145"/>
      <w:r>
        <w:rPr>
          <w:rStyle w:val="CharSectno"/>
        </w:rPr>
        <w:t>31</w:t>
      </w:r>
      <w:r>
        <w:t>.</w:t>
      </w:r>
      <w:r>
        <w:tab/>
        <w:t>State indemnities and guarantees</w:t>
      </w:r>
      <w:bookmarkEnd w:id="243"/>
      <w:bookmarkEnd w:id="244"/>
      <w:bookmarkEnd w:id="245"/>
      <w:bookmarkEnd w:id="246"/>
      <w:bookmarkEnd w:id="247"/>
      <w:bookmarkEnd w:id="248"/>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b/>
        </w:rPr>
        <w:t>“</w:t>
      </w:r>
      <w:r>
        <w:rPr>
          <w:rStyle w:val="CharDefText"/>
        </w:rPr>
        <w:t>liability</w:t>
      </w:r>
      <w:r>
        <w:rPr>
          <w:b/>
        </w:rPr>
        <w:t>”</w:t>
      </w:r>
      <w:r>
        <w:t xml:space="preserve"> includes civil liability under the Corporations Law.</w:t>
      </w:r>
    </w:p>
    <w:p>
      <w:pPr>
        <w:pStyle w:val="Subsection"/>
      </w:pPr>
      <w:r>
        <w:tab/>
        <w:t>(4)</w:t>
      </w:r>
      <w:r>
        <w:tab/>
        <w:t>The payment of any money under an indemnity or guarantee given under this section is to be made by the Treasurer and charged to the Consolidated Fund, which this section appropriates to the necessary extent.</w:t>
      </w:r>
    </w:p>
    <w:p>
      <w:pPr>
        <w:pStyle w:val="Heading5"/>
      </w:pPr>
      <w:bookmarkStart w:id="249" w:name="_Toc470049112"/>
      <w:bookmarkStart w:id="250" w:name="_Toc471116556"/>
      <w:bookmarkStart w:id="251" w:name="_Toc471175160"/>
      <w:bookmarkStart w:id="252" w:name="_Toc59524490"/>
      <w:bookmarkStart w:id="253" w:name="_Toc59524600"/>
      <w:bookmarkStart w:id="254" w:name="_Toc122836146"/>
      <w:r>
        <w:rPr>
          <w:rStyle w:val="CharSectno"/>
        </w:rPr>
        <w:t>32</w:t>
      </w:r>
      <w:r>
        <w:t>.</w:t>
      </w:r>
      <w:r>
        <w:tab/>
        <w:t>State takeover of certain obligations</w:t>
      </w:r>
      <w:bookmarkEnd w:id="249"/>
      <w:bookmarkEnd w:id="250"/>
      <w:bookmarkEnd w:id="251"/>
      <w:bookmarkEnd w:id="252"/>
      <w:bookmarkEnd w:id="253"/>
      <w:bookmarkEnd w:id="254"/>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A payment authorised under subsection (4) is to be made out of the Consolidated Fund, which this section appropriates to the necessary extent.</w:t>
      </w:r>
    </w:p>
    <w:p>
      <w:pPr>
        <w:pStyle w:val="Heading5"/>
      </w:pPr>
      <w:bookmarkStart w:id="255" w:name="_Hlt446831007"/>
      <w:bookmarkStart w:id="256" w:name="_Toc450990719"/>
      <w:bookmarkStart w:id="257" w:name="_Toc470049113"/>
      <w:bookmarkStart w:id="258" w:name="_Toc471116557"/>
      <w:bookmarkStart w:id="259" w:name="_Toc471175161"/>
      <w:bookmarkStart w:id="260" w:name="_Toc59524491"/>
      <w:bookmarkStart w:id="261" w:name="_Toc59524601"/>
      <w:bookmarkStart w:id="262" w:name="_Toc122836147"/>
      <w:bookmarkEnd w:id="255"/>
      <w:r>
        <w:rPr>
          <w:rStyle w:val="CharSectno"/>
        </w:rPr>
        <w:t>33</w:t>
      </w:r>
      <w:r>
        <w:t>.</w:t>
      </w:r>
      <w:r>
        <w:tab/>
        <w:t>Regulations</w:t>
      </w:r>
      <w:bookmarkEnd w:id="256"/>
      <w:bookmarkEnd w:id="257"/>
      <w:bookmarkEnd w:id="258"/>
      <w:bookmarkEnd w:id="259"/>
      <w:bookmarkEnd w:id="260"/>
      <w:bookmarkEnd w:id="261"/>
      <w:bookmarkEnd w:id="262"/>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263" w:name="_Toc113957280"/>
      <w:bookmarkStart w:id="264" w:name="_Toc117066156"/>
      <w:bookmarkStart w:id="265" w:name="_Toc117306750"/>
      <w:bookmarkStart w:id="266" w:name="_Toc119234185"/>
      <w:bookmarkStart w:id="267" w:name="_Toc119234416"/>
      <w:bookmarkStart w:id="268" w:name="_Toc121277048"/>
      <w:bookmarkStart w:id="269" w:name="_Toc122836148"/>
      <w:r>
        <w:rPr>
          <w:rStyle w:val="CharPartNo"/>
        </w:rPr>
        <w:t>Part 4</w:t>
      </w:r>
      <w:r>
        <w:rPr>
          <w:rStyle w:val="CharDivNo"/>
        </w:rPr>
        <w:t xml:space="preserve"> </w:t>
      </w:r>
      <w:r>
        <w:t>—</w:t>
      </w:r>
      <w:r>
        <w:rPr>
          <w:rStyle w:val="CharDivText"/>
        </w:rPr>
        <w:t xml:space="preserve"> </w:t>
      </w:r>
      <w:r>
        <w:rPr>
          <w:rStyle w:val="CharPartText"/>
        </w:rPr>
        <w:t>Transitional provisions</w:t>
      </w:r>
      <w:bookmarkEnd w:id="263"/>
      <w:bookmarkEnd w:id="264"/>
      <w:bookmarkEnd w:id="265"/>
      <w:bookmarkEnd w:id="266"/>
      <w:bookmarkEnd w:id="267"/>
      <w:bookmarkEnd w:id="268"/>
      <w:bookmarkEnd w:id="269"/>
    </w:p>
    <w:p>
      <w:pPr>
        <w:pStyle w:val="Heading5"/>
      </w:pPr>
      <w:bookmarkStart w:id="270" w:name="_Toc470049114"/>
      <w:bookmarkStart w:id="271" w:name="_Toc471116558"/>
      <w:bookmarkStart w:id="272" w:name="_Toc471175162"/>
      <w:bookmarkStart w:id="273" w:name="_Toc59524492"/>
      <w:bookmarkStart w:id="274" w:name="_Toc59524602"/>
      <w:bookmarkStart w:id="275" w:name="_Toc122836149"/>
      <w:r>
        <w:rPr>
          <w:rStyle w:val="CharSectno"/>
        </w:rPr>
        <w:t>34</w:t>
      </w:r>
      <w:r>
        <w:t>.</w:t>
      </w:r>
      <w:r>
        <w:tab/>
        <w:t>Purpose of this Part</w:t>
      </w:r>
      <w:bookmarkEnd w:id="270"/>
      <w:bookmarkEnd w:id="271"/>
      <w:bookmarkEnd w:id="272"/>
      <w:bookmarkEnd w:id="273"/>
      <w:bookmarkEnd w:id="274"/>
      <w:bookmarkEnd w:id="275"/>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276" w:name="_Toc470049115"/>
      <w:bookmarkStart w:id="277" w:name="_Toc471116559"/>
      <w:bookmarkStart w:id="278" w:name="_Toc471175163"/>
      <w:bookmarkStart w:id="279" w:name="_Toc59524493"/>
      <w:bookmarkStart w:id="280" w:name="_Toc59524603"/>
      <w:bookmarkStart w:id="281" w:name="_Toc122836150"/>
      <w:r>
        <w:rPr>
          <w:rStyle w:val="CharSectno"/>
        </w:rPr>
        <w:t>35</w:t>
      </w:r>
      <w:r>
        <w:t>.</w:t>
      </w:r>
      <w:r>
        <w:tab/>
        <w:t>Subsidiary to have corporation’s powers and duties</w:t>
      </w:r>
      <w:bookmarkEnd w:id="276"/>
      <w:bookmarkEnd w:id="277"/>
      <w:bookmarkEnd w:id="278"/>
      <w:bookmarkEnd w:id="279"/>
      <w:bookmarkEnd w:id="280"/>
      <w:bookmarkEnd w:id="281"/>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282" w:name="_Toc470049116"/>
      <w:bookmarkStart w:id="283" w:name="_Toc471116560"/>
      <w:bookmarkStart w:id="284" w:name="_Toc471175164"/>
      <w:bookmarkStart w:id="285" w:name="_Toc59524494"/>
      <w:bookmarkStart w:id="286" w:name="_Toc59524604"/>
      <w:bookmarkStart w:id="287" w:name="_Toc122836151"/>
      <w:r>
        <w:rPr>
          <w:rStyle w:val="CharSectno"/>
        </w:rPr>
        <w:t>36</w:t>
      </w:r>
      <w:r>
        <w:t>.</w:t>
      </w:r>
      <w:r>
        <w:tab/>
        <w:t>Modification of other written laws</w:t>
      </w:r>
      <w:bookmarkEnd w:id="282"/>
      <w:bookmarkEnd w:id="283"/>
      <w:bookmarkEnd w:id="284"/>
      <w:bookmarkEnd w:id="285"/>
      <w:bookmarkEnd w:id="286"/>
      <w:bookmarkEnd w:id="287"/>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288" w:name="_Toc113957284"/>
      <w:bookmarkStart w:id="289" w:name="_Toc117066160"/>
      <w:bookmarkStart w:id="290" w:name="_Toc117306754"/>
      <w:bookmarkStart w:id="291" w:name="_Toc119234189"/>
      <w:bookmarkStart w:id="292" w:name="_Toc119234420"/>
      <w:bookmarkStart w:id="293" w:name="_Toc121277052"/>
      <w:bookmarkStart w:id="294" w:name="_Toc122836152"/>
      <w:r>
        <w:rPr>
          <w:rStyle w:val="CharPartNo"/>
        </w:rPr>
        <w:t>Part 5</w:t>
      </w:r>
      <w:r>
        <w:rPr>
          <w:rStyle w:val="CharDivNo"/>
        </w:rPr>
        <w:t xml:space="preserve"> </w:t>
      </w:r>
      <w:r>
        <w:t>—</w:t>
      </w:r>
      <w:r>
        <w:rPr>
          <w:rStyle w:val="CharDivText"/>
        </w:rPr>
        <w:t xml:space="preserve"> </w:t>
      </w:r>
      <w:r>
        <w:rPr>
          <w:rStyle w:val="CharPartText"/>
        </w:rPr>
        <w:t>Miscellaneous</w:t>
      </w:r>
      <w:bookmarkEnd w:id="288"/>
      <w:bookmarkEnd w:id="289"/>
      <w:bookmarkEnd w:id="290"/>
      <w:bookmarkEnd w:id="291"/>
      <w:bookmarkEnd w:id="292"/>
      <w:bookmarkEnd w:id="293"/>
      <w:bookmarkEnd w:id="294"/>
    </w:p>
    <w:p>
      <w:pPr>
        <w:pStyle w:val="Heading5"/>
        <w:spacing w:before="120"/>
      </w:pPr>
      <w:bookmarkStart w:id="295" w:name="_Toc470049117"/>
      <w:bookmarkStart w:id="296" w:name="_Toc471116561"/>
      <w:bookmarkStart w:id="297" w:name="_Toc471175165"/>
      <w:bookmarkStart w:id="298" w:name="_Toc59524495"/>
      <w:bookmarkStart w:id="299" w:name="_Toc59524605"/>
      <w:bookmarkStart w:id="300" w:name="_Toc122836153"/>
      <w:r>
        <w:rPr>
          <w:rStyle w:val="CharSectno"/>
        </w:rPr>
        <w:t>37</w:t>
      </w:r>
      <w:r>
        <w:t>.</w:t>
      </w:r>
      <w:r>
        <w:tab/>
        <w:t>Auditor General to report on certain matters</w:t>
      </w:r>
      <w:bookmarkEnd w:id="295"/>
      <w:bookmarkEnd w:id="296"/>
      <w:bookmarkEnd w:id="297"/>
      <w:bookmarkEnd w:id="298"/>
      <w:bookmarkEnd w:id="299"/>
      <w:bookmarkEnd w:id="300"/>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95 of the </w:t>
      </w:r>
      <w:r>
        <w:rPr>
          <w:i/>
        </w:rPr>
        <w:t>Financial Administration and Audit Act 1985</w:t>
      </w:r>
      <w:r>
        <w:t xml:space="preserve"> a report on the extent of the liability of the State under those indemnities and guarantees.</w:t>
      </w:r>
    </w:p>
    <w:p>
      <w:pPr>
        <w:pStyle w:val="Heading5"/>
      </w:pPr>
      <w:bookmarkStart w:id="301" w:name="_Toc470049118"/>
      <w:bookmarkStart w:id="302" w:name="_Toc471116562"/>
      <w:bookmarkStart w:id="303" w:name="_Toc471175166"/>
      <w:bookmarkStart w:id="304" w:name="_Toc59524496"/>
      <w:bookmarkStart w:id="305" w:name="_Toc59524606"/>
      <w:bookmarkStart w:id="306" w:name="_Toc122836154"/>
      <w:r>
        <w:rPr>
          <w:rStyle w:val="CharSectno"/>
        </w:rPr>
        <w:t>38</w:t>
      </w:r>
      <w:r>
        <w:t>.</w:t>
      </w:r>
      <w:r>
        <w:tab/>
        <w:t>Regulations</w:t>
      </w:r>
      <w:bookmarkEnd w:id="301"/>
      <w:bookmarkEnd w:id="302"/>
      <w:bookmarkEnd w:id="303"/>
      <w:bookmarkEnd w:id="304"/>
      <w:bookmarkEnd w:id="305"/>
      <w:bookmarkEnd w:id="3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(Western Australia)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b/>
        </w:rPr>
        <w:t>“</w:t>
      </w:r>
      <w:r>
        <w:rPr>
          <w:rStyle w:val="CharDefText"/>
        </w:rPr>
        <w:t>distribution area</w:t>
      </w:r>
      <w:r>
        <w:rPr>
          <w:b/>
        </w:rPr>
        <w:t>”</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r>
      <w:r>
        <w:tab/>
        <w:t>applies.</w:t>
      </w:r>
    </w:p>
    <w:p>
      <w:pPr>
        <w:pStyle w:val="Heading2"/>
      </w:pPr>
      <w:bookmarkStart w:id="307" w:name="_Toc121277055"/>
      <w:bookmarkStart w:id="308" w:name="_Toc122836155"/>
      <w:r>
        <w:rPr>
          <w:rStyle w:val="CharPartNo"/>
        </w:rPr>
        <w:t>Part 6</w:t>
      </w:r>
      <w:r>
        <w:t xml:space="preserve"> — </w:t>
      </w:r>
      <w:r>
        <w:rPr>
          <w:rStyle w:val="CharPartText"/>
        </w:rPr>
        <w:t>Effect on other Acts</w:t>
      </w:r>
      <w:bookmarkEnd w:id="307"/>
      <w:bookmarkEnd w:id="308"/>
    </w:p>
    <w:p>
      <w:pPr>
        <w:pStyle w:val="Heading3"/>
      </w:pPr>
      <w:bookmarkStart w:id="309" w:name="_Toc121277056"/>
      <w:bookmarkStart w:id="310" w:name="_Toc122836156"/>
      <w:r>
        <w:rPr>
          <w:rStyle w:val="CharDivNo"/>
        </w:rPr>
        <w:t>Division 1</w:t>
      </w:r>
      <w:r>
        <w:t xml:space="preserve"> — </w:t>
      </w:r>
      <w:r>
        <w:rPr>
          <w:rStyle w:val="CharDivText"/>
        </w:rPr>
        <w:t>Provisions commencing on Royal Assent</w:t>
      </w:r>
      <w:bookmarkEnd w:id="309"/>
      <w:bookmarkEnd w:id="310"/>
    </w:p>
    <w:p>
      <w:pPr>
        <w:pStyle w:val="Ednotesubdivision"/>
      </w:pPr>
      <w:r>
        <w:t>[Subdivisions 1-8 omitted under the Reprints Act 1984 s. 7(4)(e).]</w:t>
      </w:r>
    </w:p>
    <w:p>
      <w:pPr>
        <w:pStyle w:val="Heading4"/>
      </w:pPr>
      <w:bookmarkStart w:id="311" w:name="_Toc121277057"/>
      <w:bookmarkStart w:id="312" w:name="_Toc122836157"/>
      <w:r>
        <w:t xml:space="preserve">Subdivision 9 — </w:t>
      </w:r>
      <w:r>
        <w:rPr>
          <w:i/>
        </w:rPr>
        <w:t>Local Government Act 1995</w:t>
      </w:r>
      <w:bookmarkEnd w:id="311"/>
      <w:bookmarkEnd w:id="312"/>
    </w:p>
    <w:p>
      <w:pPr>
        <w:pStyle w:val="Heading5"/>
      </w:pPr>
      <w:bookmarkStart w:id="313" w:name="_Toc470049147"/>
      <w:bookmarkStart w:id="314" w:name="_Toc471116591"/>
      <w:bookmarkStart w:id="315" w:name="_Toc471175195"/>
      <w:bookmarkStart w:id="316" w:name="_Toc59524525"/>
      <w:bookmarkStart w:id="317" w:name="_Toc59524635"/>
      <w:bookmarkStart w:id="318" w:name="_Toc122836158"/>
      <w:r>
        <w:rPr>
          <w:rStyle w:val="CharSectno"/>
        </w:rPr>
        <w:t>67</w:t>
      </w:r>
      <w:r>
        <w:t>.</w:t>
      </w:r>
      <w:r>
        <w:tab/>
        <w:t>Presence of pipeline does not constitute occupation of land</w:t>
      </w:r>
      <w:bookmarkEnd w:id="313"/>
      <w:bookmarkEnd w:id="314"/>
      <w:bookmarkEnd w:id="315"/>
      <w:bookmarkEnd w:id="316"/>
      <w:bookmarkEnd w:id="317"/>
      <w:bookmarkEnd w:id="318"/>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19" w:name="_Toc113957400"/>
      <w:bookmarkStart w:id="320" w:name="_Toc117066263"/>
      <w:bookmarkStart w:id="321" w:name="_Toc117306857"/>
      <w:bookmarkStart w:id="322" w:name="_Toc119234192"/>
      <w:bookmarkStart w:id="323" w:name="_Toc119234423"/>
      <w:bookmarkStart w:id="324" w:name="_Toc121277059"/>
      <w:bookmarkStart w:id="325" w:name="_Toc122836159"/>
      <w:r>
        <w:t>Notes</w:t>
      </w:r>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6" w:name="_Toc122836160"/>
      <w:r>
        <w:rPr>
          <w:snapToGrid w:val="0"/>
        </w:rPr>
        <w:t>Compilation table</w:t>
      </w:r>
      <w:bookmarkEnd w:id="3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keepNext/>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keepNext/>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keepNext/>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keepNext/>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keepNext/>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single" w:sz="8" w:space="0" w:color="auto"/>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7" w:name="_Toc534778309"/>
      <w:bookmarkStart w:id="328" w:name="_Toc7405063"/>
      <w:bookmarkStart w:id="329" w:name="_Toc117408453"/>
      <w:bookmarkStart w:id="330" w:name="_Toc122836161"/>
      <w:r>
        <w:rPr>
          <w:snapToGrid w:val="0"/>
        </w:rPr>
        <w:t>Provisions that have not come into operation</w:t>
      </w:r>
      <w:bookmarkEnd w:id="327"/>
      <w:bookmarkEnd w:id="328"/>
      <w:bookmarkEnd w:id="329"/>
      <w:bookmarkEnd w:id="3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5</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 xml:space="preserve">Pt. 6 Div. 5 did not come into operation and was repealed </w:t>
      </w:r>
      <w:r>
        <w:t xml:space="preserve">by the </w:t>
      </w:r>
      <w:r>
        <w:rPr>
          <w:i/>
        </w:rPr>
        <w:t>Statutes (Repeals and Minor Amendments) Act 2003</w:t>
      </w:r>
      <w:r>
        <w:t xml:space="preserve"> s. 58(3).</w:t>
      </w:r>
    </w:p>
    <w:p>
      <w:pPr>
        <w:pStyle w:val="nSubsection"/>
        <w:rPr>
          <w:snapToGrid w:val="0"/>
        </w:rPr>
      </w:pPr>
      <w:bookmarkStart w:id="331" w:name="_Toc117306859"/>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32" w:name="_Toc476631191"/>
      <w:bookmarkStart w:id="333" w:name="_Toc477066412"/>
      <w:bookmarkStart w:id="334" w:name="_Toc497301942"/>
      <w:bookmarkStart w:id="335" w:name="_Toc83657956"/>
      <w:bookmarkStart w:id="336" w:name="_Toc122243710"/>
      <w:bookmarkStart w:id="337" w:name="_Toc122425166"/>
      <w:r>
        <w:rPr>
          <w:rStyle w:val="CharSectno"/>
        </w:rPr>
        <w:t>15</w:t>
      </w:r>
      <w:r>
        <w:t>.</w:t>
      </w:r>
      <w:r>
        <w:tab/>
        <w:t>Acts in Schedule 2 amended</w:t>
      </w:r>
      <w:bookmarkEnd w:id="332"/>
      <w:bookmarkEnd w:id="333"/>
      <w:bookmarkEnd w:id="334"/>
      <w:bookmarkEnd w:id="335"/>
      <w:bookmarkEnd w:id="336"/>
      <w:bookmarkEnd w:id="33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27 reads as follows:</w:t>
      </w:r>
    </w:p>
    <w:p>
      <w:pPr>
        <w:pStyle w:val="MiscOpen"/>
      </w:pPr>
      <w:r>
        <w:t>“</w:t>
      </w:r>
    </w:p>
    <w:p>
      <w:pPr>
        <w:pStyle w:val="nzHeading2"/>
      </w:pPr>
      <w:bookmarkStart w:id="338" w:name="_Toc122243734"/>
      <w:bookmarkStart w:id="339" w:name="_Toc122425190"/>
      <w:r>
        <w:rPr>
          <w:rStyle w:val="CharSchNo"/>
        </w:rPr>
        <w:t>Schedule 2</w:t>
      </w:r>
      <w:r>
        <w:rPr>
          <w:rStyle w:val="CharSDivNo"/>
        </w:rPr>
        <w:t> </w:t>
      </w:r>
      <w:r>
        <w:t>—</w:t>
      </w:r>
      <w:r>
        <w:rPr>
          <w:rStyle w:val="CharSDivText"/>
        </w:rPr>
        <w:t> </w:t>
      </w:r>
      <w:r>
        <w:rPr>
          <w:rStyle w:val="CharSchText"/>
        </w:rPr>
        <w:t>Consequential amendments</w:t>
      </w:r>
      <w:bookmarkEnd w:id="338"/>
      <w:bookmarkEnd w:id="339"/>
    </w:p>
    <w:p>
      <w:pPr>
        <w:pStyle w:val="nzMiscellaneousBody"/>
        <w:jc w:val="right"/>
      </w:pPr>
      <w:r>
        <w:t>[s.</w:t>
      </w:r>
      <w:bookmarkStart w:id="340" w:name="_Hlt485012328"/>
      <w:r>
        <w:t> 15</w:t>
      </w:r>
      <w:bookmarkEnd w:id="340"/>
      <w:r>
        <w:t>]</w:t>
      </w:r>
    </w:p>
    <w:p>
      <w:pPr>
        <w:pStyle w:val="nzHeading5"/>
      </w:pPr>
      <w:bookmarkStart w:id="341" w:name="_Toc497301974"/>
      <w:bookmarkStart w:id="342" w:name="_Toc83658038"/>
      <w:bookmarkStart w:id="343" w:name="_Toc122243761"/>
      <w:bookmarkStart w:id="344" w:name="_Toc122425217"/>
      <w:r>
        <w:rPr>
          <w:rStyle w:val="CharSClsNo"/>
          <w:sz w:val="20"/>
        </w:rPr>
        <w:t>27</w:t>
      </w:r>
      <w:r>
        <w:t>.</w:t>
      </w:r>
      <w:r>
        <w:tab/>
      </w:r>
      <w:r>
        <w:rPr>
          <w:i/>
        </w:rPr>
        <w:t>Gas Corporation (Business Disposal) Act 1999</w:t>
      </w:r>
      <w:bookmarkEnd w:id="341"/>
      <w:bookmarkEnd w:id="342"/>
      <w:bookmarkEnd w:id="343"/>
      <w:bookmarkEnd w:id="344"/>
    </w:p>
    <w:p>
      <w:pPr>
        <w:pStyle w:val="nzSubsection"/>
      </w:pPr>
      <w:r>
        <w:tab/>
      </w:r>
      <w:r>
        <w:tab/>
        <w:t xml:space="preserve">Section 23(1) is amended by deleting “section 27A(1)(b)(v) of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ind w:right="616"/>
      </w:pPr>
      <w:r>
        <w:rPr>
          <w:sz w:val="22"/>
        </w:rPr>
        <w:tab/>
      </w:r>
      <w:r>
        <w:rPr>
          <w:sz w:val="22"/>
        </w:rPr>
        <w:tab/>
      </w:r>
      <w:r>
        <w:t xml:space="preserve">section 167(1)(b)(iv) of the </w:t>
      </w:r>
      <w:r>
        <w:rPr>
          <w:i/>
        </w:rPr>
        <w:t>Planning and Development Act 2005</w:t>
      </w:r>
    </w:p>
    <w:p>
      <w:pPr>
        <w:pStyle w:val="MiscClose"/>
        <w:ind w:right="136"/>
        <w:rPr>
          <w:sz w:val="22"/>
        </w:rPr>
      </w:pPr>
      <w:r>
        <w:rPr>
          <w:sz w:val="22"/>
        </w:rPr>
        <w:t xml:space="preserve">    ”.</w:t>
      </w:r>
    </w:p>
    <w:p>
      <w:pPr>
        <w:pStyle w:val="MiscClose"/>
        <w:rPr>
          <w:sz w:val="22"/>
        </w:rPr>
      </w:pPr>
      <w:r>
        <w:rPr>
          <w:sz w:val="22"/>
        </w:rPr>
        <w:t xml:space="preserve">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331"/>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7363</Words>
  <Characters>35860</Characters>
  <Application>Microsoft Office Word</Application>
  <DocSecurity>0</DocSecurity>
  <Lines>943</Lines>
  <Paragraphs>540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42683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1999 - 01-b0-02</dc:title>
  <dc:subject/>
  <dc:creator/>
  <cp:keywords/>
  <dc:description/>
  <cp:lastModifiedBy>svcMRProcess</cp:lastModifiedBy>
  <cp:revision>4</cp:revision>
  <cp:lastPrinted>2005-12-07T00:31:00Z</cp:lastPrinted>
  <dcterms:created xsi:type="dcterms:W3CDTF">2018-08-29T09:23:00Z</dcterms:created>
  <dcterms:modified xsi:type="dcterms:W3CDTF">2018-08-29T09:23:00Z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1982</vt:i4>
  </property>
  <property fmtid="{D5CDD505-2E9C-101B-9397-08002B2CF9AE}" pid="6" name="AsAtDate">
    <vt:lpwstr>12 Dec 2005</vt:lpwstr>
  </property>
  <property fmtid="{D5CDD505-2E9C-101B-9397-08002B2CF9AE}" pid="7" name="Suffix">
    <vt:lpwstr>01-b0-02</vt:lpwstr>
  </property>
</Properties>
</file>