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bookmarkStart w:id="1" w:name="UpToHere"/>
    <w:bookmarkEnd w:id="1"/>
    <w:p>
      <w:pPr>
        <w:pStyle w:val="NameofActRegPage1"/>
        <w:spacing w:before="3760" w:after="4200"/>
      </w:pPr>
      <w:r>
        <w:fldChar w:fldCharType="begin"/>
      </w:r>
      <w:r>
        <w:instrText xml:space="preserve"> STYLEREF "Name Of Act/Reg"</w:instrText>
      </w:r>
      <w:r>
        <w:fldChar w:fldCharType="separate"/>
      </w:r>
      <w:r>
        <w:rPr>
          <w:noProof/>
        </w:rPr>
        <w:t>Administration Act 1903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86"/>
        </w:tabs>
        <w:rPr>
          <w:b w:val="0"/>
          <w:noProof/>
          <w:sz w:val="24"/>
          <w:szCs w:val="24"/>
        </w:rPr>
      </w:pPr>
      <w:r>
        <w:rPr>
          <w:noProof/>
        </w:rPr>
        <w:fldChar w:fldCharType="begin"/>
      </w:r>
      <w:r>
        <w:rPr>
          <w:noProof/>
        </w:rPr>
        <w:instrText xml:space="preserve"> TOC \o "1-3" \t "Heading 4,3,Heading 5,4,yScheduleHeading,5,yScheduleHeading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 and construction</w:t>
      </w:r>
      <w:r>
        <w:rPr>
          <w:noProof/>
        </w:rPr>
        <w:tab/>
      </w:r>
      <w:r>
        <w:rPr>
          <w:noProof/>
        </w:rPr>
        <w:fldChar w:fldCharType="begin"/>
      </w:r>
      <w:r>
        <w:rPr>
          <w:noProof/>
        </w:rPr>
        <w:instrText xml:space="preserve"> PAGEREF _Toc170124303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_Toc170124304 \h </w:instrText>
      </w:r>
      <w:r>
        <w:rPr>
          <w:noProof/>
        </w:rPr>
      </w:r>
      <w:r>
        <w:rPr>
          <w:noProof/>
        </w:rPr>
        <w:fldChar w:fldCharType="separate"/>
      </w:r>
      <w:r>
        <w:rPr>
          <w:noProof/>
        </w:rPr>
        <w:t>2</w:t>
      </w:r>
      <w:r>
        <w:rPr>
          <w:noProof/>
        </w:rPr>
        <w:fldChar w:fldCharType="end"/>
      </w:r>
    </w:p>
    <w:p>
      <w:pPr>
        <w:pStyle w:val="TOC2"/>
        <w:tabs>
          <w:tab w:val="right" w:leader="dot" w:pos="7086"/>
        </w:tabs>
        <w:rPr>
          <w:b w:val="0"/>
          <w:noProof/>
          <w:sz w:val="24"/>
          <w:szCs w:val="24"/>
        </w:rPr>
      </w:pPr>
      <w:r>
        <w:rPr>
          <w:noProof/>
          <w:szCs w:val="30"/>
        </w:rPr>
        <w:t>Part II — Probate and administration</w:t>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Jurisdiction of Court as heretofore</w:t>
      </w:r>
      <w:r>
        <w:rPr>
          <w:noProof/>
        </w:rPr>
        <w:tab/>
      </w:r>
      <w:r>
        <w:rPr>
          <w:noProof/>
        </w:rPr>
        <w:fldChar w:fldCharType="begin"/>
      </w:r>
      <w:r>
        <w:rPr>
          <w:noProof/>
        </w:rPr>
        <w:instrText xml:space="preserve"> PAGEREF _Toc170124306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Duties of Principal Registrar</w:t>
      </w:r>
      <w:r>
        <w:rPr>
          <w:noProof/>
        </w:rPr>
        <w:tab/>
      </w:r>
      <w:r>
        <w:rPr>
          <w:noProof/>
        </w:rPr>
        <w:fldChar w:fldCharType="begin"/>
      </w:r>
      <w:r>
        <w:rPr>
          <w:noProof/>
        </w:rPr>
        <w:instrText xml:space="preserve"> PAGEREF _Toc170124307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Power to grant probate and administration</w:t>
      </w:r>
      <w:r>
        <w:rPr>
          <w:noProof/>
        </w:rPr>
        <w:tab/>
      </w:r>
      <w:r>
        <w:rPr>
          <w:noProof/>
        </w:rPr>
        <w:fldChar w:fldCharType="begin"/>
      </w:r>
      <w:r>
        <w:rPr>
          <w:noProof/>
        </w:rPr>
        <w:instrText xml:space="preserve"> PAGEREF _Toc170124308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Probate may be granted to one or more executors</w:t>
      </w:r>
      <w:r>
        <w:rPr>
          <w:noProof/>
        </w:rPr>
        <w:tab/>
      </w:r>
      <w:r>
        <w:rPr>
          <w:noProof/>
        </w:rPr>
        <w:fldChar w:fldCharType="begin"/>
      </w:r>
      <w:r>
        <w:rPr>
          <w:noProof/>
        </w:rPr>
        <w:instrText xml:space="preserve"> PAGEREF _Toc170124309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Upon grant of probate or administration real and personal estate to vest in executor or administrator</w:t>
      </w:r>
      <w:r>
        <w:rPr>
          <w:noProof/>
        </w:rPr>
        <w:tab/>
      </w:r>
      <w:r>
        <w:rPr>
          <w:noProof/>
        </w:rPr>
        <w:fldChar w:fldCharType="begin"/>
      </w:r>
      <w:r>
        <w:rPr>
          <w:noProof/>
        </w:rPr>
        <w:instrText xml:space="preserve"> PAGEREF _Toc170124310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Real estate to vest subject to trusts</w:t>
      </w:r>
      <w:r>
        <w:rPr>
          <w:noProof/>
        </w:rPr>
        <w:tab/>
      </w:r>
      <w:r>
        <w:rPr>
          <w:noProof/>
        </w:rPr>
        <w:fldChar w:fldCharType="begin"/>
      </w:r>
      <w:r>
        <w:rPr>
          <w:noProof/>
        </w:rPr>
        <w:instrText xml:space="preserve"> PAGEREF _Toc170124311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Real and personal estate to be assets</w:t>
      </w:r>
      <w:r>
        <w:rPr>
          <w:noProof/>
        </w:rPr>
        <w:tab/>
      </w:r>
      <w:r>
        <w:rPr>
          <w:noProof/>
        </w:rPr>
        <w:fldChar w:fldCharType="begin"/>
      </w:r>
      <w:r>
        <w:rPr>
          <w:noProof/>
        </w:rPr>
        <w:instrText xml:space="preserve"> PAGEREF _Toc170124312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10A</w:t>
      </w:r>
      <w:r>
        <w:rPr>
          <w:noProof/>
          <w:snapToGrid w:val="0"/>
          <w:szCs w:val="24"/>
        </w:rPr>
        <w:t xml:space="preserve">. </w:t>
      </w:r>
      <w:r>
        <w:rPr>
          <w:noProof/>
          <w:sz w:val="24"/>
          <w:szCs w:val="24"/>
        </w:rPr>
        <w:tab/>
      </w:r>
      <w:r>
        <w:rPr>
          <w:noProof/>
          <w:snapToGrid w:val="0"/>
          <w:szCs w:val="24"/>
        </w:rPr>
        <w:t>Insolvent estates</w:t>
      </w:r>
      <w:r>
        <w:rPr>
          <w:noProof/>
        </w:rPr>
        <w:tab/>
      </w:r>
      <w:r>
        <w:rPr>
          <w:noProof/>
        </w:rPr>
        <w:fldChar w:fldCharType="begin"/>
      </w:r>
      <w:r>
        <w:rPr>
          <w:noProof/>
        </w:rPr>
        <w:instrText xml:space="preserve"> PAGEREF _Toc170124313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Subject as aforesaid real estate to vest according to will</w:t>
      </w:r>
      <w:r>
        <w:rPr>
          <w:noProof/>
        </w:rPr>
        <w:tab/>
      </w:r>
      <w:r>
        <w:rPr>
          <w:noProof/>
        </w:rPr>
        <w:fldChar w:fldCharType="begin"/>
      </w:r>
      <w:r>
        <w:rPr>
          <w:noProof/>
        </w:rPr>
        <w:instrText xml:space="preserve"> PAGEREF _Toc170124314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Executor to have same rights and duties as to real estate as heretofore as to personal estate</w:t>
      </w:r>
      <w:r>
        <w:rPr>
          <w:noProof/>
        </w:rPr>
        <w:tab/>
      </w:r>
      <w:r>
        <w:rPr>
          <w:noProof/>
        </w:rPr>
        <w:fldChar w:fldCharType="begin"/>
      </w:r>
      <w:r>
        <w:rPr>
          <w:noProof/>
        </w:rPr>
        <w:instrText xml:space="preserve"> PAGEREF _Toc170124315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12A</w:t>
      </w:r>
      <w:r>
        <w:rPr>
          <w:noProof/>
          <w:snapToGrid w:val="0"/>
          <w:szCs w:val="24"/>
        </w:rPr>
        <w:t xml:space="preserve">. </w:t>
      </w:r>
      <w:r>
        <w:rPr>
          <w:noProof/>
          <w:sz w:val="24"/>
          <w:szCs w:val="24"/>
        </w:rPr>
        <w:tab/>
      </w:r>
      <w:r>
        <w:rPr>
          <w:noProof/>
          <w:snapToGrid w:val="0"/>
          <w:szCs w:val="24"/>
        </w:rPr>
        <w:t>Entitlement to participation in distribution of intestate estates</w:t>
      </w:r>
      <w:r>
        <w:rPr>
          <w:noProof/>
        </w:rPr>
        <w:tab/>
      </w:r>
      <w:r>
        <w:rPr>
          <w:noProof/>
        </w:rPr>
        <w:fldChar w:fldCharType="begin"/>
      </w:r>
      <w:r>
        <w:rPr>
          <w:noProof/>
        </w:rPr>
        <w:instrText xml:space="preserve"> PAGEREF _Toc170124316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12B</w:t>
      </w:r>
      <w:r>
        <w:rPr>
          <w:noProof/>
          <w:snapToGrid w:val="0"/>
          <w:szCs w:val="24"/>
        </w:rPr>
        <w:t xml:space="preserve">. </w:t>
      </w:r>
      <w:r>
        <w:rPr>
          <w:noProof/>
          <w:sz w:val="24"/>
          <w:szCs w:val="24"/>
        </w:rPr>
        <w:tab/>
      </w:r>
      <w:r>
        <w:rPr>
          <w:noProof/>
          <w:snapToGrid w:val="0"/>
          <w:szCs w:val="24"/>
        </w:rPr>
        <w:t>Relationships of the whole and the half blood</w:t>
      </w:r>
      <w:r>
        <w:rPr>
          <w:noProof/>
        </w:rPr>
        <w:tab/>
      </w:r>
      <w:r>
        <w:rPr>
          <w:noProof/>
        </w:rPr>
        <w:fldChar w:fldCharType="begin"/>
      </w:r>
      <w:r>
        <w:rPr>
          <w:noProof/>
        </w:rPr>
        <w:instrText xml:space="preserve"> PAGEREF _Toc170124317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Real and personal estate in case of intestacy</w:t>
      </w:r>
      <w:r>
        <w:rPr>
          <w:noProof/>
        </w:rPr>
        <w:tab/>
      </w:r>
      <w:r>
        <w:rPr>
          <w:noProof/>
        </w:rPr>
        <w:fldChar w:fldCharType="begin"/>
      </w:r>
      <w:r>
        <w:rPr>
          <w:noProof/>
        </w:rPr>
        <w:instrText xml:space="preserve"> PAGEREF _Toc170124318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Entitlements on intestacy</w:t>
      </w:r>
      <w:r>
        <w:rPr>
          <w:noProof/>
        </w:rPr>
        <w:tab/>
      </w:r>
      <w:r>
        <w:rPr>
          <w:noProof/>
        </w:rPr>
        <w:fldChar w:fldCharType="begin"/>
      </w:r>
      <w:r>
        <w:rPr>
          <w:noProof/>
        </w:rPr>
        <w:instrText xml:space="preserve"> PAGEREF _Toc170124319 \h </w:instrText>
      </w:r>
      <w:r>
        <w:rPr>
          <w:noProof/>
        </w:rPr>
      </w:r>
      <w:r>
        <w:rPr>
          <w:noProof/>
        </w:rPr>
        <w:fldChar w:fldCharType="separate"/>
      </w:r>
      <w:r>
        <w:rPr>
          <w:noProof/>
        </w:rPr>
        <w:t>9</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De facto partners and distribution on intestacy</w:t>
      </w:r>
      <w:r>
        <w:rPr>
          <w:noProof/>
        </w:rPr>
        <w:tab/>
      </w:r>
      <w:r>
        <w:rPr>
          <w:noProof/>
        </w:rPr>
        <w:fldChar w:fldCharType="begin"/>
      </w:r>
      <w:r>
        <w:rPr>
          <w:noProof/>
        </w:rPr>
        <w:instrText xml:space="preserve"> PAGEREF _Toc170124320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Courtesy and dower abolished</w:t>
      </w:r>
      <w:r>
        <w:rPr>
          <w:noProof/>
        </w:rPr>
        <w:tab/>
      </w:r>
      <w:r>
        <w:rPr>
          <w:noProof/>
        </w:rPr>
        <w:fldChar w:fldCharType="begin"/>
      </w:r>
      <w:r>
        <w:rPr>
          <w:noProof/>
        </w:rPr>
        <w:instrText xml:space="preserve"> PAGEREF _Toc170124321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Court may deal with interest of infants in certain cases</w:t>
      </w:r>
      <w:r>
        <w:rPr>
          <w:noProof/>
        </w:rPr>
        <w:tab/>
      </w:r>
      <w:r>
        <w:rPr>
          <w:noProof/>
        </w:rPr>
        <w:fldChar w:fldCharType="begin"/>
      </w:r>
      <w:r>
        <w:rPr>
          <w:noProof/>
        </w:rPr>
        <w:instrText xml:space="preserve"> PAGEREF _Toc170124322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17A</w:t>
      </w:r>
      <w:r>
        <w:rPr>
          <w:noProof/>
          <w:snapToGrid w:val="0"/>
          <w:szCs w:val="24"/>
        </w:rPr>
        <w:t xml:space="preserve">. </w:t>
      </w:r>
      <w:r>
        <w:rPr>
          <w:noProof/>
          <w:sz w:val="24"/>
          <w:szCs w:val="24"/>
        </w:rPr>
        <w:tab/>
      </w:r>
      <w:r>
        <w:rPr>
          <w:noProof/>
          <w:snapToGrid w:val="0"/>
          <w:szCs w:val="24"/>
        </w:rPr>
        <w:t>Power to appoint trustees of infant’s property</w:t>
      </w:r>
      <w:r>
        <w:rPr>
          <w:noProof/>
        </w:rPr>
        <w:tab/>
      </w:r>
      <w:r>
        <w:rPr>
          <w:noProof/>
        </w:rPr>
        <w:fldChar w:fldCharType="begin"/>
      </w:r>
      <w:r>
        <w:rPr>
          <w:noProof/>
        </w:rPr>
        <w:instrText xml:space="preserve"> PAGEREF _Toc170124323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lastRenderedPageBreak/>
        <w:t>19</w:t>
      </w:r>
      <w:r>
        <w:rPr>
          <w:noProof/>
          <w:snapToGrid w:val="0"/>
          <w:szCs w:val="24"/>
        </w:rPr>
        <w:t>.</w:t>
      </w:r>
      <w:r>
        <w:rPr>
          <w:noProof/>
          <w:sz w:val="24"/>
          <w:szCs w:val="24"/>
        </w:rPr>
        <w:tab/>
      </w:r>
      <w:r>
        <w:rPr>
          <w:noProof/>
          <w:snapToGrid w:val="0"/>
          <w:szCs w:val="24"/>
        </w:rPr>
        <w:t>Court may direct partition of real estate</w:t>
      </w:r>
      <w:r>
        <w:rPr>
          <w:noProof/>
        </w:rPr>
        <w:tab/>
      </w:r>
      <w:r>
        <w:rPr>
          <w:noProof/>
        </w:rPr>
        <w:fldChar w:fldCharType="begin"/>
      </w:r>
      <w:r>
        <w:rPr>
          <w:noProof/>
        </w:rPr>
        <w:instrText xml:space="preserve"> PAGEREF _Toc170124324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Personal representative may relinquish trust</w:t>
      </w:r>
      <w:r>
        <w:rPr>
          <w:noProof/>
        </w:rPr>
        <w:tab/>
      </w:r>
      <w:r>
        <w:rPr>
          <w:noProof/>
        </w:rPr>
        <w:fldChar w:fldCharType="begin"/>
      </w:r>
      <w:r>
        <w:rPr>
          <w:noProof/>
        </w:rPr>
        <w:instrText xml:space="preserve"> PAGEREF _Toc170124325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Executor or administrator to represent real estate</w:t>
      </w:r>
      <w:r>
        <w:rPr>
          <w:noProof/>
        </w:rPr>
        <w:tab/>
      </w:r>
      <w:r>
        <w:rPr>
          <w:noProof/>
        </w:rPr>
        <w:fldChar w:fldCharType="begin"/>
      </w:r>
      <w:r>
        <w:rPr>
          <w:noProof/>
        </w:rPr>
        <w:instrText xml:space="preserve"> PAGEREF _Toc170124326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All creditors to stand in equal degree</w:t>
      </w:r>
      <w:r>
        <w:rPr>
          <w:noProof/>
        </w:rPr>
        <w:tab/>
      </w:r>
      <w:r>
        <w:rPr>
          <w:noProof/>
        </w:rPr>
        <w:fldChar w:fldCharType="begin"/>
      </w:r>
      <w:r>
        <w:rPr>
          <w:noProof/>
        </w:rPr>
        <w:instrText xml:space="preserve"> PAGEREF _Toc170124327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Administration in case of intestacy</w:t>
      </w:r>
      <w:r>
        <w:rPr>
          <w:noProof/>
        </w:rPr>
        <w:tab/>
      </w:r>
      <w:r>
        <w:rPr>
          <w:noProof/>
        </w:rPr>
        <w:fldChar w:fldCharType="begin"/>
      </w:r>
      <w:r>
        <w:rPr>
          <w:noProof/>
        </w:rPr>
        <w:instrText xml:space="preserve"> PAGEREF _Toc170124328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Persons entitled to administration</w:t>
      </w:r>
      <w:r>
        <w:rPr>
          <w:noProof/>
        </w:rPr>
        <w:tab/>
      </w:r>
      <w:r>
        <w:rPr>
          <w:noProof/>
        </w:rPr>
        <w:fldChar w:fldCharType="begin"/>
      </w:r>
      <w:r>
        <w:rPr>
          <w:noProof/>
        </w:rPr>
        <w:instrText xml:space="preserve"> PAGEREF _Toc170124329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Power to require administrator to produce sureties</w:t>
      </w:r>
      <w:r>
        <w:rPr>
          <w:noProof/>
        </w:rPr>
        <w:tab/>
      </w:r>
      <w:r>
        <w:rPr>
          <w:noProof/>
        </w:rPr>
        <w:fldChar w:fldCharType="begin"/>
      </w:r>
      <w:r>
        <w:rPr>
          <w:noProof/>
        </w:rPr>
        <w:instrText xml:space="preserve"> PAGEREF _Toc170124330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Court may revoke grant; no grant before duty assessed</w:t>
      </w:r>
      <w:r>
        <w:rPr>
          <w:noProof/>
        </w:rPr>
        <w:tab/>
      </w:r>
      <w:r>
        <w:rPr>
          <w:noProof/>
        </w:rPr>
        <w:fldChar w:fldCharType="begin"/>
      </w:r>
      <w:r>
        <w:rPr>
          <w:noProof/>
        </w:rPr>
        <w:instrText xml:space="preserve"> PAGEREF _Toc170124331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In case of renunciation or failure to take probate, right of executor gone</w:t>
      </w:r>
      <w:r>
        <w:rPr>
          <w:noProof/>
        </w:rPr>
        <w:tab/>
      </w:r>
      <w:r>
        <w:rPr>
          <w:noProof/>
        </w:rPr>
        <w:fldChar w:fldCharType="begin"/>
      </w:r>
      <w:r>
        <w:rPr>
          <w:noProof/>
        </w:rPr>
        <w:instrText xml:space="preserve"> PAGEREF _Toc170124332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Where infant is executor, etc.</w:t>
      </w:r>
      <w:r>
        <w:rPr>
          <w:noProof/>
        </w:rPr>
        <w:tab/>
      </w:r>
      <w:r>
        <w:rPr>
          <w:noProof/>
        </w:rPr>
        <w:fldChar w:fldCharType="begin"/>
      </w:r>
      <w:r>
        <w:rPr>
          <w:noProof/>
        </w:rPr>
        <w:instrText xml:space="preserve"> PAGEREF _Toc170124333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Where person entitled to probate or administration is out of the jurisdiction</w:t>
      </w:r>
      <w:r>
        <w:rPr>
          <w:noProof/>
        </w:rPr>
        <w:tab/>
      </w:r>
      <w:r>
        <w:rPr>
          <w:noProof/>
        </w:rPr>
        <w:fldChar w:fldCharType="begin"/>
      </w:r>
      <w:r>
        <w:rPr>
          <w:noProof/>
        </w:rPr>
        <w:instrText xml:space="preserve"> PAGEREF _Toc170124334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Court may appoint a manager and receiver pending litigation</w:t>
      </w:r>
      <w:r>
        <w:rPr>
          <w:noProof/>
        </w:rPr>
        <w:tab/>
      </w:r>
      <w:r>
        <w:rPr>
          <w:noProof/>
        </w:rPr>
        <w:fldChar w:fldCharType="begin"/>
      </w:r>
      <w:r>
        <w:rPr>
          <w:noProof/>
        </w:rPr>
        <w:instrText xml:space="preserve"> PAGEREF _Toc170124335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Administration with the will annexed</w:t>
      </w:r>
      <w:r>
        <w:rPr>
          <w:noProof/>
        </w:rPr>
        <w:tab/>
      </w:r>
      <w:r>
        <w:rPr>
          <w:noProof/>
        </w:rPr>
        <w:fldChar w:fldCharType="begin"/>
      </w:r>
      <w:r>
        <w:rPr>
          <w:noProof/>
        </w:rPr>
        <w:instrText xml:space="preserve"> PAGEREF _Toc170124336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Probate or administration if executor, etc. absent or neglects to obtain probate, etc.</w:t>
      </w:r>
      <w:r>
        <w:rPr>
          <w:noProof/>
        </w:rPr>
        <w:tab/>
      </w:r>
      <w:r>
        <w:rPr>
          <w:noProof/>
        </w:rPr>
        <w:fldChar w:fldCharType="begin"/>
      </w:r>
      <w:r>
        <w:rPr>
          <w:noProof/>
        </w:rPr>
        <w:instrText xml:space="preserve"> PAGEREF _Toc170124337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Special letters of administration if executor or administrator not within jurisdiction</w:t>
      </w:r>
      <w:r>
        <w:rPr>
          <w:noProof/>
        </w:rPr>
        <w:tab/>
      </w:r>
      <w:r>
        <w:rPr>
          <w:noProof/>
        </w:rPr>
        <w:fldChar w:fldCharType="begin"/>
      </w:r>
      <w:r>
        <w:rPr>
          <w:noProof/>
        </w:rPr>
        <w:instrText xml:space="preserve"> PAGEREF _Toc170124338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On return of executor or administrator, special administration may be revoked</w:t>
      </w:r>
      <w:r>
        <w:rPr>
          <w:noProof/>
        </w:rPr>
        <w:tab/>
      </w:r>
      <w:r>
        <w:rPr>
          <w:noProof/>
        </w:rPr>
        <w:fldChar w:fldCharType="begin"/>
      </w:r>
      <w:r>
        <w:rPr>
          <w:noProof/>
        </w:rPr>
        <w:instrText xml:space="preserve"> PAGEREF _Toc170124339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Absent executor liable to account</w:t>
      </w:r>
      <w:r>
        <w:rPr>
          <w:noProof/>
        </w:rPr>
        <w:tab/>
      </w:r>
      <w:r>
        <w:rPr>
          <w:noProof/>
        </w:rPr>
        <w:fldChar w:fldCharType="begin"/>
      </w:r>
      <w:r>
        <w:rPr>
          <w:noProof/>
        </w:rPr>
        <w:instrText xml:space="preserve"> PAGEREF _Toc170124340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Revocation pending litigation not to abate proceedings</w:t>
      </w:r>
      <w:r>
        <w:rPr>
          <w:noProof/>
        </w:rPr>
        <w:tab/>
      </w:r>
      <w:r>
        <w:rPr>
          <w:noProof/>
        </w:rPr>
        <w:fldChar w:fldCharType="begin"/>
      </w:r>
      <w:r>
        <w:rPr>
          <w:noProof/>
        </w:rPr>
        <w:instrText xml:space="preserve"> PAGEREF _Toc170124341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Devisee or legatee may apply to Court in certain cases</w:t>
      </w:r>
      <w:r>
        <w:rPr>
          <w:noProof/>
        </w:rPr>
        <w:tab/>
      </w:r>
      <w:r>
        <w:rPr>
          <w:noProof/>
        </w:rPr>
        <w:fldChar w:fldCharType="begin"/>
      </w:r>
      <w:r>
        <w:rPr>
          <w:noProof/>
        </w:rPr>
        <w:instrText xml:space="preserve"> PAGEREF _Toc170124342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Inventory and accounts</w:t>
      </w:r>
      <w:r>
        <w:rPr>
          <w:noProof/>
        </w:rPr>
        <w:tab/>
      </w:r>
      <w:r>
        <w:rPr>
          <w:noProof/>
        </w:rPr>
        <w:fldChar w:fldCharType="begin"/>
      </w:r>
      <w:r>
        <w:rPr>
          <w:noProof/>
        </w:rPr>
        <w:instrText xml:space="preserve"> PAGEREF _Toc170124343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If accounts not filed Principal Registrar to give notice, etc.</w:t>
      </w:r>
      <w:r>
        <w:rPr>
          <w:noProof/>
        </w:rPr>
        <w:tab/>
      </w:r>
      <w:r>
        <w:rPr>
          <w:noProof/>
        </w:rPr>
        <w:fldChar w:fldCharType="begin"/>
      </w:r>
      <w:r>
        <w:rPr>
          <w:noProof/>
        </w:rPr>
        <w:instrText xml:space="preserve"> PAGEREF _Toc170124344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Court may settle all questions arising in administration</w:t>
      </w:r>
      <w:r>
        <w:rPr>
          <w:noProof/>
        </w:rPr>
        <w:tab/>
      </w:r>
      <w:r>
        <w:rPr>
          <w:noProof/>
        </w:rPr>
        <w:fldChar w:fldCharType="begin"/>
      </w:r>
      <w:r>
        <w:rPr>
          <w:noProof/>
        </w:rPr>
        <w:instrText xml:space="preserve"> PAGEREF _Toc170124345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46</w:t>
      </w:r>
      <w:r>
        <w:rPr>
          <w:noProof/>
          <w:snapToGrid w:val="0"/>
          <w:szCs w:val="24"/>
        </w:rPr>
        <w:t>.</w:t>
      </w:r>
      <w:r>
        <w:rPr>
          <w:noProof/>
          <w:sz w:val="24"/>
          <w:szCs w:val="24"/>
        </w:rPr>
        <w:tab/>
      </w:r>
      <w:r>
        <w:rPr>
          <w:noProof/>
          <w:snapToGrid w:val="0"/>
          <w:szCs w:val="24"/>
        </w:rPr>
        <w:t>Payments made before revocation to be valid</w:t>
      </w:r>
      <w:r>
        <w:rPr>
          <w:noProof/>
        </w:rPr>
        <w:tab/>
      </w:r>
      <w:r>
        <w:rPr>
          <w:noProof/>
        </w:rPr>
        <w:fldChar w:fldCharType="begin"/>
      </w:r>
      <w:r>
        <w:rPr>
          <w:noProof/>
        </w:rPr>
        <w:instrText xml:space="preserve"> PAGEREF _Toc170124346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Payments etc. to be valid notwithstanding defect</w:t>
      </w:r>
      <w:r>
        <w:rPr>
          <w:noProof/>
        </w:rPr>
        <w:tab/>
      </w:r>
      <w:r>
        <w:rPr>
          <w:noProof/>
        </w:rPr>
        <w:fldChar w:fldCharType="begin"/>
      </w:r>
      <w:r>
        <w:rPr>
          <w:noProof/>
        </w:rPr>
        <w:instrText xml:space="preserve"> PAGEREF _Toc170124347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47A</w:t>
      </w:r>
      <w:r>
        <w:rPr>
          <w:noProof/>
          <w:snapToGrid w:val="0"/>
          <w:szCs w:val="24"/>
        </w:rPr>
        <w:t xml:space="preserve">. </w:t>
      </w:r>
      <w:r>
        <w:rPr>
          <w:noProof/>
          <w:sz w:val="24"/>
          <w:szCs w:val="24"/>
        </w:rPr>
        <w:tab/>
      </w:r>
      <w:r>
        <w:rPr>
          <w:noProof/>
          <w:snapToGrid w:val="0"/>
          <w:szCs w:val="24"/>
        </w:rPr>
        <w:t>Protection of executors, administrators and trustees</w:t>
      </w:r>
      <w:r>
        <w:rPr>
          <w:noProof/>
        </w:rPr>
        <w:tab/>
      </w:r>
      <w:r>
        <w:rPr>
          <w:noProof/>
        </w:rPr>
        <w:fldChar w:fldCharType="begin"/>
      </w:r>
      <w:r>
        <w:rPr>
          <w:noProof/>
        </w:rPr>
        <w:instrText xml:space="preserve"> PAGEREF _Toc170124348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Executor deemed to be resident in State</w:t>
      </w:r>
      <w:r>
        <w:rPr>
          <w:noProof/>
        </w:rPr>
        <w:tab/>
      </w:r>
      <w:r>
        <w:rPr>
          <w:noProof/>
        </w:rPr>
        <w:fldChar w:fldCharType="begin"/>
      </w:r>
      <w:r>
        <w:rPr>
          <w:noProof/>
        </w:rPr>
        <w:instrText xml:space="preserve"> PAGEREF _Toc170124349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Court may appoint district agents</w:t>
      </w:r>
      <w:r>
        <w:rPr>
          <w:noProof/>
        </w:rPr>
        <w:tab/>
      </w:r>
      <w:r>
        <w:rPr>
          <w:noProof/>
        </w:rPr>
        <w:fldChar w:fldCharType="begin"/>
      </w:r>
      <w:r>
        <w:rPr>
          <w:noProof/>
        </w:rPr>
        <w:instrText xml:space="preserve"> PAGEREF _Toc170124350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Where estate does not exceed $10 000 the Principal Registrar or district agent may act</w:t>
      </w:r>
      <w:r>
        <w:rPr>
          <w:noProof/>
        </w:rPr>
        <w:tab/>
      </w:r>
      <w:r>
        <w:rPr>
          <w:noProof/>
        </w:rPr>
        <w:fldChar w:fldCharType="begin"/>
      </w:r>
      <w:r>
        <w:rPr>
          <w:noProof/>
        </w:rPr>
        <w:instrText xml:space="preserve"> PAGEREF _Toc170124351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Information to be furnished by Principal Registrar or agent</w:t>
      </w:r>
      <w:r>
        <w:rPr>
          <w:noProof/>
        </w:rPr>
        <w:tab/>
      </w:r>
      <w:r>
        <w:rPr>
          <w:noProof/>
        </w:rPr>
        <w:fldChar w:fldCharType="begin"/>
      </w:r>
      <w:r>
        <w:rPr>
          <w:noProof/>
        </w:rPr>
        <w:instrText xml:space="preserve"> PAGEREF _Toc170124352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Applications to be transmitted by agent to Principal Registrar</w:t>
      </w:r>
      <w:r>
        <w:rPr>
          <w:noProof/>
        </w:rPr>
        <w:tab/>
      </w:r>
      <w:r>
        <w:rPr>
          <w:noProof/>
        </w:rPr>
        <w:fldChar w:fldCharType="begin"/>
      </w:r>
      <w:r>
        <w:rPr>
          <w:noProof/>
        </w:rPr>
        <w:instrText xml:space="preserve"> PAGEREF _Toc170124353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lastRenderedPageBreak/>
        <w:t>58</w:t>
      </w:r>
      <w:r>
        <w:rPr>
          <w:noProof/>
          <w:snapToGrid w:val="0"/>
          <w:szCs w:val="24"/>
        </w:rPr>
        <w:t>.</w:t>
      </w:r>
      <w:r>
        <w:rPr>
          <w:noProof/>
          <w:sz w:val="24"/>
          <w:szCs w:val="24"/>
        </w:rPr>
        <w:tab/>
      </w:r>
      <w:r>
        <w:rPr>
          <w:noProof/>
          <w:snapToGrid w:val="0"/>
          <w:szCs w:val="24"/>
        </w:rPr>
        <w:t>Principal Registrar to refer matter back to agent if not satisfied</w:t>
      </w:r>
      <w:r>
        <w:rPr>
          <w:noProof/>
        </w:rPr>
        <w:tab/>
      </w:r>
      <w:r>
        <w:rPr>
          <w:noProof/>
        </w:rPr>
        <w:fldChar w:fldCharType="begin"/>
      </w:r>
      <w:r>
        <w:rPr>
          <w:noProof/>
        </w:rPr>
        <w:instrText xml:space="preserve"> PAGEREF _Toc170124354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Principal Registrar may refer to Court</w:t>
      </w:r>
      <w:r>
        <w:rPr>
          <w:noProof/>
        </w:rPr>
        <w:tab/>
      </w:r>
      <w:r>
        <w:rPr>
          <w:noProof/>
        </w:rPr>
        <w:fldChar w:fldCharType="begin"/>
      </w:r>
      <w:r>
        <w:rPr>
          <w:noProof/>
        </w:rPr>
        <w:instrText xml:space="preserve"> PAGEREF _Toc170124355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60A</w:t>
      </w:r>
      <w:r>
        <w:rPr>
          <w:noProof/>
          <w:snapToGrid w:val="0"/>
          <w:szCs w:val="24"/>
        </w:rPr>
        <w:t>.</w:t>
      </w:r>
      <w:r>
        <w:rPr>
          <w:noProof/>
          <w:sz w:val="24"/>
          <w:szCs w:val="24"/>
        </w:rPr>
        <w:tab/>
      </w:r>
      <w:r>
        <w:rPr>
          <w:noProof/>
          <w:snapToGrid w:val="0"/>
          <w:szCs w:val="24"/>
        </w:rPr>
        <w:t xml:space="preserve">Application of </w:t>
      </w:r>
      <w:r>
        <w:rPr>
          <w:i/>
          <w:noProof/>
          <w:snapToGrid w:val="0"/>
          <w:szCs w:val="24"/>
        </w:rPr>
        <w:t>Inheritance (Family and Dependants Provision) Act 1972</w:t>
      </w:r>
      <w:r>
        <w:rPr>
          <w:noProof/>
        </w:rPr>
        <w:tab/>
      </w:r>
      <w:r>
        <w:rPr>
          <w:noProof/>
        </w:rPr>
        <w:fldChar w:fldCharType="begin"/>
      </w:r>
      <w:r>
        <w:rPr>
          <w:noProof/>
        </w:rPr>
        <w:instrText xml:space="preserve"> PAGEREF _Toc170124356 \h </w:instrText>
      </w:r>
      <w:r>
        <w:rPr>
          <w:noProof/>
        </w:rPr>
      </w:r>
      <w:r>
        <w:rPr>
          <w:noProof/>
        </w:rPr>
        <w:fldChar w:fldCharType="separate"/>
      </w:r>
      <w:r>
        <w:rPr>
          <w:noProof/>
        </w:rPr>
        <w:t>34</w:t>
      </w:r>
      <w:r>
        <w:rPr>
          <w:noProof/>
        </w:rPr>
        <w:fldChar w:fldCharType="end"/>
      </w:r>
    </w:p>
    <w:p>
      <w:pPr>
        <w:pStyle w:val="TOC2"/>
        <w:tabs>
          <w:tab w:val="right" w:leader="dot" w:pos="7086"/>
        </w:tabs>
        <w:rPr>
          <w:b w:val="0"/>
          <w:noProof/>
          <w:sz w:val="24"/>
          <w:szCs w:val="24"/>
        </w:rPr>
      </w:pPr>
      <w:r>
        <w:rPr>
          <w:noProof/>
          <w:szCs w:val="30"/>
        </w:rPr>
        <w:t>Part III — Foreign probates and administration</w:t>
      </w:r>
    </w:p>
    <w:p>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Foreign probates, etc. may be sealed</w:t>
      </w:r>
      <w:r>
        <w:rPr>
          <w:noProof/>
        </w:rPr>
        <w:tab/>
      </w:r>
      <w:r>
        <w:rPr>
          <w:noProof/>
        </w:rPr>
        <w:fldChar w:fldCharType="begin"/>
      </w:r>
      <w:r>
        <w:rPr>
          <w:noProof/>
        </w:rPr>
        <w:instrText xml:space="preserve"> PAGEREF _Toc170124358 \h </w:instrText>
      </w:r>
      <w:r>
        <w:rPr>
          <w:noProof/>
        </w:rPr>
      </w:r>
      <w:r>
        <w:rPr>
          <w:noProof/>
        </w:rPr>
        <w:fldChar w:fldCharType="separate"/>
      </w:r>
      <w:r>
        <w:rPr>
          <w:noProof/>
        </w:rPr>
        <w:t>35</w:t>
      </w:r>
      <w:r>
        <w:rPr>
          <w:noProof/>
        </w:rPr>
        <w:fldChar w:fldCharType="end"/>
      </w:r>
    </w:p>
    <w:p>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Power to require sureties to be provided before foreign administration sealed</w:t>
      </w:r>
      <w:r>
        <w:rPr>
          <w:noProof/>
        </w:rPr>
        <w:tab/>
      </w:r>
      <w:r>
        <w:rPr>
          <w:noProof/>
        </w:rPr>
        <w:fldChar w:fldCharType="begin"/>
      </w:r>
      <w:r>
        <w:rPr>
          <w:noProof/>
        </w:rPr>
        <w:instrText xml:space="preserve"> PAGEREF _Toc170124359 \h </w:instrText>
      </w:r>
      <w:r>
        <w:rPr>
          <w:noProof/>
        </w:rPr>
      </w:r>
      <w:r>
        <w:rPr>
          <w:noProof/>
        </w:rPr>
        <w:fldChar w:fldCharType="separate"/>
      </w:r>
      <w:r>
        <w:rPr>
          <w:noProof/>
        </w:rPr>
        <w:t>35</w:t>
      </w:r>
      <w:r>
        <w:rPr>
          <w:noProof/>
        </w:rPr>
        <w:fldChar w:fldCharType="end"/>
      </w:r>
    </w:p>
    <w:p>
      <w:pPr>
        <w:pStyle w:val="TOC2"/>
        <w:tabs>
          <w:tab w:val="right" w:leader="dot" w:pos="7086"/>
        </w:tabs>
        <w:rPr>
          <w:b w:val="0"/>
          <w:noProof/>
          <w:sz w:val="24"/>
          <w:szCs w:val="24"/>
        </w:rPr>
      </w:pPr>
      <w:r>
        <w:rPr>
          <w:noProof/>
          <w:szCs w:val="30"/>
        </w:rPr>
        <w:t>Part IV — Caveats</w:t>
      </w:r>
      <w:r>
        <w:rPr>
          <w:noProof/>
          <w:szCs w:val="30"/>
          <w:vertAlign w:val="superscript"/>
        </w:rPr>
        <w:t xml:space="preserve"> </w:t>
      </w:r>
      <w:r>
        <w:rPr>
          <w:noProof/>
          <w:sz w:val="24"/>
          <w:szCs w:val="30"/>
          <w:vertAlign w:val="superscript"/>
        </w:rPr>
        <w:t>3</w:t>
      </w:r>
    </w:p>
    <w:p>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Caveat</w:t>
      </w:r>
      <w:r>
        <w:rPr>
          <w:noProof/>
        </w:rPr>
        <w:tab/>
      </w:r>
      <w:r>
        <w:rPr>
          <w:noProof/>
        </w:rPr>
        <w:fldChar w:fldCharType="begin"/>
      </w:r>
      <w:r>
        <w:rPr>
          <w:noProof/>
        </w:rPr>
        <w:instrText xml:space="preserve"> PAGEREF _Toc170124361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Court may remove caveat</w:t>
      </w:r>
      <w:r>
        <w:rPr>
          <w:noProof/>
        </w:rPr>
        <w:tab/>
      </w:r>
      <w:r>
        <w:rPr>
          <w:noProof/>
        </w:rPr>
        <w:fldChar w:fldCharType="begin"/>
      </w:r>
      <w:r>
        <w:rPr>
          <w:noProof/>
        </w:rPr>
        <w:instrText xml:space="preserve"> PAGEREF _Toc170124362 \h </w:instrText>
      </w:r>
      <w:r>
        <w:rPr>
          <w:noProof/>
        </w:rPr>
      </w:r>
      <w:r>
        <w:rPr>
          <w:noProof/>
        </w:rPr>
        <w:fldChar w:fldCharType="separate"/>
      </w:r>
      <w:r>
        <w:rPr>
          <w:noProof/>
        </w:rPr>
        <w:t>37</w:t>
      </w:r>
      <w:r>
        <w:rPr>
          <w:noProof/>
        </w:rPr>
        <w:fldChar w:fldCharType="end"/>
      </w:r>
    </w:p>
    <w:p>
      <w:pPr>
        <w:pStyle w:val="TOC2"/>
        <w:tabs>
          <w:tab w:val="right" w:leader="dot" w:pos="7086"/>
        </w:tabs>
        <w:rPr>
          <w:b w:val="0"/>
          <w:noProof/>
          <w:sz w:val="24"/>
          <w:szCs w:val="24"/>
        </w:rPr>
      </w:pPr>
      <w:r>
        <w:rPr>
          <w:noProof/>
          <w:szCs w:val="30"/>
        </w:rPr>
        <w:t xml:space="preserve">Part V — Duties on deceased persons’ estates and succession duties </w:t>
      </w:r>
      <w:r>
        <w:rPr>
          <w:noProof/>
          <w:sz w:val="24"/>
          <w:szCs w:val="30"/>
          <w:vertAlign w:val="superscript"/>
        </w:rPr>
        <w:t>4</w:t>
      </w:r>
    </w:p>
    <w:p>
      <w:pPr>
        <w:pStyle w:val="TOC4"/>
        <w:tabs>
          <w:tab w:val="left" w:pos="1701"/>
        </w:tabs>
        <w:rPr>
          <w:noProof/>
          <w:sz w:val="24"/>
          <w:szCs w:val="24"/>
        </w:rPr>
      </w:pPr>
      <w:r>
        <w:rPr>
          <w:noProof/>
          <w:szCs w:val="24"/>
        </w:rPr>
        <w:t>71</w:t>
      </w:r>
      <w:r>
        <w:rPr>
          <w:noProof/>
          <w:snapToGrid w:val="0"/>
          <w:szCs w:val="24"/>
        </w:rPr>
        <w:t>.</w:t>
      </w:r>
      <w:r>
        <w:rPr>
          <w:noProof/>
          <w:sz w:val="24"/>
          <w:szCs w:val="24"/>
        </w:rPr>
        <w:tab/>
      </w:r>
      <w:r>
        <w:rPr>
          <w:noProof/>
          <w:snapToGrid w:val="0"/>
          <w:szCs w:val="24"/>
        </w:rPr>
        <w:t>No will to be registered or admissible in evidence until proved</w:t>
      </w:r>
      <w:r>
        <w:rPr>
          <w:noProof/>
        </w:rPr>
        <w:tab/>
      </w:r>
      <w:r>
        <w:rPr>
          <w:noProof/>
        </w:rPr>
        <w:fldChar w:fldCharType="begin"/>
      </w:r>
      <w:r>
        <w:rPr>
          <w:noProof/>
        </w:rPr>
        <w:instrText xml:space="preserve"> PAGEREF _Toc170124364 \h </w:instrText>
      </w:r>
      <w:r>
        <w:rPr>
          <w:noProof/>
        </w:rPr>
      </w:r>
      <w:r>
        <w:rPr>
          <w:noProof/>
        </w:rPr>
        <w:fldChar w:fldCharType="separate"/>
      </w:r>
      <w:r>
        <w:rPr>
          <w:noProof/>
        </w:rPr>
        <w:t>38</w:t>
      </w:r>
      <w:r>
        <w:rPr>
          <w:noProof/>
        </w:rPr>
        <w:fldChar w:fldCharType="end"/>
      </w:r>
    </w:p>
    <w:p>
      <w:pPr>
        <w:pStyle w:val="TOC2"/>
        <w:tabs>
          <w:tab w:val="right" w:leader="dot" w:pos="7086"/>
        </w:tabs>
        <w:rPr>
          <w:b w:val="0"/>
          <w:noProof/>
          <w:sz w:val="24"/>
          <w:szCs w:val="24"/>
        </w:rPr>
      </w:pPr>
      <w:r>
        <w:rPr>
          <w:noProof/>
          <w:szCs w:val="30"/>
        </w:rPr>
        <w:t>Part VI — Miscellaneous</w:t>
      </w:r>
    </w:p>
    <w:p>
      <w:pPr>
        <w:pStyle w:val="TOC4"/>
        <w:tabs>
          <w:tab w:val="left" w:pos="1701"/>
        </w:tabs>
        <w:rPr>
          <w:noProof/>
          <w:sz w:val="24"/>
          <w:szCs w:val="24"/>
        </w:rPr>
      </w:pPr>
      <w:r>
        <w:rPr>
          <w:noProof/>
          <w:szCs w:val="24"/>
        </w:rPr>
        <w:t>139</w:t>
      </w:r>
      <w:r>
        <w:rPr>
          <w:noProof/>
          <w:snapToGrid w:val="0"/>
          <w:szCs w:val="24"/>
        </w:rPr>
        <w:t>.</w:t>
      </w:r>
      <w:r>
        <w:rPr>
          <w:noProof/>
          <w:sz w:val="24"/>
          <w:szCs w:val="24"/>
        </w:rPr>
        <w:tab/>
      </w:r>
      <w:r>
        <w:rPr>
          <w:noProof/>
          <w:snapToGrid w:val="0"/>
          <w:szCs w:val="24"/>
        </w:rPr>
        <w:t>Deposits not exceeding prescribed amount in any ADI may be paid to widow or next of kin without probate or administration</w:t>
      </w:r>
      <w:r>
        <w:rPr>
          <w:noProof/>
        </w:rPr>
        <w:tab/>
      </w:r>
      <w:r>
        <w:rPr>
          <w:noProof/>
        </w:rPr>
        <w:fldChar w:fldCharType="begin"/>
      </w:r>
      <w:r>
        <w:rPr>
          <w:noProof/>
        </w:rPr>
        <w:instrText xml:space="preserve"> PAGEREF _Toc170124366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140</w:t>
      </w:r>
      <w:r>
        <w:rPr>
          <w:noProof/>
          <w:snapToGrid w:val="0"/>
          <w:szCs w:val="24"/>
        </w:rPr>
        <w:t>.</w:t>
      </w:r>
      <w:r>
        <w:rPr>
          <w:noProof/>
          <w:sz w:val="24"/>
          <w:szCs w:val="24"/>
        </w:rPr>
        <w:tab/>
      </w:r>
      <w:r>
        <w:rPr>
          <w:noProof/>
          <w:snapToGrid w:val="0"/>
          <w:szCs w:val="24"/>
        </w:rPr>
        <w:t>Records of grants, etc.</w:t>
      </w:r>
      <w:r>
        <w:rPr>
          <w:noProof/>
        </w:rPr>
        <w:tab/>
      </w:r>
      <w:r>
        <w:rPr>
          <w:noProof/>
        </w:rPr>
        <w:fldChar w:fldCharType="begin"/>
      </w:r>
      <w:r>
        <w:rPr>
          <w:noProof/>
        </w:rPr>
        <w:instrText xml:space="preserve"> PAGEREF _Toc170124367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141</w:t>
      </w:r>
      <w:r>
        <w:rPr>
          <w:noProof/>
          <w:snapToGrid w:val="0"/>
          <w:szCs w:val="24"/>
        </w:rPr>
        <w:t>.</w:t>
      </w:r>
      <w:r>
        <w:rPr>
          <w:noProof/>
          <w:sz w:val="24"/>
          <w:szCs w:val="24"/>
        </w:rPr>
        <w:tab/>
      </w:r>
      <w:r>
        <w:rPr>
          <w:noProof/>
          <w:snapToGrid w:val="0"/>
          <w:szCs w:val="24"/>
        </w:rPr>
        <w:t>Court may appoint an attorney for an absent executor</w:t>
      </w:r>
      <w:r>
        <w:rPr>
          <w:noProof/>
        </w:rPr>
        <w:tab/>
      </w:r>
      <w:r>
        <w:rPr>
          <w:noProof/>
        </w:rPr>
        <w:fldChar w:fldCharType="begin"/>
      </w:r>
      <w:r>
        <w:rPr>
          <w:noProof/>
        </w:rPr>
        <w:instrText xml:space="preserve"> PAGEREF _Toc170124368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142</w:t>
      </w:r>
      <w:r>
        <w:rPr>
          <w:noProof/>
          <w:snapToGrid w:val="0"/>
          <w:szCs w:val="24"/>
        </w:rPr>
        <w:t>.</w:t>
      </w:r>
      <w:r>
        <w:rPr>
          <w:noProof/>
          <w:sz w:val="24"/>
          <w:szCs w:val="24"/>
        </w:rPr>
        <w:tab/>
      </w:r>
      <w:r>
        <w:rPr>
          <w:noProof/>
          <w:snapToGrid w:val="0"/>
          <w:szCs w:val="24"/>
        </w:rPr>
        <w:t>Payment of balance of estate to Curator or Public Trustee of State or Colony where deceased was domiciled. Public Trustee may receive any part of estate from outside the State</w:t>
      </w:r>
      <w:r>
        <w:rPr>
          <w:noProof/>
        </w:rPr>
        <w:tab/>
      </w:r>
      <w:r>
        <w:rPr>
          <w:noProof/>
        </w:rPr>
        <w:fldChar w:fldCharType="begin"/>
      </w:r>
      <w:r>
        <w:rPr>
          <w:noProof/>
        </w:rPr>
        <w:instrText xml:space="preserve"> PAGEREF _Toc170124369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143A</w:t>
      </w:r>
      <w:r>
        <w:rPr>
          <w:noProof/>
          <w:snapToGrid w:val="0"/>
          <w:szCs w:val="24"/>
        </w:rPr>
        <w:t xml:space="preserve">. </w:t>
      </w:r>
      <w:r>
        <w:rPr>
          <w:noProof/>
          <w:sz w:val="24"/>
          <w:szCs w:val="24"/>
        </w:rPr>
        <w:tab/>
      </w:r>
      <w:r>
        <w:rPr>
          <w:noProof/>
          <w:snapToGrid w:val="0"/>
          <w:szCs w:val="24"/>
        </w:rPr>
        <w:t>Rate of interest payable on legacies</w:t>
      </w:r>
      <w:r>
        <w:rPr>
          <w:noProof/>
        </w:rPr>
        <w:tab/>
      </w:r>
      <w:r>
        <w:rPr>
          <w:noProof/>
        </w:rPr>
        <w:fldChar w:fldCharType="begin"/>
      </w:r>
      <w:r>
        <w:rPr>
          <w:noProof/>
        </w:rPr>
        <w:instrText xml:space="preserve"> PAGEREF _Toc170124370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143B</w:t>
      </w:r>
      <w:r>
        <w:rPr>
          <w:noProof/>
          <w:snapToGrid w:val="0"/>
          <w:szCs w:val="24"/>
        </w:rPr>
        <w:t xml:space="preserve">. </w:t>
      </w:r>
      <w:r>
        <w:rPr>
          <w:noProof/>
          <w:sz w:val="24"/>
          <w:szCs w:val="24"/>
        </w:rPr>
        <w:tab/>
      </w:r>
      <w:r>
        <w:rPr>
          <w:noProof/>
          <w:snapToGrid w:val="0"/>
          <w:szCs w:val="24"/>
        </w:rPr>
        <w:t>Saving provision as to bonds</w:t>
      </w:r>
      <w:r>
        <w:rPr>
          <w:noProof/>
        </w:rPr>
        <w:tab/>
      </w:r>
      <w:r>
        <w:rPr>
          <w:noProof/>
        </w:rPr>
        <w:fldChar w:fldCharType="begin"/>
      </w:r>
      <w:r>
        <w:rPr>
          <w:noProof/>
        </w:rPr>
        <w:instrText xml:space="preserve"> PAGEREF _Toc170124371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144</w:t>
      </w:r>
      <w:r>
        <w:rPr>
          <w:noProof/>
          <w:snapToGrid w:val="0"/>
          <w:szCs w:val="24"/>
        </w:rPr>
        <w:t>.</w:t>
      </w:r>
      <w:r>
        <w:rPr>
          <w:noProof/>
          <w:sz w:val="24"/>
          <w:szCs w:val="24"/>
        </w:rPr>
        <w:tab/>
      </w:r>
      <w:r>
        <w:rPr>
          <w:noProof/>
          <w:snapToGrid w:val="0"/>
          <w:szCs w:val="24"/>
        </w:rPr>
        <w:t>Rules of Court</w:t>
      </w:r>
      <w:r>
        <w:rPr>
          <w:noProof/>
        </w:rPr>
        <w:tab/>
      </w:r>
      <w:r>
        <w:rPr>
          <w:noProof/>
        </w:rPr>
        <w:fldChar w:fldCharType="begin"/>
      </w:r>
      <w:r>
        <w:rPr>
          <w:noProof/>
        </w:rPr>
        <w:instrText xml:space="preserve"> PAGEREF _Toc170124372 \h </w:instrText>
      </w:r>
      <w:r>
        <w:rPr>
          <w:noProof/>
        </w:rPr>
      </w:r>
      <w:r>
        <w:rPr>
          <w:noProof/>
        </w:rPr>
        <w:fldChar w:fldCharType="separate"/>
      </w:r>
      <w:r>
        <w:rPr>
          <w:noProof/>
        </w:rPr>
        <w:t>42</w:t>
      </w:r>
      <w:r>
        <w:rPr>
          <w:noProof/>
        </w:rPr>
        <w:fldChar w:fldCharType="end"/>
      </w:r>
    </w:p>
    <w:p>
      <w:pPr>
        <w:pStyle w:val="TOC5"/>
        <w:rPr>
          <w:b w:val="0"/>
          <w:noProof/>
          <w:sz w:val="24"/>
          <w:szCs w:val="24"/>
        </w:rPr>
      </w:pPr>
      <w:r>
        <w:rPr>
          <w:noProof/>
          <w:szCs w:val="28"/>
        </w:rPr>
        <w:t>Third Schedule</w:t>
      </w:r>
      <w:r>
        <w:rPr>
          <w:noProof/>
        </w:rPr>
        <w:tab/>
      </w:r>
      <w:r>
        <w:rPr>
          <w:noProof/>
        </w:rPr>
        <w:fldChar w:fldCharType="begin"/>
      </w:r>
      <w:r>
        <w:rPr>
          <w:noProof/>
        </w:rPr>
        <w:instrText xml:space="preserve"> PAGEREF _Toc170124373 \h </w:instrText>
      </w:r>
      <w:r>
        <w:rPr>
          <w:noProof/>
        </w:rPr>
      </w:r>
      <w:r>
        <w:rPr>
          <w:noProof/>
        </w:rPr>
        <w:fldChar w:fldCharType="separate"/>
      </w:r>
      <w:r>
        <w:rPr>
          <w:noProof/>
        </w:rPr>
        <w:t>44</w:t>
      </w:r>
      <w:r>
        <w:rPr>
          <w:noProof/>
        </w:rPr>
        <w:fldChar w:fldCharType="end"/>
      </w:r>
    </w:p>
    <w:p>
      <w:pPr>
        <w:pStyle w:val="TOC5"/>
        <w:rPr>
          <w:b w:val="0"/>
          <w:noProof/>
          <w:sz w:val="24"/>
          <w:szCs w:val="24"/>
        </w:rPr>
      </w:pPr>
      <w:r>
        <w:rPr>
          <w:noProof/>
          <w:szCs w:val="28"/>
        </w:rPr>
        <w:t>Fourth Schedule</w:t>
      </w:r>
      <w:r>
        <w:rPr>
          <w:noProof/>
        </w:rPr>
        <w:tab/>
      </w:r>
      <w:r>
        <w:rPr>
          <w:noProof/>
        </w:rPr>
        <w:fldChar w:fldCharType="begin"/>
      </w:r>
      <w:r>
        <w:rPr>
          <w:noProof/>
        </w:rPr>
        <w:instrText xml:space="preserve"> PAGEREF _Toc170124374 \h </w:instrText>
      </w:r>
      <w:r>
        <w:rPr>
          <w:noProof/>
        </w:rPr>
      </w:r>
      <w:r>
        <w:rPr>
          <w:noProof/>
        </w:rPr>
        <w:fldChar w:fldCharType="separate"/>
      </w:r>
      <w:r>
        <w:rPr>
          <w:noProof/>
        </w:rPr>
        <w:t>45</w:t>
      </w:r>
      <w:r>
        <w:rPr>
          <w:noProof/>
        </w:rPr>
        <w:fldChar w:fldCharType="end"/>
      </w:r>
    </w:p>
    <w:p>
      <w:pPr>
        <w:pStyle w:val="TOC5"/>
        <w:rPr>
          <w:b w:val="0"/>
          <w:noProof/>
          <w:sz w:val="24"/>
          <w:szCs w:val="24"/>
        </w:rPr>
      </w:pPr>
      <w:r>
        <w:rPr>
          <w:noProof/>
          <w:szCs w:val="28"/>
        </w:rPr>
        <w:t>Fifth Schedule</w:t>
      </w:r>
      <w:r>
        <w:rPr>
          <w:noProof/>
        </w:rPr>
        <w:tab/>
      </w:r>
      <w:r>
        <w:rPr>
          <w:noProof/>
        </w:rPr>
        <w:fldChar w:fldCharType="begin"/>
      </w:r>
      <w:r>
        <w:rPr>
          <w:noProof/>
        </w:rPr>
        <w:instrText xml:space="preserve"> PAGEREF _Toc170124375 \h </w:instrText>
      </w:r>
      <w:r>
        <w:rPr>
          <w:noProof/>
        </w:rPr>
      </w:r>
      <w:r>
        <w:rPr>
          <w:noProof/>
        </w:rPr>
        <w:fldChar w:fldCharType="separate"/>
      </w:r>
      <w:r>
        <w:rPr>
          <w:noProof/>
        </w:rPr>
        <w:t>49</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zCs w:val="24"/>
        </w:rPr>
        <w:t>Compilation table</w:t>
      </w:r>
      <w:r>
        <w:rPr>
          <w:noProof/>
        </w:rPr>
        <w:tab/>
      </w:r>
      <w:r>
        <w:rPr>
          <w:noProof/>
        </w:rPr>
        <w:fldChar w:fldCharType="begin"/>
      </w:r>
      <w:r>
        <w:rPr>
          <w:noProof/>
        </w:rPr>
        <w:instrText xml:space="preserve"> PAGEREF _Toc170124377 \h </w:instrText>
      </w:r>
      <w:r>
        <w:rPr>
          <w:noProof/>
        </w:rPr>
      </w:r>
      <w:r>
        <w:rPr>
          <w:noProof/>
        </w:rPr>
        <w:fldChar w:fldCharType="separate"/>
      </w:r>
      <w:r>
        <w:rPr>
          <w:noProof/>
        </w:rPr>
        <w:t>50</w:t>
      </w:r>
      <w:r>
        <w:rPr>
          <w:noProof/>
        </w:rPr>
        <w:fldChar w:fldCharType="end"/>
      </w:r>
    </w:p>
    <w:p>
      <w:pPr>
        <w:pStyle w:val="TOC4"/>
        <w:rPr>
          <w:noProof/>
          <w:sz w:val="24"/>
          <w:szCs w:val="24"/>
        </w:rPr>
      </w:pPr>
      <w:r>
        <w:rPr>
          <w:noProof/>
          <w:snapToGrid w:val="0"/>
          <w:szCs w:val="24"/>
        </w:rPr>
        <w:t>Provisions that have not come into operation</w:t>
      </w:r>
      <w:r>
        <w:rPr>
          <w:noProof/>
        </w:rPr>
        <w:tab/>
      </w:r>
      <w:r>
        <w:rPr>
          <w:noProof/>
        </w:rPr>
        <w:fldChar w:fldCharType="begin"/>
      </w:r>
      <w:r>
        <w:rPr>
          <w:noProof/>
        </w:rPr>
        <w:instrText xml:space="preserve"> PAGEREF _Toc170124378 \h </w:instrText>
      </w:r>
      <w:r>
        <w:rPr>
          <w:noProof/>
        </w:rPr>
      </w:r>
      <w:r>
        <w:rPr>
          <w:noProof/>
        </w:rPr>
        <w:fldChar w:fldCharType="separate"/>
      </w:r>
      <w:r>
        <w:rPr>
          <w:noProof/>
        </w:rPr>
        <w:t>54</w:t>
      </w:r>
      <w:r>
        <w:rPr>
          <w:noProof/>
        </w:rPr>
        <w:fldChar w:fldCharType="end"/>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2" w:name="_Toc89160080"/>
      <w:bookmarkStart w:id="3" w:name="_Toc101855556"/>
      <w:bookmarkStart w:id="4" w:name="_Toc121561247"/>
      <w:bookmarkStart w:id="5" w:name="_Toc170124302"/>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r>
        <w:rPr>
          <w:rStyle w:val="CharPartText"/>
        </w:rPr>
        <w:t xml:space="preserve"> </w:t>
      </w:r>
    </w:p>
    <w:p>
      <w:pPr>
        <w:pStyle w:val="Heading5"/>
        <w:rPr>
          <w:snapToGrid w:val="0"/>
        </w:rPr>
      </w:pPr>
      <w:bookmarkStart w:id="6" w:name="_Toc26349167"/>
      <w:bookmarkStart w:id="7" w:name="_Toc170124303"/>
      <w:r>
        <w:rPr>
          <w:rStyle w:val="CharSectno"/>
        </w:rPr>
        <w:t>1</w:t>
      </w:r>
      <w:r>
        <w:rPr>
          <w:snapToGrid w:val="0"/>
        </w:rPr>
        <w:t>.</w:t>
      </w:r>
      <w:r>
        <w:rPr>
          <w:snapToGrid w:val="0"/>
        </w:rPr>
        <w:tab/>
        <w:t>Short title and construction</w:t>
      </w:r>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s.2.] </w:t>
      </w:r>
    </w:p>
    <w:p>
      <w:pPr>
        <w:pStyle w:val="Ednotesection"/>
      </w:pPr>
      <w:r>
        <w:t>[</w:t>
      </w:r>
      <w:r>
        <w:rPr>
          <w:b/>
          <w:bCs/>
        </w:rPr>
        <w:t>2.</w:t>
      </w:r>
      <w:r>
        <w:tab/>
        <w:t>Omitted under Reprints Act 1984 section 7(4)(f).]</w:t>
      </w:r>
    </w:p>
    <w:p>
      <w:pPr>
        <w:pStyle w:val="Heading5"/>
        <w:rPr>
          <w:snapToGrid w:val="0"/>
        </w:rPr>
      </w:pPr>
      <w:bookmarkStart w:id="8" w:name="_Toc26349169"/>
      <w:bookmarkStart w:id="9" w:name="_Toc170124304"/>
      <w:r>
        <w:rPr>
          <w:rStyle w:val="CharSectno"/>
        </w:rPr>
        <w:t>3</w:t>
      </w:r>
      <w:r>
        <w:rPr>
          <w:snapToGrid w:val="0"/>
        </w:rPr>
        <w:t>.</w:t>
      </w:r>
      <w:r>
        <w:rPr>
          <w:snapToGrid w:val="0"/>
        </w:rPr>
        <w:tab/>
        <w:t>Interpretation</w:t>
      </w:r>
      <w:bookmarkEnd w:id="8"/>
      <w:bookmarkEnd w:id="9"/>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pPr>
        <w:pStyle w:val="Defstart"/>
      </w:pPr>
      <w:r>
        <w:rPr>
          <w:b/>
        </w:rPr>
        <w:tab/>
        <w:t>“</w:t>
      </w:r>
      <w:r>
        <w:rPr>
          <w:rStyle w:val="CharDefText"/>
        </w:rPr>
        <w:t>Court</w:t>
      </w:r>
      <w:r>
        <w:rPr>
          <w:b/>
        </w:rPr>
        <w:t>”</w:t>
      </w:r>
      <w:r>
        <w:t xml:space="preserve"> means the Supreme Court or any Judge thereof.</w:t>
      </w:r>
    </w:p>
    <w:p>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w:t>
      </w:r>
      <w:r>
        <w:rPr>
          <w:vertAlign w:val="superscript"/>
        </w:rPr>
        <w:t>2</w:t>
      </w:r>
      <w:r>
        <w:t>, by law devolved upon the executor or administrator, and to any share or interest therein.</w:t>
      </w:r>
    </w:p>
    <w:p>
      <w:pPr>
        <w:pStyle w:val="Defstart"/>
      </w:pPr>
      <w:r>
        <w:rPr>
          <w:b/>
        </w:rPr>
        <w:tab/>
        <w:t>“</w:t>
      </w:r>
      <w:r>
        <w:rPr>
          <w:rStyle w:val="CharDefText"/>
        </w:rPr>
        <w:t>Prescribed</w:t>
      </w:r>
      <w:r>
        <w:rPr>
          <w:b/>
        </w:rPr>
        <w:t>”</w:t>
      </w:r>
      <w:r>
        <w:t xml:space="preserve"> means prescribed by this Act or the rules or regulations thereunder.</w:t>
      </w:r>
    </w:p>
    <w:p>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pPr>
        <w:pStyle w:val="Defstart"/>
      </w:pPr>
      <w:r>
        <w:rPr>
          <w:b/>
        </w:rPr>
        <w:tab/>
        <w:t>“</w:t>
      </w:r>
      <w:r>
        <w:rPr>
          <w:rStyle w:val="CharDefText"/>
        </w:rPr>
        <w:t>Public Trustee</w:t>
      </w:r>
      <w:r>
        <w:rPr>
          <w:b/>
        </w:rPr>
        <w:t>”</w:t>
      </w:r>
      <w:r>
        <w:t xml:space="preserve"> means the Public Trustee under the </w:t>
      </w:r>
      <w:r>
        <w:rPr>
          <w:i/>
        </w:rPr>
        <w:t>Public Trustee Act 1941</w:t>
      </w:r>
      <w:r>
        <w:t>.</w:t>
      </w:r>
    </w:p>
    <w:p>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s.2; No. 67 of 1979 s.42; No. 72 of 1984 s.3.] </w:t>
      </w:r>
    </w:p>
    <w:p>
      <w:pPr>
        <w:pStyle w:val="Heading2"/>
      </w:pPr>
      <w:bookmarkStart w:id="10" w:name="_Toc89160084"/>
      <w:bookmarkStart w:id="11" w:name="_Toc101855560"/>
      <w:bookmarkStart w:id="12" w:name="_Toc121561251"/>
      <w:bookmarkStart w:id="13" w:name="_Toc170124305"/>
      <w:r>
        <w:rPr>
          <w:rStyle w:val="CharPartNo"/>
        </w:rPr>
        <w:t>Part II</w:t>
      </w:r>
      <w:r>
        <w:rPr>
          <w:rStyle w:val="CharDivNo"/>
        </w:rPr>
        <w:t> </w:t>
      </w:r>
      <w:r>
        <w:t>—</w:t>
      </w:r>
      <w:r>
        <w:rPr>
          <w:rStyle w:val="CharDivText"/>
        </w:rPr>
        <w:t> </w:t>
      </w:r>
      <w:r>
        <w:rPr>
          <w:rStyle w:val="CharPartText"/>
        </w:rPr>
        <w:t>Probate and administration</w:t>
      </w:r>
      <w:bookmarkEnd w:id="10"/>
      <w:bookmarkEnd w:id="11"/>
      <w:bookmarkEnd w:id="12"/>
      <w:bookmarkEnd w:id="13"/>
      <w:r>
        <w:rPr>
          <w:rStyle w:val="CharPartText"/>
        </w:rPr>
        <w:t xml:space="preserve"> </w:t>
      </w:r>
    </w:p>
    <w:p>
      <w:pPr>
        <w:pStyle w:val="Heading5"/>
        <w:rPr>
          <w:snapToGrid w:val="0"/>
        </w:rPr>
      </w:pPr>
      <w:bookmarkStart w:id="14" w:name="_Toc26349170"/>
      <w:bookmarkStart w:id="15" w:name="_Toc170124306"/>
      <w:r>
        <w:rPr>
          <w:rStyle w:val="CharSectno"/>
        </w:rPr>
        <w:t>4</w:t>
      </w:r>
      <w:r>
        <w:rPr>
          <w:snapToGrid w:val="0"/>
        </w:rPr>
        <w:t>.</w:t>
      </w:r>
      <w:r>
        <w:rPr>
          <w:snapToGrid w:val="0"/>
        </w:rPr>
        <w:tab/>
        <w:t>Jurisdiction of Court as heretofore</w:t>
      </w:r>
      <w:bookmarkEnd w:id="14"/>
      <w:bookmarkEnd w:id="15"/>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6" w:name="_Toc26349171"/>
      <w:bookmarkStart w:id="17" w:name="_Toc170124307"/>
      <w:r>
        <w:rPr>
          <w:rStyle w:val="CharSectno"/>
        </w:rPr>
        <w:t>5</w:t>
      </w:r>
      <w:r>
        <w:rPr>
          <w:snapToGrid w:val="0"/>
        </w:rPr>
        <w:t>.</w:t>
      </w:r>
      <w:r>
        <w:rPr>
          <w:snapToGrid w:val="0"/>
        </w:rPr>
        <w:tab/>
        <w:t>Duties of Principal Registrar</w:t>
      </w:r>
      <w:bookmarkEnd w:id="16"/>
      <w:bookmarkEnd w:id="17"/>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s.43.] </w:t>
      </w:r>
    </w:p>
    <w:p>
      <w:pPr>
        <w:pStyle w:val="Heading5"/>
        <w:rPr>
          <w:snapToGrid w:val="0"/>
        </w:rPr>
      </w:pPr>
      <w:bookmarkStart w:id="18" w:name="_Toc26349172"/>
      <w:bookmarkStart w:id="19" w:name="_Toc170124308"/>
      <w:r>
        <w:rPr>
          <w:rStyle w:val="CharSectno"/>
        </w:rPr>
        <w:t>6</w:t>
      </w:r>
      <w:r>
        <w:rPr>
          <w:snapToGrid w:val="0"/>
        </w:rPr>
        <w:t>.</w:t>
      </w:r>
      <w:r>
        <w:rPr>
          <w:snapToGrid w:val="0"/>
        </w:rPr>
        <w:tab/>
        <w:t>Power to grant probate and administration</w:t>
      </w:r>
      <w:bookmarkEnd w:id="18"/>
      <w:bookmarkEnd w:id="19"/>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20" w:name="_Toc26349173"/>
      <w:bookmarkStart w:id="21" w:name="_Toc170124309"/>
      <w:r>
        <w:rPr>
          <w:rStyle w:val="CharSectno"/>
        </w:rPr>
        <w:t>7</w:t>
      </w:r>
      <w:r>
        <w:rPr>
          <w:snapToGrid w:val="0"/>
        </w:rPr>
        <w:t>.</w:t>
      </w:r>
      <w:r>
        <w:rPr>
          <w:snapToGrid w:val="0"/>
        </w:rPr>
        <w:tab/>
        <w:t>Probate may be granted to one or more executors</w:t>
      </w:r>
      <w:bookmarkEnd w:id="20"/>
      <w:bookmarkEnd w:id="21"/>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22" w:name="_Toc26349174"/>
      <w:bookmarkStart w:id="23" w:name="_Toc170124310"/>
      <w:r>
        <w:rPr>
          <w:rStyle w:val="CharSectno"/>
        </w:rPr>
        <w:t>8</w:t>
      </w:r>
      <w:r>
        <w:rPr>
          <w:snapToGrid w:val="0"/>
        </w:rPr>
        <w:t>.</w:t>
      </w:r>
      <w:r>
        <w:rPr>
          <w:snapToGrid w:val="0"/>
        </w:rPr>
        <w:tab/>
        <w:t>Upon grant of probate or administration real and personal estate to vest in executor or administrator</w:t>
      </w:r>
      <w:bookmarkEnd w:id="22"/>
      <w:bookmarkEnd w:id="23"/>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24" w:name="_Toc26349175"/>
      <w:bookmarkStart w:id="25" w:name="_Toc170124311"/>
      <w:r>
        <w:rPr>
          <w:rStyle w:val="CharSectno"/>
        </w:rPr>
        <w:t>9</w:t>
      </w:r>
      <w:r>
        <w:rPr>
          <w:snapToGrid w:val="0"/>
        </w:rPr>
        <w:t>.</w:t>
      </w:r>
      <w:r>
        <w:rPr>
          <w:snapToGrid w:val="0"/>
        </w:rPr>
        <w:tab/>
        <w:t>Real estate to vest subject to trusts</w:t>
      </w:r>
      <w:bookmarkEnd w:id="24"/>
      <w:bookmarkEnd w:id="25"/>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26" w:name="_Toc26349176"/>
      <w:bookmarkStart w:id="27" w:name="_Toc170124312"/>
      <w:r>
        <w:rPr>
          <w:rStyle w:val="CharSectno"/>
        </w:rPr>
        <w:t>10</w:t>
      </w:r>
      <w:r>
        <w:rPr>
          <w:snapToGrid w:val="0"/>
        </w:rPr>
        <w:t>.</w:t>
      </w:r>
      <w:r>
        <w:rPr>
          <w:snapToGrid w:val="0"/>
        </w:rPr>
        <w:tab/>
        <w:t>Real and personal estate to be assets</w:t>
      </w:r>
      <w:bookmarkEnd w:id="26"/>
      <w:bookmarkEnd w:id="27"/>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s.3; No. 72 of 1984 s.4.] </w:t>
      </w:r>
    </w:p>
    <w:p>
      <w:pPr>
        <w:pStyle w:val="Heading5"/>
        <w:rPr>
          <w:snapToGrid w:val="0"/>
        </w:rPr>
      </w:pPr>
      <w:bookmarkStart w:id="28" w:name="_Toc26349177"/>
      <w:bookmarkStart w:id="29" w:name="_Toc170124313"/>
      <w:r>
        <w:rPr>
          <w:rStyle w:val="CharSectno"/>
        </w:rPr>
        <w:t>10A</w:t>
      </w:r>
      <w:r>
        <w:rPr>
          <w:snapToGrid w:val="0"/>
        </w:rPr>
        <w:t xml:space="preserve">. </w:t>
      </w:r>
      <w:r>
        <w:rPr>
          <w:snapToGrid w:val="0"/>
        </w:rPr>
        <w:tab/>
        <w:t>Insolvent estates</w:t>
      </w:r>
      <w:bookmarkEnd w:id="28"/>
      <w:bookmarkEnd w:id="29"/>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s.5.] </w:t>
      </w:r>
    </w:p>
    <w:p>
      <w:pPr>
        <w:pStyle w:val="Heading5"/>
        <w:rPr>
          <w:snapToGrid w:val="0"/>
        </w:rPr>
      </w:pPr>
      <w:bookmarkStart w:id="30" w:name="_Toc26349178"/>
      <w:bookmarkStart w:id="31" w:name="_Toc170124314"/>
      <w:r>
        <w:rPr>
          <w:rStyle w:val="CharSectno"/>
        </w:rPr>
        <w:t>11</w:t>
      </w:r>
      <w:r>
        <w:rPr>
          <w:snapToGrid w:val="0"/>
        </w:rPr>
        <w:t>.</w:t>
      </w:r>
      <w:r>
        <w:rPr>
          <w:snapToGrid w:val="0"/>
        </w:rPr>
        <w:tab/>
        <w:t>Subject as aforesaid real estate to vest according to will</w:t>
      </w:r>
      <w:bookmarkEnd w:id="30"/>
      <w:bookmarkEnd w:id="31"/>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32" w:name="_Toc26349179"/>
      <w:bookmarkStart w:id="33" w:name="_Toc170124315"/>
      <w:r>
        <w:rPr>
          <w:rStyle w:val="CharSectno"/>
        </w:rPr>
        <w:t>12</w:t>
      </w:r>
      <w:r>
        <w:rPr>
          <w:snapToGrid w:val="0"/>
        </w:rPr>
        <w:t>.</w:t>
      </w:r>
      <w:r>
        <w:rPr>
          <w:snapToGrid w:val="0"/>
        </w:rPr>
        <w:tab/>
        <w:t>Executor to have same rights and duties as to real estate as heretofore as to personal estate</w:t>
      </w:r>
      <w:bookmarkEnd w:id="32"/>
      <w:bookmarkEnd w:id="33"/>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34" w:name="_Toc26349180"/>
      <w:bookmarkStart w:id="35" w:name="_Toc170124316"/>
      <w:r>
        <w:rPr>
          <w:rStyle w:val="CharSectno"/>
        </w:rPr>
        <w:t>12A</w:t>
      </w:r>
      <w:r>
        <w:rPr>
          <w:snapToGrid w:val="0"/>
        </w:rPr>
        <w:t xml:space="preserve">. </w:t>
      </w:r>
      <w:r>
        <w:rPr>
          <w:snapToGrid w:val="0"/>
        </w:rPr>
        <w:tab/>
        <w:t>Entitlement to participation in distribution of intestate estates</w:t>
      </w:r>
      <w:bookmarkEnd w:id="34"/>
      <w:bookmarkEnd w:id="35"/>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by No. 18 of 1971 s.3; amended by No. 14 of 1985 s.8; No. 3 of 2002 s.4.]</w:t>
      </w:r>
    </w:p>
    <w:p>
      <w:pPr>
        <w:pStyle w:val="Heading5"/>
        <w:rPr>
          <w:snapToGrid w:val="0"/>
        </w:rPr>
      </w:pPr>
      <w:bookmarkStart w:id="36" w:name="_Toc26349181"/>
      <w:bookmarkStart w:id="37" w:name="_Toc170124317"/>
      <w:r>
        <w:rPr>
          <w:rStyle w:val="CharSectno"/>
        </w:rPr>
        <w:t>12B</w:t>
      </w:r>
      <w:r>
        <w:rPr>
          <w:snapToGrid w:val="0"/>
        </w:rPr>
        <w:t xml:space="preserve">. </w:t>
      </w:r>
      <w:r>
        <w:rPr>
          <w:snapToGrid w:val="0"/>
        </w:rPr>
        <w:tab/>
        <w:t>Relationships of the whole and the half blood</w:t>
      </w:r>
      <w:bookmarkEnd w:id="36"/>
      <w:bookmarkEnd w:id="37"/>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s.3.] </w:t>
      </w:r>
    </w:p>
    <w:p>
      <w:pPr>
        <w:pStyle w:val="Heading5"/>
        <w:rPr>
          <w:snapToGrid w:val="0"/>
        </w:rPr>
      </w:pPr>
      <w:bookmarkStart w:id="38" w:name="_Toc26349182"/>
      <w:bookmarkStart w:id="39" w:name="_Toc170124318"/>
      <w:r>
        <w:rPr>
          <w:rStyle w:val="CharSectno"/>
        </w:rPr>
        <w:t>13</w:t>
      </w:r>
      <w:r>
        <w:rPr>
          <w:snapToGrid w:val="0"/>
        </w:rPr>
        <w:t>.</w:t>
      </w:r>
      <w:r>
        <w:rPr>
          <w:snapToGrid w:val="0"/>
        </w:rPr>
        <w:tab/>
        <w:t>Real and personal estate in case of intestacy</w:t>
      </w:r>
      <w:bookmarkEnd w:id="38"/>
      <w:bookmarkEnd w:id="39"/>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intending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s.77(3)(b) and (4); No. 138 of 1976 s.3; No. 72 of 1984 s.6; No. 25 of 2002 s. 52.] </w:t>
      </w:r>
    </w:p>
    <w:p>
      <w:pPr>
        <w:pStyle w:val="Heading5"/>
        <w:rPr>
          <w:snapToGrid w:val="0"/>
        </w:rPr>
      </w:pPr>
      <w:bookmarkStart w:id="40" w:name="_Toc26349183"/>
      <w:bookmarkStart w:id="41" w:name="_Toc170124319"/>
      <w:r>
        <w:rPr>
          <w:rStyle w:val="CharSectno"/>
        </w:rPr>
        <w:t>14</w:t>
      </w:r>
      <w:r>
        <w:rPr>
          <w:snapToGrid w:val="0"/>
        </w:rPr>
        <w:t>.</w:t>
      </w:r>
      <w:r>
        <w:rPr>
          <w:snapToGrid w:val="0"/>
        </w:rPr>
        <w:tab/>
        <w:t>Entitlements on intestacy</w:t>
      </w:r>
      <w:bookmarkEnd w:id="40"/>
      <w:bookmarkEnd w:id="41"/>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shall be distributed according to the entitlements set out in the following table (in this section called “the Table”):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0" w:line="240" w:lineRule="auto"/>
              <w:rPr>
                <w:sz w:val="20"/>
              </w:rPr>
            </w:pPr>
            <w:r>
              <w:rPr>
                <w:sz w:val="20"/>
              </w:rPr>
              <w:t>If the intestate — </w:t>
            </w:r>
          </w:p>
          <w:p>
            <w:pPr>
              <w:pStyle w:val="Table"/>
              <w:tabs>
                <w:tab w:val="left" w:pos="213"/>
              </w:tabs>
              <w:spacing w:before="0" w:line="240" w:lineRule="auto"/>
              <w:rPr>
                <w:sz w:val="20"/>
              </w:rPr>
            </w:pPr>
          </w:p>
        </w:tc>
        <w:tc>
          <w:tcPr>
            <w:tcW w:w="3827" w:type="dxa"/>
          </w:tcPr>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1.</w:t>
            </w:r>
            <w:r>
              <w:rPr>
                <w:sz w:val="20"/>
              </w:rPr>
              <w:tab/>
              <w:t>dies leaving a husband or wife (whether or not other persons mentioned in item 2 or 3 also survive)</w:t>
            </w:r>
          </w:p>
          <w:p>
            <w:pPr>
              <w:pStyle w:val="Table"/>
              <w:tabs>
                <w:tab w:val="left" w:pos="355"/>
              </w:tabs>
              <w:spacing w:before="0" w:line="240" w:lineRule="auto"/>
              <w:ind w:left="355" w:hanging="355"/>
              <w:rPr>
                <w:sz w:val="20"/>
              </w:rPr>
            </w:pPr>
          </w:p>
        </w:tc>
        <w:tc>
          <w:tcPr>
            <w:tcW w:w="3827" w:type="dxa"/>
          </w:tcPr>
          <w:p>
            <w:pPr>
              <w:pStyle w:val="Table"/>
              <w:tabs>
                <w:tab w:val="left" w:pos="212"/>
              </w:tabs>
              <w:spacing w:before="0" w:line="240" w:lineRule="auto"/>
              <w:ind w:left="212" w:hanging="212"/>
              <w:rPr>
                <w:sz w:val="20"/>
              </w:rPr>
            </w:pPr>
            <w:r>
              <w:rPr>
                <w:sz w:val="20"/>
              </w:rPr>
              <w:t>the surviving husband or wife shall be entitled, absolutely, to all household chattels included in the intestate property;</w:t>
            </w:r>
          </w:p>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2.</w:t>
            </w:r>
            <w:r>
              <w:rPr>
                <w:sz w:val="20"/>
              </w:rPr>
              <w:tab/>
              <w:t>dies leaving a husband or wife and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tabs>
                <w:tab w:val="left" w:pos="355"/>
              </w:tabs>
              <w:spacing w:before="0" w:line="240" w:lineRule="auto"/>
              <w:ind w:left="355" w:hanging="355"/>
              <w:rPr>
                <w:sz w:val="20"/>
              </w:rPr>
            </w:pPr>
            <w:r>
              <w:rPr>
                <w:sz w:val="20"/>
              </w:rPr>
              <w:t xml:space="preserve">    (Note provisions of subsection (3))</w:t>
            </w:r>
          </w:p>
        </w:tc>
        <w:tc>
          <w:tcPr>
            <w:tcW w:w="3827" w:type="dxa"/>
          </w:tcPr>
          <w:p>
            <w:pPr>
              <w:pStyle w:val="Table"/>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p>
            <w:pPr>
              <w:pStyle w:val="Table"/>
              <w:tabs>
                <w:tab w:val="left" w:pos="354"/>
              </w:tabs>
              <w:spacing w:before="0" w:line="240" w:lineRule="auto"/>
              <w:ind w:left="354" w:hanging="354"/>
              <w:rPr>
                <w:sz w:val="20"/>
              </w:rPr>
            </w:pPr>
          </w:p>
        </w:tc>
      </w:tr>
      <w:tr>
        <w:tc>
          <w:tcPr>
            <w:tcW w:w="3261" w:type="dxa"/>
          </w:tcPr>
          <w:p>
            <w:pPr>
              <w:pStyle w:val="Table"/>
              <w:tabs>
                <w:tab w:val="left" w:pos="355"/>
              </w:tabs>
              <w:spacing w:before="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tabs>
                <w:tab w:val="left" w:pos="213"/>
              </w:tabs>
              <w:spacing w:before="0" w:line="240" w:lineRule="auto"/>
              <w:rPr>
                <w:sz w:val="20"/>
              </w:rPr>
            </w:pPr>
          </w:p>
        </w:tc>
        <w:tc>
          <w:tcPr>
            <w:tcW w:w="3827" w:type="dxa"/>
          </w:tcPr>
          <w:p>
            <w:pPr>
              <w:pStyle w:val="Table"/>
              <w:keepNext/>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keepNext/>
              <w:tabs>
                <w:tab w:val="left" w:pos="354"/>
              </w:tabs>
              <w:spacing w:before="0" w:line="240" w:lineRule="auto"/>
              <w:ind w:left="354" w:hanging="354"/>
              <w:rPr>
                <w:sz w:val="20"/>
              </w:rPr>
            </w:pPr>
          </w:p>
          <w:p>
            <w:pPr>
              <w:pStyle w:val="Table"/>
              <w:tabs>
                <w:tab w:val="left" w:pos="354"/>
              </w:tabs>
              <w:spacing w:before="0" w:line="240" w:lineRule="auto"/>
              <w:ind w:left="720" w:hanging="720"/>
              <w:rPr>
                <w:sz w:val="20"/>
              </w:rPr>
            </w:pPr>
            <w:r>
              <w:rPr>
                <w:sz w:val="20"/>
              </w:rPr>
              <w:tab/>
              <w:t>(i)</w:t>
            </w:r>
            <w:r>
              <w:rPr>
                <w:sz w:val="20"/>
              </w:rPr>
              <w:tab/>
              <w:t>where the intestate is survived by one parent or both parents — </w:t>
            </w:r>
          </w:p>
          <w:p>
            <w:pPr>
              <w:pStyle w:val="Table"/>
              <w:tabs>
                <w:tab w:val="left" w:pos="354"/>
              </w:tabs>
              <w:spacing w:before="0" w:line="240" w:lineRule="auto"/>
              <w:ind w:left="354" w:hanging="354"/>
              <w:rPr>
                <w:sz w:val="20"/>
              </w:rPr>
            </w:pPr>
          </w:p>
          <w:p>
            <w:pPr>
              <w:pStyle w:val="Table"/>
              <w:tabs>
                <w:tab w:val="left" w:pos="354"/>
                <w:tab w:val="left" w:pos="779"/>
              </w:tabs>
              <w:spacing w:before="0" w:line="240" w:lineRule="auto"/>
              <w:ind w:left="1204" w:hanging="1204"/>
              <w:rPr>
                <w:sz w:val="20"/>
              </w:rPr>
            </w:pPr>
            <w:r>
              <w:rPr>
                <w:sz w:val="20"/>
              </w:rPr>
              <w:tab/>
            </w:r>
            <w:r>
              <w:rPr>
                <w:sz w:val="20"/>
              </w:rPr>
              <w:tab/>
              <w:t>(A)</w:t>
            </w:r>
            <w:r>
              <w:rPr>
                <w:sz w:val="20"/>
              </w:rPr>
              <w:tab/>
              <w:t>if the value of that other half does not exceed the sum of</w:t>
            </w:r>
          </w:p>
          <w:p>
            <w:pPr>
              <w:pStyle w:val="Table"/>
              <w:tabs>
                <w:tab w:val="left" w:pos="354"/>
                <w:tab w:val="left" w:pos="779"/>
              </w:tabs>
              <w:spacing w:before="0" w:line="240" w:lineRule="auto"/>
              <w:ind w:left="1204" w:hanging="1204"/>
              <w:rPr>
                <w:sz w:val="20"/>
              </w:rPr>
            </w:pPr>
            <w:r>
              <w:rPr>
                <w:sz w:val="20"/>
              </w:rPr>
              <w:tab/>
            </w:r>
            <w:r>
              <w:rPr>
                <w:sz w:val="20"/>
              </w:rPr>
              <w:tab/>
            </w:r>
            <w:r>
              <w:rPr>
                <w:sz w:val="20"/>
              </w:rPr>
              <w:tab/>
              <w:t>$6 000 or if no brother, sister, or child of a brother or sister survives the intestate — the parent or parents shall be</w:t>
            </w:r>
          </w:p>
        </w:tc>
      </w:tr>
      <w:tr>
        <w:tc>
          <w:tcPr>
            <w:tcW w:w="3261" w:type="dxa"/>
          </w:tcPr>
          <w:p>
            <w:pPr>
              <w:pStyle w:val="Table"/>
              <w:keepNext/>
              <w:keepLines/>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r>
            <w:r>
              <w:rPr>
                <w:sz w:val="20"/>
              </w:rPr>
              <w:tab/>
              <w:t>entitled (in equal shares where both survive the intestate) to that other half;</w:t>
            </w:r>
          </w:p>
          <w:p>
            <w:pPr>
              <w:pStyle w:val="Table"/>
              <w:keepNext/>
              <w:keepLines/>
              <w:tabs>
                <w:tab w:val="left" w:pos="779"/>
                <w:tab w:val="left" w:pos="1204"/>
              </w:tabs>
              <w:spacing w:before="0" w:line="240" w:lineRule="auto"/>
              <w:ind w:left="1204" w:hanging="1204"/>
              <w:rPr>
                <w:sz w:val="20"/>
              </w:rPr>
            </w:pPr>
          </w:p>
        </w:tc>
      </w:tr>
      <w:tr>
        <w:tc>
          <w:tcPr>
            <w:tcW w:w="3261" w:type="dxa"/>
          </w:tcPr>
          <w:p>
            <w:pPr>
              <w:pStyle w:val="Table"/>
              <w:keepNext/>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w:t>
            </w:r>
          </w:p>
        </w:tc>
      </w:tr>
      <w:tr>
        <w:tc>
          <w:tcPr>
            <w:tcW w:w="3261" w:type="dxa"/>
          </w:tcPr>
          <w:p>
            <w:pPr>
              <w:pStyle w:val="Table"/>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r>
            <w:r>
              <w:rPr>
                <w:sz w:val="20"/>
              </w:rPr>
              <w:tab/>
              <w:t>sisters of the intestate and the children of deceased brothers and sisters of the intestate shall be entitled in accordance with subsection (3a) to the other half;</w:t>
            </w:r>
          </w:p>
          <w:p>
            <w:pPr>
              <w:pStyle w:val="Table"/>
              <w:keepNext/>
              <w:keepLines/>
              <w:tabs>
                <w:tab w:val="left" w:pos="779"/>
                <w:tab w:val="left" w:pos="1204"/>
              </w:tabs>
              <w:spacing w:before="0" w:line="240" w:lineRule="auto"/>
              <w:ind w:left="1204" w:hanging="1204"/>
              <w:rPr>
                <w:sz w:val="20"/>
              </w:rPr>
            </w:pPr>
          </w:p>
        </w:tc>
      </w:tr>
      <w:tr>
        <w:tc>
          <w:tcPr>
            <w:tcW w:w="3261" w:type="dxa"/>
          </w:tcPr>
          <w:p>
            <w:pPr>
              <w:pStyle w:val="Table"/>
              <w:tabs>
                <w:tab w:val="left" w:pos="213"/>
              </w:tabs>
              <w:spacing w:before="0" w:line="240" w:lineRule="auto"/>
              <w:rPr>
                <w:sz w:val="20"/>
              </w:rPr>
            </w:pPr>
          </w:p>
        </w:tc>
        <w:tc>
          <w:tcPr>
            <w:tcW w:w="3827" w:type="dxa"/>
          </w:tcPr>
          <w:p>
            <w:pPr>
              <w:pStyle w:val="Table"/>
              <w:tabs>
                <w:tab w:val="left" w:pos="354"/>
                <w:tab w:val="left" w:pos="779"/>
              </w:tabs>
              <w:spacing w:before="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p>
            <w:pPr>
              <w:pStyle w:val="Table"/>
              <w:tabs>
                <w:tab w:val="left" w:pos="354"/>
                <w:tab w:val="left" w:pos="779"/>
              </w:tabs>
              <w:spacing w:before="0" w:line="240" w:lineRule="auto"/>
              <w:ind w:left="779" w:hanging="779"/>
              <w:rPr>
                <w:sz w:val="20"/>
              </w:rPr>
            </w:pPr>
          </w:p>
        </w:tc>
      </w:tr>
      <w:tr>
        <w:tc>
          <w:tcPr>
            <w:tcW w:w="3261" w:type="dxa"/>
          </w:tcPr>
          <w:p>
            <w:pPr>
              <w:pStyle w:val="Table"/>
              <w:tabs>
                <w:tab w:val="left" w:pos="355"/>
              </w:tabs>
              <w:spacing w:before="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0" w:line="240" w:lineRule="auto"/>
              <w:ind w:left="212" w:hanging="212"/>
              <w:rPr>
                <w:sz w:val="20"/>
              </w:rPr>
            </w:pPr>
            <w:r>
              <w:rPr>
                <w:sz w:val="20"/>
              </w:rPr>
              <w:t>the surviving husband or wife shall be entitled to the whole of the intestate property;</w:t>
            </w:r>
          </w:p>
          <w:p>
            <w:pPr>
              <w:pStyle w:val="Table"/>
              <w:tabs>
                <w:tab w:val="left" w:pos="212"/>
              </w:tabs>
              <w:spacing w:before="0" w:line="240" w:lineRule="auto"/>
              <w:ind w:left="212" w:hanging="212"/>
              <w:rPr>
                <w:sz w:val="20"/>
              </w:rPr>
            </w:pPr>
          </w:p>
        </w:tc>
      </w:tr>
      <w:tr>
        <w:tc>
          <w:tcPr>
            <w:tcW w:w="3261" w:type="dxa"/>
          </w:tcPr>
          <w:p>
            <w:pPr>
              <w:pStyle w:val="Table"/>
              <w:keepNext/>
              <w:tabs>
                <w:tab w:val="left" w:pos="355"/>
              </w:tabs>
              <w:spacing w:before="0" w:line="240" w:lineRule="auto"/>
              <w:ind w:left="355" w:hanging="355"/>
              <w:rPr>
                <w:sz w:val="20"/>
              </w:rPr>
            </w:pPr>
            <w:r>
              <w:rPr>
                <w:sz w:val="20"/>
              </w:rPr>
              <w:t>5.</w:t>
            </w:r>
            <w:r>
              <w:rPr>
                <w:sz w:val="20"/>
              </w:rPr>
              <w:tab/>
              <w:t>dies leaving issue but no husband or wife</w:t>
            </w:r>
          </w:p>
        </w:tc>
        <w:tc>
          <w:tcPr>
            <w:tcW w:w="3827" w:type="dxa"/>
          </w:tcPr>
          <w:p>
            <w:pPr>
              <w:pStyle w:val="Table"/>
              <w:keepNext/>
              <w:tabs>
                <w:tab w:val="left" w:pos="212"/>
              </w:tabs>
              <w:spacing w:before="0" w:line="240" w:lineRule="auto"/>
              <w:ind w:left="212" w:hanging="212"/>
              <w:rPr>
                <w:sz w:val="20"/>
              </w:rPr>
            </w:pPr>
            <w:r>
              <w:rPr>
                <w:sz w:val="20"/>
              </w:rPr>
              <w:t>the issue shall be entitled in accordance with subsection (2b) to the whole of the intestate property;</w:t>
            </w:r>
          </w:p>
          <w:p>
            <w:pPr>
              <w:pStyle w:val="Table"/>
              <w:keepNext/>
              <w:tabs>
                <w:tab w:val="left" w:pos="212"/>
              </w:tabs>
              <w:spacing w:before="0" w:line="240" w:lineRule="auto"/>
              <w:ind w:left="212" w:hanging="212"/>
              <w:rPr>
                <w:sz w:val="20"/>
              </w:rPr>
            </w:pPr>
          </w:p>
        </w:tc>
      </w:tr>
      <w:tr>
        <w:tc>
          <w:tcPr>
            <w:tcW w:w="3261" w:type="dxa"/>
          </w:tcPr>
          <w:p>
            <w:pPr>
              <w:pStyle w:val="Table"/>
              <w:tabs>
                <w:tab w:val="left" w:pos="355"/>
              </w:tabs>
              <w:spacing w:before="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keepNext/>
              <w:tabs>
                <w:tab w:val="left" w:pos="213"/>
              </w:tabs>
              <w:spacing w:before="0" w:line="240" w:lineRule="auto"/>
              <w:rPr>
                <w:sz w:val="20"/>
              </w:rPr>
            </w:pPr>
          </w:p>
        </w:tc>
        <w:tc>
          <w:tcPr>
            <w:tcW w:w="3827" w:type="dxa"/>
          </w:tcPr>
          <w:p>
            <w:pPr>
              <w:pStyle w:val="Table"/>
              <w:tabs>
                <w:tab w:val="left" w:pos="354"/>
              </w:tabs>
              <w:spacing w:before="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p>
            <w:pPr>
              <w:pStyle w:val="Table"/>
              <w:tabs>
                <w:tab w:val="left" w:pos="354"/>
              </w:tabs>
              <w:spacing w:before="0" w:line="240" w:lineRule="auto"/>
              <w:ind w:left="354" w:hanging="354"/>
              <w:rPr>
                <w:sz w:val="20"/>
              </w:rPr>
            </w:pPr>
          </w:p>
        </w:tc>
      </w:tr>
      <w:tr>
        <w:tc>
          <w:tcPr>
            <w:tcW w:w="3261" w:type="dxa"/>
          </w:tcPr>
          <w:p>
            <w:pPr>
              <w:pStyle w:val="Table"/>
              <w:tabs>
                <w:tab w:val="left" w:pos="355"/>
              </w:tabs>
              <w:spacing w:before="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0" w:line="240" w:lineRule="auto"/>
              <w:ind w:left="212" w:hanging="212"/>
              <w:rPr>
                <w:sz w:val="20"/>
              </w:rPr>
            </w:pPr>
            <w:r>
              <w:rPr>
                <w:sz w:val="20"/>
              </w:rPr>
              <w:t>the parent or parents shall be entitled (in equal shares where both survive the intestate) to the whole of the intestate property;</w:t>
            </w:r>
          </w:p>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p>
            <w:pPr>
              <w:pStyle w:val="Table"/>
              <w:tabs>
                <w:tab w:val="left" w:pos="212"/>
              </w:tabs>
              <w:spacing w:before="0" w:line="240" w:lineRule="auto"/>
              <w:ind w:left="212" w:hanging="212"/>
              <w:rPr>
                <w:sz w:val="20"/>
              </w:rPr>
            </w:pPr>
          </w:p>
        </w:tc>
      </w:tr>
      <w:tr>
        <w:tc>
          <w:tcPr>
            <w:tcW w:w="3261" w:type="dxa"/>
          </w:tcPr>
          <w:p>
            <w:pPr>
              <w:pStyle w:val="Table"/>
              <w:keepNext/>
              <w:keepLines/>
              <w:tabs>
                <w:tab w:val="left" w:pos="355"/>
              </w:tabs>
              <w:spacing w:before="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p>
            <w:pPr>
              <w:pStyle w:val="Table"/>
              <w:keepNext/>
              <w:keepLines/>
              <w:tabs>
                <w:tab w:val="left" w:pos="355"/>
              </w:tabs>
              <w:spacing w:before="0" w:line="240" w:lineRule="auto"/>
              <w:ind w:left="355" w:hanging="355"/>
              <w:rPr>
                <w:sz w:val="20"/>
              </w:rPr>
            </w:pPr>
          </w:p>
        </w:tc>
        <w:tc>
          <w:tcPr>
            <w:tcW w:w="3827" w:type="dxa"/>
          </w:tcPr>
          <w:p>
            <w:pPr>
              <w:pStyle w:val="Table"/>
              <w:keepNext/>
              <w:keepLines/>
              <w:tabs>
                <w:tab w:val="left" w:pos="212"/>
              </w:tabs>
              <w:spacing w:before="0" w:line="240" w:lineRule="auto"/>
              <w:ind w:left="212" w:hanging="212"/>
              <w:rPr>
                <w:sz w:val="20"/>
              </w:rPr>
            </w:pPr>
            <w:r>
              <w:rPr>
                <w:sz w:val="20"/>
              </w:rPr>
              <w:t>the grandparent or grandparents shall be entitled (in equal shares where more than one survive the intestate) to the whole of the intestate property;</w:t>
            </w:r>
          </w:p>
          <w:p>
            <w:pPr>
              <w:pStyle w:val="Table"/>
              <w:keepNext/>
              <w:keepLines/>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p>
            <w:pPr>
              <w:pStyle w:val="Table"/>
              <w:tabs>
                <w:tab w:val="left" w:pos="212"/>
              </w:tabs>
              <w:spacing w:before="0" w:line="240" w:lineRule="auto"/>
              <w:ind w:left="212" w:hanging="212"/>
              <w:rPr>
                <w:sz w:val="20"/>
              </w:rPr>
            </w:pPr>
          </w:p>
        </w:tc>
      </w:tr>
      <w:tr>
        <w:tc>
          <w:tcPr>
            <w:tcW w:w="3261" w:type="dxa"/>
          </w:tcPr>
          <w:p>
            <w:pPr>
              <w:pStyle w:val="Table"/>
              <w:tabs>
                <w:tab w:val="left" w:pos="355"/>
              </w:tabs>
              <w:spacing w:before="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p>
            <w:pPr>
              <w:pStyle w:val="Table"/>
              <w:tabs>
                <w:tab w:val="left" w:pos="355"/>
              </w:tabs>
              <w:spacing w:before="0" w:line="240" w:lineRule="auto"/>
              <w:ind w:left="355" w:hanging="355"/>
              <w:rPr>
                <w:sz w:val="20"/>
              </w:rPr>
            </w:pPr>
          </w:p>
        </w:tc>
        <w:tc>
          <w:tcPr>
            <w:tcW w:w="3827" w:type="dxa"/>
          </w:tcPr>
          <w:p>
            <w:pPr>
              <w:pStyle w:val="Table"/>
              <w:tabs>
                <w:tab w:val="left" w:pos="212"/>
              </w:tabs>
              <w:spacing w:before="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s.4; amended by No. 103 of 1979 s.3; No. 48 of 1982 s.3; No. 57 of 1984 s.4; No. 57 of 1997 s.16(1); No. 25 of 2002 s. 52.] </w:t>
      </w:r>
    </w:p>
    <w:p>
      <w:pPr>
        <w:pStyle w:val="Heading5"/>
        <w:rPr>
          <w:snapToGrid w:val="0"/>
        </w:rPr>
      </w:pPr>
      <w:bookmarkStart w:id="42" w:name="_Toc26349184"/>
      <w:bookmarkStart w:id="43" w:name="_Toc170124320"/>
      <w:r>
        <w:rPr>
          <w:rStyle w:val="CharSectno"/>
        </w:rPr>
        <w:t>15</w:t>
      </w:r>
      <w:r>
        <w:rPr>
          <w:snapToGrid w:val="0"/>
        </w:rPr>
        <w:t>.</w:t>
      </w:r>
      <w:r>
        <w:rPr>
          <w:snapToGrid w:val="0"/>
        </w:rPr>
        <w:tab/>
        <w:t>De facto partners and distribution on intestacy</w:t>
      </w:r>
      <w:bookmarkEnd w:id="42"/>
      <w:bookmarkEnd w:id="43"/>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Repealed by No. 138 of 1976 s.4.] </w:t>
      </w:r>
    </w:p>
    <w:p>
      <w:pPr>
        <w:pStyle w:val="Heading5"/>
        <w:rPr>
          <w:snapToGrid w:val="0"/>
        </w:rPr>
      </w:pPr>
      <w:bookmarkStart w:id="44" w:name="_Toc26349185"/>
      <w:bookmarkStart w:id="45" w:name="_Toc170124321"/>
      <w:r>
        <w:rPr>
          <w:rStyle w:val="CharSectno"/>
        </w:rPr>
        <w:t>16</w:t>
      </w:r>
      <w:r>
        <w:rPr>
          <w:snapToGrid w:val="0"/>
        </w:rPr>
        <w:t>.</w:t>
      </w:r>
      <w:r>
        <w:rPr>
          <w:snapToGrid w:val="0"/>
        </w:rPr>
        <w:tab/>
        <w:t>Courtesy and dower abolished</w:t>
      </w:r>
      <w:bookmarkEnd w:id="44"/>
      <w:bookmarkEnd w:id="45"/>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46" w:name="_Toc26349186"/>
      <w:bookmarkStart w:id="47" w:name="_Toc170124322"/>
      <w:r>
        <w:rPr>
          <w:rStyle w:val="CharSectno"/>
        </w:rPr>
        <w:t>17</w:t>
      </w:r>
      <w:r>
        <w:rPr>
          <w:snapToGrid w:val="0"/>
        </w:rPr>
        <w:t>.</w:t>
      </w:r>
      <w:r>
        <w:rPr>
          <w:snapToGrid w:val="0"/>
        </w:rPr>
        <w:tab/>
        <w:t>Court may deal with interest of infants in certain cases</w:t>
      </w:r>
      <w:bookmarkEnd w:id="46"/>
      <w:bookmarkEnd w:id="47"/>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authorize the executor or administrator to expend the whole or any part of the share of such infant in his maintenance, advancement, or education.</w:t>
      </w:r>
    </w:p>
    <w:p>
      <w:pPr>
        <w:pStyle w:val="Ednotesubsection"/>
      </w:pPr>
      <w:r>
        <w:tab/>
        <w:t>[(2)</w:t>
      </w:r>
      <w:r>
        <w:tab/>
        <w:t>repealed.]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s.5; No. 80 of 1962 s.3; No. 113 of 1965 s.8.] </w:t>
      </w:r>
    </w:p>
    <w:p>
      <w:pPr>
        <w:pStyle w:val="Heading5"/>
        <w:rPr>
          <w:snapToGrid w:val="0"/>
        </w:rPr>
      </w:pPr>
      <w:bookmarkStart w:id="48" w:name="_Toc26349187"/>
      <w:bookmarkStart w:id="49" w:name="_Toc170124323"/>
      <w:r>
        <w:rPr>
          <w:rStyle w:val="CharSectno"/>
        </w:rPr>
        <w:t>17A</w:t>
      </w:r>
      <w:r>
        <w:rPr>
          <w:snapToGrid w:val="0"/>
        </w:rPr>
        <w:t xml:space="preserve">. </w:t>
      </w:r>
      <w:r>
        <w:rPr>
          <w:snapToGrid w:val="0"/>
        </w:rPr>
        <w:tab/>
        <w:t>Power to appoint trustees of infant’s property</w:t>
      </w:r>
      <w:bookmarkEnd w:id="48"/>
      <w:bookmarkEnd w:id="49"/>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authorized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s.4; amended by No. 1 of 1997 s.18.] </w:t>
      </w:r>
    </w:p>
    <w:p>
      <w:pPr>
        <w:pStyle w:val="Ednotesection"/>
      </w:pPr>
      <w:r>
        <w:t>[</w:t>
      </w:r>
      <w:r>
        <w:rPr>
          <w:b/>
        </w:rPr>
        <w:t>18.</w:t>
      </w:r>
      <w:r>
        <w:tab/>
        <w:t xml:space="preserve">Repealed by No. 80 of 1962 s.5.] </w:t>
      </w:r>
    </w:p>
    <w:p>
      <w:pPr>
        <w:pStyle w:val="Heading5"/>
        <w:rPr>
          <w:snapToGrid w:val="0"/>
        </w:rPr>
      </w:pPr>
      <w:bookmarkStart w:id="50" w:name="_Toc26349188"/>
      <w:bookmarkStart w:id="51" w:name="_Toc170124324"/>
      <w:r>
        <w:rPr>
          <w:rStyle w:val="CharSectno"/>
        </w:rPr>
        <w:t>19</w:t>
      </w:r>
      <w:r>
        <w:rPr>
          <w:snapToGrid w:val="0"/>
        </w:rPr>
        <w:t>.</w:t>
      </w:r>
      <w:r>
        <w:rPr>
          <w:snapToGrid w:val="0"/>
        </w:rPr>
        <w:tab/>
        <w:t>Court may direct partition of real estate</w:t>
      </w:r>
      <w:bookmarkEnd w:id="50"/>
      <w:bookmarkEnd w:id="51"/>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s.44; No. 81 of 1996 s.153(1).] </w:t>
      </w:r>
    </w:p>
    <w:p>
      <w:pPr>
        <w:pStyle w:val="Heading5"/>
        <w:rPr>
          <w:snapToGrid w:val="0"/>
        </w:rPr>
      </w:pPr>
      <w:bookmarkStart w:id="52" w:name="_Toc26349189"/>
      <w:bookmarkStart w:id="53" w:name="_Toc170124325"/>
      <w:r>
        <w:rPr>
          <w:rStyle w:val="CharSectno"/>
        </w:rPr>
        <w:t>20</w:t>
      </w:r>
      <w:r>
        <w:rPr>
          <w:snapToGrid w:val="0"/>
        </w:rPr>
        <w:t>.</w:t>
      </w:r>
      <w:r>
        <w:rPr>
          <w:snapToGrid w:val="0"/>
        </w:rPr>
        <w:tab/>
        <w:t>Personal representative may relinquish trust</w:t>
      </w:r>
      <w:bookmarkEnd w:id="52"/>
      <w:bookmarkEnd w:id="53"/>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54" w:name="_Toc26349190"/>
      <w:bookmarkStart w:id="55" w:name="_Toc170124326"/>
      <w:r>
        <w:rPr>
          <w:rStyle w:val="CharSectno"/>
        </w:rPr>
        <w:t>21</w:t>
      </w:r>
      <w:r>
        <w:rPr>
          <w:snapToGrid w:val="0"/>
        </w:rPr>
        <w:t>.</w:t>
      </w:r>
      <w:r>
        <w:rPr>
          <w:snapToGrid w:val="0"/>
        </w:rPr>
        <w:tab/>
        <w:t>Executor or administrator to represent real estate</w:t>
      </w:r>
      <w:bookmarkEnd w:id="54"/>
      <w:bookmarkEnd w:id="55"/>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Repealed by No. 26 of 1941 s.3.]</w:t>
      </w:r>
    </w:p>
    <w:p>
      <w:pPr>
        <w:pStyle w:val="Heading5"/>
        <w:spacing w:before="200"/>
        <w:rPr>
          <w:snapToGrid w:val="0"/>
        </w:rPr>
      </w:pPr>
      <w:bookmarkStart w:id="56" w:name="_Toc26349191"/>
      <w:bookmarkStart w:id="57" w:name="_Toc170124327"/>
      <w:r>
        <w:rPr>
          <w:rStyle w:val="CharSectno"/>
        </w:rPr>
        <w:t>23</w:t>
      </w:r>
      <w:r>
        <w:rPr>
          <w:snapToGrid w:val="0"/>
        </w:rPr>
        <w:t>.</w:t>
      </w:r>
      <w:r>
        <w:rPr>
          <w:snapToGrid w:val="0"/>
        </w:rPr>
        <w:tab/>
        <w:t>All creditors to stand in equal degree</w:t>
      </w:r>
      <w:bookmarkEnd w:id="56"/>
      <w:bookmarkEnd w:id="57"/>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s.7.] </w:t>
      </w:r>
    </w:p>
    <w:p>
      <w:pPr>
        <w:pStyle w:val="Heading5"/>
        <w:spacing w:before="200"/>
        <w:rPr>
          <w:snapToGrid w:val="0"/>
        </w:rPr>
      </w:pPr>
      <w:bookmarkStart w:id="58" w:name="_Toc26349192"/>
      <w:bookmarkStart w:id="59" w:name="_Toc170124328"/>
      <w:r>
        <w:rPr>
          <w:rStyle w:val="CharSectno"/>
        </w:rPr>
        <w:t>24</w:t>
      </w:r>
      <w:r>
        <w:rPr>
          <w:snapToGrid w:val="0"/>
        </w:rPr>
        <w:t>.</w:t>
      </w:r>
      <w:r>
        <w:rPr>
          <w:snapToGrid w:val="0"/>
        </w:rPr>
        <w:tab/>
        <w:t>Administration in case of intestacy</w:t>
      </w:r>
      <w:bookmarkEnd w:id="58"/>
      <w:bookmarkEnd w:id="59"/>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60" w:name="_Toc26349193"/>
      <w:bookmarkStart w:id="61" w:name="_Toc170124329"/>
      <w:r>
        <w:rPr>
          <w:rStyle w:val="CharSectno"/>
        </w:rPr>
        <w:t>25</w:t>
      </w:r>
      <w:r>
        <w:rPr>
          <w:snapToGrid w:val="0"/>
        </w:rPr>
        <w:t>.</w:t>
      </w:r>
      <w:r>
        <w:rPr>
          <w:snapToGrid w:val="0"/>
        </w:rPr>
        <w:tab/>
        <w:t>Persons entitled to administration</w:t>
      </w:r>
      <w:bookmarkEnd w:id="60"/>
      <w:bookmarkEnd w:id="61"/>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s.6(2); No. 57 of 1984 s.5; No. 21 of 1986 s. 4.] </w:t>
      </w:r>
    </w:p>
    <w:p>
      <w:pPr>
        <w:pStyle w:val="Heading5"/>
        <w:spacing w:before="180"/>
        <w:rPr>
          <w:snapToGrid w:val="0"/>
        </w:rPr>
      </w:pPr>
      <w:bookmarkStart w:id="62" w:name="_Toc26349194"/>
      <w:bookmarkStart w:id="63" w:name="_Toc170124330"/>
      <w:r>
        <w:rPr>
          <w:rStyle w:val="CharSectno"/>
        </w:rPr>
        <w:t>26</w:t>
      </w:r>
      <w:r>
        <w:rPr>
          <w:snapToGrid w:val="0"/>
        </w:rPr>
        <w:t>.</w:t>
      </w:r>
      <w:r>
        <w:rPr>
          <w:snapToGrid w:val="0"/>
        </w:rPr>
        <w:tab/>
        <w:t>Power to require administrator to produce sureties</w:t>
      </w:r>
      <w:bookmarkEnd w:id="62"/>
      <w:bookmarkEnd w:id="63"/>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s.5; amended by No. 67 of 1979 s.44.] </w:t>
      </w:r>
    </w:p>
    <w:p>
      <w:pPr>
        <w:pStyle w:val="Ednotesection"/>
      </w:pPr>
      <w:r>
        <w:t>[</w:t>
      </w:r>
      <w:r>
        <w:rPr>
          <w:b/>
        </w:rPr>
        <w:t>27</w:t>
      </w:r>
      <w:r>
        <w:rPr>
          <w:b/>
        </w:rPr>
        <w:noBreakHyphen/>
        <w:t>28.</w:t>
      </w:r>
      <w:r>
        <w:tab/>
        <w:t xml:space="preserve">Repealed by No. 138 of 1976 s.6.] </w:t>
      </w:r>
    </w:p>
    <w:p>
      <w:pPr>
        <w:pStyle w:val="Heading5"/>
        <w:rPr>
          <w:snapToGrid w:val="0"/>
        </w:rPr>
      </w:pPr>
      <w:bookmarkStart w:id="64" w:name="_Toc26349195"/>
      <w:bookmarkStart w:id="65" w:name="_Toc170124331"/>
      <w:r>
        <w:rPr>
          <w:rStyle w:val="CharSectno"/>
        </w:rPr>
        <w:t>29</w:t>
      </w:r>
      <w:r>
        <w:rPr>
          <w:snapToGrid w:val="0"/>
        </w:rPr>
        <w:t>.</w:t>
      </w:r>
      <w:r>
        <w:rPr>
          <w:snapToGrid w:val="0"/>
        </w:rPr>
        <w:tab/>
        <w:t>Court may revoke grant; no grant before duty assessed</w:t>
      </w:r>
      <w:bookmarkEnd w:id="64"/>
      <w:bookmarkEnd w:id="65"/>
      <w:r>
        <w:rPr>
          <w:snapToGrid w:val="0"/>
        </w:rPr>
        <w:t xml:space="preserve"> </w:t>
      </w:r>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repealed]</w:t>
      </w:r>
    </w:p>
    <w:p>
      <w:pPr>
        <w:pStyle w:val="Footnotesection"/>
      </w:pPr>
      <w:r>
        <w:tab/>
        <w:t xml:space="preserve">[Section 29 inserted by No. 138 of 1976 s.7; amended by No. 67 of 1979 s.44; No. 103 of 1979 s.4; No. 57 of 1997 s.16(2).] </w:t>
      </w:r>
    </w:p>
    <w:p>
      <w:pPr>
        <w:pStyle w:val="Ednotesection"/>
        <w:spacing w:before="180"/>
        <w:ind w:left="890" w:hanging="890"/>
      </w:pPr>
      <w:r>
        <w:t>[</w:t>
      </w:r>
      <w:r>
        <w:rPr>
          <w:b/>
        </w:rPr>
        <w:t>30</w:t>
      </w:r>
      <w:r>
        <w:rPr>
          <w:b/>
        </w:rPr>
        <w:noBreakHyphen/>
        <w:t>31.</w:t>
      </w:r>
      <w:r>
        <w:tab/>
        <w:t xml:space="preserve">Repealed by No. 138 of 1976 s.8.] </w:t>
      </w:r>
    </w:p>
    <w:p>
      <w:pPr>
        <w:pStyle w:val="Heading5"/>
        <w:spacing w:before="200"/>
        <w:rPr>
          <w:snapToGrid w:val="0"/>
        </w:rPr>
      </w:pPr>
      <w:bookmarkStart w:id="66" w:name="_Toc26349196"/>
      <w:bookmarkStart w:id="67" w:name="_Toc170124332"/>
      <w:r>
        <w:rPr>
          <w:rStyle w:val="CharSectno"/>
        </w:rPr>
        <w:t>32</w:t>
      </w:r>
      <w:r>
        <w:rPr>
          <w:snapToGrid w:val="0"/>
        </w:rPr>
        <w:t>.</w:t>
      </w:r>
      <w:r>
        <w:rPr>
          <w:snapToGrid w:val="0"/>
        </w:rPr>
        <w:tab/>
        <w:t>In case of renunciation or failure to take probate, right of executor gone</w:t>
      </w:r>
      <w:bookmarkEnd w:id="66"/>
      <w:bookmarkEnd w:id="67"/>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68" w:name="_Toc26349197"/>
      <w:bookmarkStart w:id="69" w:name="_Toc170124333"/>
      <w:r>
        <w:rPr>
          <w:rStyle w:val="CharSectno"/>
        </w:rPr>
        <w:t>33</w:t>
      </w:r>
      <w:r>
        <w:rPr>
          <w:snapToGrid w:val="0"/>
        </w:rPr>
        <w:t>.</w:t>
      </w:r>
      <w:r>
        <w:rPr>
          <w:snapToGrid w:val="0"/>
        </w:rPr>
        <w:tab/>
        <w:t>Where infant is executor, etc.</w:t>
      </w:r>
      <w:bookmarkEnd w:id="68"/>
      <w:bookmarkEnd w:id="69"/>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s.6(2).] </w:t>
      </w:r>
    </w:p>
    <w:p>
      <w:pPr>
        <w:pStyle w:val="Heading5"/>
        <w:rPr>
          <w:snapToGrid w:val="0"/>
        </w:rPr>
      </w:pPr>
      <w:bookmarkStart w:id="70" w:name="_Toc26349198"/>
      <w:bookmarkStart w:id="71" w:name="_Toc170124334"/>
      <w:r>
        <w:rPr>
          <w:rStyle w:val="CharSectno"/>
        </w:rPr>
        <w:t>34</w:t>
      </w:r>
      <w:r>
        <w:rPr>
          <w:snapToGrid w:val="0"/>
        </w:rPr>
        <w:t>.</w:t>
      </w:r>
      <w:r>
        <w:rPr>
          <w:snapToGrid w:val="0"/>
        </w:rPr>
        <w:tab/>
        <w:t>Where person entitled to probate or administration is out of the jurisdiction</w:t>
      </w:r>
      <w:bookmarkEnd w:id="70"/>
      <w:bookmarkEnd w:id="71"/>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s.2.] </w:t>
      </w:r>
    </w:p>
    <w:p>
      <w:pPr>
        <w:pStyle w:val="Heading5"/>
        <w:rPr>
          <w:snapToGrid w:val="0"/>
        </w:rPr>
      </w:pPr>
      <w:bookmarkStart w:id="72" w:name="_Toc26349199"/>
      <w:bookmarkStart w:id="73" w:name="_Toc170124335"/>
      <w:r>
        <w:rPr>
          <w:rStyle w:val="CharSectno"/>
        </w:rPr>
        <w:t>35</w:t>
      </w:r>
      <w:r>
        <w:rPr>
          <w:snapToGrid w:val="0"/>
        </w:rPr>
        <w:t>.</w:t>
      </w:r>
      <w:r>
        <w:rPr>
          <w:snapToGrid w:val="0"/>
        </w:rPr>
        <w:tab/>
        <w:t>Court may appoint a manager and receiver pending litigation</w:t>
      </w:r>
      <w:bookmarkEnd w:id="72"/>
      <w:bookmarkEnd w:id="73"/>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s.9.] </w:t>
      </w:r>
    </w:p>
    <w:p>
      <w:pPr>
        <w:pStyle w:val="Heading5"/>
        <w:rPr>
          <w:snapToGrid w:val="0"/>
        </w:rPr>
      </w:pPr>
      <w:bookmarkStart w:id="74" w:name="_Toc26349200"/>
      <w:bookmarkStart w:id="75" w:name="_Toc170124336"/>
      <w:r>
        <w:rPr>
          <w:rStyle w:val="CharSectno"/>
        </w:rPr>
        <w:t>36</w:t>
      </w:r>
      <w:r>
        <w:rPr>
          <w:snapToGrid w:val="0"/>
        </w:rPr>
        <w:t>.</w:t>
      </w:r>
      <w:r>
        <w:rPr>
          <w:snapToGrid w:val="0"/>
        </w:rPr>
        <w:tab/>
        <w:t>Administration with the will annexed</w:t>
      </w:r>
      <w:bookmarkEnd w:id="74"/>
      <w:bookmarkEnd w:id="75"/>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s.10.] </w:t>
      </w:r>
    </w:p>
    <w:p>
      <w:pPr>
        <w:pStyle w:val="Heading5"/>
        <w:rPr>
          <w:snapToGrid w:val="0"/>
        </w:rPr>
      </w:pPr>
      <w:bookmarkStart w:id="76" w:name="_Toc26349201"/>
      <w:bookmarkStart w:id="77" w:name="_Toc170124337"/>
      <w:r>
        <w:rPr>
          <w:rStyle w:val="CharSectno"/>
        </w:rPr>
        <w:t>37</w:t>
      </w:r>
      <w:r>
        <w:rPr>
          <w:snapToGrid w:val="0"/>
        </w:rPr>
        <w:t>.</w:t>
      </w:r>
      <w:r>
        <w:rPr>
          <w:snapToGrid w:val="0"/>
        </w:rPr>
        <w:tab/>
        <w:t>Probate or administration if executor, etc. absent or neglects to obtain probate, etc.</w:t>
      </w:r>
      <w:bookmarkEnd w:id="76"/>
      <w:bookmarkEnd w:id="77"/>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s.6(2).] </w:t>
      </w:r>
    </w:p>
    <w:p>
      <w:pPr>
        <w:pStyle w:val="Heading5"/>
        <w:rPr>
          <w:snapToGrid w:val="0"/>
        </w:rPr>
      </w:pPr>
      <w:bookmarkStart w:id="78" w:name="_Toc26349202"/>
      <w:bookmarkStart w:id="79" w:name="_Toc170124338"/>
      <w:r>
        <w:rPr>
          <w:rStyle w:val="CharSectno"/>
        </w:rPr>
        <w:t>38</w:t>
      </w:r>
      <w:r>
        <w:rPr>
          <w:snapToGrid w:val="0"/>
        </w:rPr>
        <w:t>.</w:t>
      </w:r>
      <w:r>
        <w:rPr>
          <w:snapToGrid w:val="0"/>
        </w:rPr>
        <w:tab/>
        <w:t>Special letters of administration if executor or administrator not within jurisdiction</w:t>
      </w:r>
      <w:bookmarkEnd w:id="78"/>
      <w:bookmarkEnd w:id="79"/>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80" w:name="_Toc26349203"/>
      <w:bookmarkStart w:id="81" w:name="_Toc170124339"/>
      <w:r>
        <w:rPr>
          <w:rStyle w:val="CharSectno"/>
        </w:rPr>
        <w:t>39</w:t>
      </w:r>
      <w:r>
        <w:rPr>
          <w:snapToGrid w:val="0"/>
        </w:rPr>
        <w:t>.</w:t>
      </w:r>
      <w:r>
        <w:rPr>
          <w:snapToGrid w:val="0"/>
        </w:rPr>
        <w:tab/>
        <w:t>On return of executor or administrator, special administration may be revoked</w:t>
      </w:r>
      <w:bookmarkEnd w:id="80"/>
      <w:bookmarkEnd w:id="81"/>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Upon any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82" w:name="_Toc26349204"/>
      <w:bookmarkStart w:id="83" w:name="_Toc170124340"/>
      <w:r>
        <w:rPr>
          <w:rStyle w:val="CharSectno"/>
        </w:rPr>
        <w:t>40</w:t>
      </w:r>
      <w:r>
        <w:rPr>
          <w:snapToGrid w:val="0"/>
        </w:rPr>
        <w:t>.</w:t>
      </w:r>
      <w:r>
        <w:rPr>
          <w:snapToGrid w:val="0"/>
        </w:rPr>
        <w:tab/>
        <w:t>Absent executor liable to account</w:t>
      </w:r>
      <w:bookmarkEnd w:id="82"/>
      <w:bookmarkEnd w:id="83"/>
      <w:r>
        <w:rPr>
          <w:snapToGrid w:val="0"/>
        </w:rPr>
        <w:t xml:space="preserve"> </w:t>
      </w:r>
    </w:p>
    <w:p>
      <w:pPr>
        <w:pStyle w:val="Subsection"/>
        <w:rPr>
          <w:snapToGrid w:val="0"/>
        </w:rPr>
      </w:pPr>
      <w:r>
        <w:rPr>
          <w:snapToGrid w:val="0"/>
        </w:rPr>
        <w:tab/>
      </w:r>
      <w:r>
        <w:rPr>
          <w:snapToGrid w:val="0"/>
        </w:rPr>
        <w:tab/>
        <w:t>Should an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84" w:name="_Toc26349205"/>
      <w:bookmarkStart w:id="85" w:name="_Toc170124341"/>
      <w:r>
        <w:rPr>
          <w:rStyle w:val="CharSectno"/>
        </w:rPr>
        <w:t>41</w:t>
      </w:r>
      <w:r>
        <w:rPr>
          <w:snapToGrid w:val="0"/>
        </w:rPr>
        <w:t>.</w:t>
      </w:r>
      <w:r>
        <w:rPr>
          <w:snapToGrid w:val="0"/>
        </w:rPr>
        <w:tab/>
        <w:t>Revocation pending litigation not to abate proceedings</w:t>
      </w:r>
      <w:bookmarkEnd w:id="84"/>
      <w:bookmarkEnd w:id="85"/>
      <w:r>
        <w:rPr>
          <w:snapToGrid w:val="0"/>
        </w:rPr>
        <w:t xml:space="preserve"> </w:t>
      </w:r>
    </w:p>
    <w:p>
      <w:pPr>
        <w:pStyle w:val="Subsection"/>
        <w:rPr>
          <w:snapToGrid w:val="0"/>
        </w:rPr>
      </w:pPr>
      <w:r>
        <w:rPr>
          <w:snapToGrid w:val="0"/>
        </w:rPr>
        <w:tab/>
      </w:r>
      <w:r>
        <w:rPr>
          <w:snapToGrid w:val="0"/>
        </w:rPr>
        <w:tab/>
        <w:t>Where probate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86" w:name="_Toc26349206"/>
      <w:bookmarkStart w:id="87" w:name="_Toc170124342"/>
      <w:r>
        <w:rPr>
          <w:rStyle w:val="CharSectno"/>
        </w:rPr>
        <w:t>42</w:t>
      </w:r>
      <w:r>
        <w:rPr>
          <w:snapToGrid w:val="0"/>
        </w:rPr>
        <w:t>.</w:t>
      </w:r>
      <w:r>
        <w:rPr>
          <w:snapToGrid w:val="0"/>
        </w:rPr>
        <w:tab/>
        <w:t>Devisee or legatee may apply to Court in certain cases</w:t>
      </w:r>
      <w:bookmarkEnd w:id="86"/>
      <w:bookmarkEnd w:id="87"/>
      <w:r>
        <w:rPr>
          <w:snapToGrid w:val="0"/>
        </w:rPr>
        <w:t xml:space="preserve"> </w:t>
      </w:r>
    </w:p>
    <w:p>
      <w:pPr>
        <w:pStyle w:val="Subsection"/>
        <w:rPr>
          <w:snapToGrid w:val="0"/>
        </w:rPr>
      </w:pPr>
      <w:r>
        <w:rPr>
          <w:snapToGrid w:val="0"/>
        </w:rPr>
        <w:tab/>
      </w:r>
      <w:r>
        <w:rPr>
          <w:snapToGrid w:val="0"/>
        </w:rPr>
        <w:tab/>
        <w:t xml:space="preserve">If an executor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such devisee or person may apply for an order upon such executor or administrator to comply with such request, and the Court may make such order as it thinks fit.</w:t>
      </w:r>
    </w:p>
    <w:p>
      <w:pPr>
        <w:pStyle w:val="Heading5"/>
        <w:rPr>
          <w:snapToGrid w:val="0"/>
        </w:rPr>
      </w:pPr>
      <w:bookmarkStart w:id="88" w:name="_Toc26349207"/>
      <w:bookmarkStart w:id="89" w:name="_Toc170124343"/>
      <w:r>
        <w:rPr>
          <w:rStyle w:val="CharSectno"/>
        </w:rPr>
        <w:t>43</w:t>
      </w:r>
      <w:r>
        <w:rPr>
          <w:snapToGrid w:val="0"/>
        </w:rPr>
        <w:t>.</w:t>
      </w:r>
      <w:r>
        <w:rPr>
          <w:snapToGrid w:val="0"/>
        </w:rPr>
        <w:tab/>
        <w:t>Inventory and accounts</w:t>
      </w:r>
      <w:bookmarkEnd w:id="88"/>
      <w:bookmarkEnd w:id="89"/>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order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s.11.] </w:t>
      </w:r>
    </w:p>
    <w:p>
      <w:pPr>
        <w:pStyle w:val="Heading5"/>
        <w:rPr>
          <w:snapToGrid w:val="0"/>
        </w:rPr>
      </w:pPr>
      <w:bookmarkStart w:id="90" w:name="_Toc26349208"/>
      <w:bookmarkStart w:id="91" w:name="_Toc170124344"/>
      <w:r>
        <w:rPr>
          <w:rStyle w:val="CharSectno"/>
        </w:rPr>
        <w:t>44</w:t>
      </w:r>
      <w:r>
        <w:rPr>
          <w:snapToGrid w:val="0"/>
        </w:rPr>
        <w:t>.</w:t>
      </w:r>
      <w:r>
        <w:rPr>
          <w:snapToGrid w:val="0"/>
        </w:rPr>
        <w:tab/>
        <w:t>If accounts not filed Principal Registrar to give notice, etc.</w:t>
      </w:r>
      <w:bookmarkEnd w:id="90"/>
      <w:bookmarkEnd w:id="91"/>
      <w:r>
        <w:rPr>
          <w:snapToGrid w:val="0"/>
        </w:rPr>
        <w:t xml:space="preserve"> </w:t>
      </w:r>
    </w:p>
    <w:p>
      <w:pPr>
        <w:pStyle w:val="Subsection"/>
        <w:spacing w:before="120"/>
        <w:rPr>
          <w:snapToGrid w:val="0"/>
        </w:rPr>
      </w:pPr>
      <w:r>
        <w:rPr>
          <w:snapToGrid w:val="0"/>
        </w:rPr>
        <w:tab/>
        <w:t>(1)</w:t>
      </w:r>
      <w:r>
        <w:rPr>
          <w:snapToGrid w:val="0"/>
        </w:rPr>
        <w:tab/>
        <w:t>If an executor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20"/>
        <w:rPr>
          <w:snapToGrid w:val="0"/>
        </w:rPr>
      </w:pPr>
      <w:r>
        <w:rPr>
          <w:snapToGrid w:val="0"/>
        </w:rPr>
        <w:tab/>
        <w:t>(2)</w:t>
      </w:r>
      <w:r>
        <w:rPr>
          <w:snapToGrid w:val="0"/>
        </w:rPr>
        <w:tab/>
        <w:t>In case of further neglect of the period of one month, the Principal Registrar shall apply for an order upon such executor or administrator to file such inventory or exhibit such account forthwith.</w:t>
      </w:r>
    </w:p>
    <w:p>
      <w:pPr>
        <w:pStyle w:val="Subsection"/>
        <w:spacing w:before="120"/>
        <w:rPr>
          <w:snapToGrid w:val="0"/>
          <w:spacing w:val="-2"/>
        </w:rPr>
      </w:pPr>
      <w:r>
        <w:rPr>
          <w:snapToGrid w:val="0"/>
          <w:spacing w:val="-2"/>
        </w:rPr>
        <w:tab/>
        <w:t>(3)</w:t>
      </w:r>
      <w:r>
        <w:rPr>
          <w:snapToGrid w:val="0"/>
          <w:spacing w:val="-2"/>
        </w:rPr>
        <w:tab/>
        <w:t xml:space="preserve">No </w:t>
      </w:r>
      <w:r>
        <w:rPr>
          <w:snapToGrid w:val="0"/>
        </w:rP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s.12; No. 67 of 1979 s.44.] </w:t>
      </w:r>
    </w:p>
    <w:p>
      <w:pPr>
        <w:pStyle w:val="Heading5"/>
        <w:rPr>
          <w:snapToGrid w:val="0"/>
        </w:rPr>
      </w:pPr>
      <w:bookmarkStart w:id="92" w:name="_Toc26349209"/>
      <w:bookmarkStart w:id="93" w:name="_Toc170124345"/>
      <w:r>
        <w:rPr>
          <w:rStyle w:val="CharSectno"/>
        </w:rPr>
        <w:t>45</w:t>
      </w:r>
      <w:r>
        <w:rPr>
          <w:snapToGrid w:val="0"/>
        </w:rPr>
        <w:t>.</w:t>
      </w:r>
      <w:r>
        <w:rPr>
          <w:snapToGrid w:val="0"/>
        </w:rPr>
        <w:tab/>
        <w:t>Court may settle all questions arising in administration</w:t>
      </w:r>
      <w:bookmarkEnd w:id="92"/>
      <w:bookmarkEnd w:id="93"/>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s.8.] </w:t>
      </w:r>
    </w:p>
    <w:p>
      <w:pPr>
        <w:pStyle w:val="Heading5"/>
        <w:rPr>
          <w:snapToGrid w:val="0"/>
        </w:rPr>
      </w:pPr>
      <w:bookmarkStart w:id="94" w:name="_Toc26349210"/>
      <w:bookmarkStart w:id="95" w:name="_Toc170124346"/>
      <w:r>
        <w:rPr>
          <w:rStyle w:val="CharSectno"/>
        </w:rPr>
        <w:t>46</w:t>
      </w:r>
      <w:r>
        <w:rPr>
          <w:snapToGrid w:val="0"/>
        </w:rPr>
        <w:t>.</w:t>
      </w:r>
      <w:r>
        <w:rPr>
          <w:snapToGrid w:val="0"/>
        </w:rPr>
        <w:tab/>
        <w:t>Payments made before revocation to be valid</w:t>
      </w:r>
      <w:bookmarkEnd w:id="94"/>
      <w:bookmarkEnd w:id="95"/>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96" w:name="_Toc26349211"/>
      <w:bookmarkStart w:id="97" w:name="_Toc170124347"/>
      <w:r>
        <w:rPr>
          <w:rStyle w:val="CharSectno"/>
        </w:rPr>
        <w:t>47</w:t>
      </w:r>
      <w:r>
        <w:rPr>
          <w:snapToGrid w:val="0"/>
        </w:rPr>
        <w:t>.</w:t>
      </w:r>
      <w:r>
        <w:rPr>
          <w:snapToGrid w:val="0"/>
        </w:rPr>
        <w:tab/>
        <w:t>Payments etc. to be valid notwithstanding defect</w:t>
      </w:r>
      <w:bookmarkEnd w:id="96"/>
      <w:bookmarkEnd w:id="97"/>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98" w:name="_Toc26349212"/>
      <w:bookmarkStart w:id="99" w:name="_Toc170124348"/>
      <w:r>
        <w:rPr>
          <w:rStyle w:val="CharSectno"/>
        </w:rPr>
        <w:t>47A</w:t>
      </w:r>
      <w:r>
        <w:rPr>
          <w:snapToGrid w:val="0"/>
        </w:rPr>
        <w:t xml:space="preserve">. </w:t>
      </w:r>
      <w:r>
        <w:rPr>
          <w:snapToGrid w:val="0"/>
        </w:rPr>
        <w:tab/>
        <w:t>Protection of executors, administrators and trustees</w:t>
      </w:r>
      <w:bookmarkEnd w:id="98"/>
      <w:bookmarkEnd w:id="99"/>
      <w:r>
        <w:rPr>
          <w:snapToGrid w:val="0"/>
        </w:rPr>
        <w:t xml:space="preserve"> </w:t>
      </w:r>
    </w:p>
    <w:p>
      <w:pPr>
        <w:pStyle w:val="Subsection"/>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s.4.] </w:t>
      </w:r>
    </w:p>
    <w:p>
      <w:pPr>
        <w:pStyle w:val="Ednotesection"/>
        <w:spacing w:before="200"/>
        <w:ind w:left="890" w:hanging="890"/>
      </w:pPr>
      <w:r>
        <w:t>[</w:t>
      </w:r>
      <w:r>
        <w:rPr>
          <w:b/>
        </w:rPr>
        <w:t>48</w:t>
      </w:r>
      <w:r>
        <w:rPr>
          <w:b/>
        </w:rPr>
        <w:noBreakHyphen/>
        <w:t>52.</w:t>
      </w:r>
      <w:r>
        <w:tab/>
        <w:t xml:space="preserve">Repealed by No. 80 of 1962 s.5.] </w:t>
      </w:r>
    </w:p>
    <w:p>
      <w:pPr>
        <w:pStyle w:val="Heading5"/>
        <w:spacing w:before="200"/>
        <w:rPr>
          <w:snapToGrid w:val="0"/>
        </w:rPr>
      </w:pPr>
      <w:bookmarkStart w:id="100" w:name="_Toc26349213"/>
      <w:bookmarkStart w:id="101" w:name="_Toc170124349"/>
      <w:r>
        <w:rPr>
          <w:rStyle w:val="CharSectno"/>
        </w:rPr>
        <w:t>53</w:t>
      </w:r>
      <w:r>
        <w:rPr>
          <w:snapToGrid w:val="0"/>
        </w:rPr>
        <w:t>.</w:t>
      </w:r>
      <w:r>
        <w:rPr>
          <w:snapToGrid w:val="0"/>
        </w:rPr>
        <w:tab/>
        <w:t>Executor deemed to be resident in State</w:t>
      </w:r>
      <w:bookmarkEnd w:id="100"/>
      <w:bookmarkEnd w:id="101"/>
      <w:r>
        <w:rPr>
          <w:snapToGrid w:val="0"/>
        </w:rPr>
        <w:t xml:space="preserve"> </w:t>
      </w:r>
    </w:p>
    <w:p>
      <w:pPr>
        <w:pStyle w:val="Subsection"/>
        <w:spacing w:before="120"/>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s.44; No. 14 of 1980 s.3.] </w:t>
      </w:r>
    </w:p>
    <w:p>
      <w:pPr>
        <w:pStyle w:val="Heading5"/>
        <w:spacing w:before="200"/>
        <w:rPr>
          <w:snapToGrid w:val="0"/>
        </w:rPr>
      </w:pPr>
      <w:bookmarkStart w:id="102" w:name="_Toc26349214"/>
      <w:bookmarkStart w:id="103" w:name="_Toc170124350"/>
      <w:r>
        <w:rPr>
          <w:rStyle w:val="CharSectno"/>
        </w:rPr>
        <w:t>54</w:t>
      </w:r>
      <w:r>
        <w:rPr>
          <w:snapToGrid w:val="0"/>
        </w:rPr>
        <w:t>.</w:t>
      </w:r>
      <w:r>
        <w:rPr>
          <w:snapToGrid w:val="0"/>
        </w:rPr>
        <w:tab/>
        <w:t>Court may appoint district agents</w:t>
      </w:r>
      <w:bookmarkEnd w:id="102"/>
      <w:bookmarkEnd w:id="103"/>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kilometres from Perth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 Commissioners of the Supreme Court.</w:t>
      </w:r>
    </w:p>
    <w:p>
      <w:pPr>
        <w:pStyle w:val="Footnotesection"/>
        <w:spacing w:before="100"/>
        <w:ind w:left="890" w:hanging="890"/>
      </w:pPr>
      <w:r>
        <w:tab/>
        <w:t xml:space="preserve">[Section 54 amended by No. 55 of 1941 s. 5; No. 94 of 1972 s. 4 (as amended by No. 19 of 1973); No. 67 of 1979 s. 44; No. 59 of 2004 s. 141.] </w:t>
      </w:r>
    </w:p>
    <w:p>
      <w:pPr>
        <w:pStyle w:val="Heading5"/>
        <w:spacing w:before="180"/>
        <w:rPr>
          <w:snapToGrid w:val="0"/>
        </w:rPr>
      </w:pPr>
      <w:bookmarkStart w:id="104" w:name="_Toc26349215"/>
      <w:bookmarkStart w:id="105" w:name="_Toc170124351"/>
      <w:r>
        <w:rPr>
          <w:rStyle w:val="CharSectno"/>
        </w:rPr>
        <w:t>55</w:t>
      </w:r>
      <w:r>
        <w:rPr>
          <w:snapToGrid w:val="0"/>
        </w:rPr>
        <w:t>.</w:t>
      </w:r>
      <w:r>
        <w:rPr>
          <w:snapToGrid w:val="0"/>
        </w:rPr>
        <w:tab/>
        <w:t>Where estate does not exceed $10 000 the Principal Registrar or district agent may act</w:t>
      </w:r>
      <w:bookmarkEnd w:id="104"/>
      <w:bookmarkEnd w:id="105"/>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s.2; amended by No. 113 of 1965 s.8; No. 94 of 1972 s.4 (as amended by No. 19 of 1973); No. 37 of 1977 s.3; No. 67 of 1979 s.44; No. 14 of 1980 s.4.] </w:t>
      </w:r>
    </w:p>
    <w:p>
      <w:pPr>
        <w:pStyle w:val="Heading5"/>
        <w:spacing w:before="180"/>
        <w:rPr>
          <w:snapToGrid w:val="0"/>
        </w:rPr>
      </w:pPr>
      <w:bookmarkStart w:id="106" w:name="_Toc26349216"/>
      <w:bookmarkStart w:id="107" w:name="_Toc170124352"/>
      <w:r>
        <w:rPr>
          <w:rStyle w:val="CharSectno"/>
        </w:rPr>
        <w:t>56</w:t>
      </w:r>
      <w:r>
        <w:rPr>
          <w:snapToGrid w:val="0"/>
        </w:rPr>
        <w:t>.</w:t>
      </w:r>
      <w:r>
        <w:rPr>
          <w:snapToGrid w:val="0"/>
        </w:rPr>
        <w:tab/>
        <w:t>Information to be furnished by Principal Registrar or agent</w:t>
      </w:r>
      <w:bookmarkEnd w:id="106"/>
      <w:bookmarkEnd w:id="107"/>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s.44.] </w:t>
      </w:r>
    </w:p>
    <w:p>
      <w:pPr>
        <w:pStyle w:val="Heading5"/>
        <w:spacing w:before="180"/>
        <w:rPr>
          <w:snapToGrid w:val="0"/>
        </w:rPr>
      </w:pPr>
      <w:bookmarkStart w:id="108" w:name="_Toc26349217"/>
      <w:bookmarkStart w:id="109" w:name="_Toc170124353"/>
      <w:r>
        <w:rPr>
          <w:rStyle w:val="CharSectno"/>
        </w:rPr>
        <w:t>57</w:t>
      </w:r>
      <w:r>
        <w:rPr>
          <w:snapToGrid w:val="0"/>
        </w:rPr>
        <w:t>.</w:t>
      </w:r>
      <w:r>
        <w:rPr>
          <w:snapToGrid w:val="0"/>
        </w:rPr>
        <w:tab/>
        <w:t>Applications to be transmitted by agent to Principal Registrar</w:t>
      </w:r>
      <w:bookmarkEnd w:id="108"/>
      <w:bookmarkEnd w:id="109"/>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s.4; No. 66 of 1963 s.3; No. 113 of 1965 s.8; No. 37 of 1977 s.3; No. 67 of 1979, s.44.] </w:t>
      </w:r>
    </w:p>
    <w:p>
      <w:pPr>
        <w:pStyle w:val="Heading5"/>
        <w:rPr>
          <w:snapToGrid w:val="0"/>
        </w:rPr>
      </w:pPr>
      <w:bookmarkStart w:id="110" w:name="_Toc26349218"/>
      <w:bookmarkStart w:id="111" w:name="_Toc170124354"/>
      <w:r>
        <w:rPr>
          <w:rStyle w:val="CharSectno"/>
        </w:rPr>
        <w:t>58</w:t>
      </w:r>
      <w:r>
        <w:rPr>
          <w:snapToGrid w:val="0"/>
        </w:rPr>
        <w:t>.</w:t>
      </w:r>
      <w:r>
        <w:rPr>
          <w:snapToGrid w:val="0"/>
        </w:rPr>
        <w:tab/>
        <w:t>Principal Registrar to refer matter back to agent if not satisfied</w:t>
      </w:r>
      <w:bookmarkEnd w:id="110"/>
      <w:bookmarkEnd w:id="111"/>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s.44.] </w:t>
      </w:r>
    </w:p>
    <w:p>
      <w:pPr>
        <w:pStyle w:val="Ednotesection"/>
      </w:pPr>
      <w:r>
        <w:t>[</w:t>
      </w:r>
      <w:r>
        <w:rPr>
          <w:b/>
        </w:rPr>
        <w:t>59.</w:t>
      </w:r>
      <w:r>
        <w:tab/>
        <w:t>Repealed by No. 14 of 1980. s.5.]</w:t>
      </w:r>
    </w:p>
    <w:p>
      <w:pPr>
        <w:pStyle w:val="Heading5"/>
        <w:rPr>
          <w:snapToGrid w:val="0"/>
        </w:rPr>
      </w:pPr>
      <w:bookmarkStart w:id="112" w:name="_Toc26349219"/>
      <w:bookmarkStart w:id="113" w:name="_Toc170124355"/>
      <w:r>
        <w:rPr>
          <w:rStyle w:val="CharSectno"/>
        </w:rPr>
        <w:t>60</w:t>
      </w:r>
      <w:r>
        <w:rPr>
          <w:snapToGrid w:val="0"/>
        </w:rPr>
        <w:t>.</w:t>
      </w:r>
      <w:r>
        <w:rPr>
          <w:snapToGrid w:val="0"/>
        </w:rPr>
        <w:tab/>
        <w:t>Principal Registrar may refer to Court</w:t>
      </w:r>
      <w:bookmarkEnd w:id="112"/>
      <w:bookmarkEnd w:id="113"/>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s.44.]</w:t>
      </w:r>
    </w:p>
    <w:p>
      <w:pPr>
        <w:pStyle w:val="Heading5"/>
        <w:rPr>
          <w:snapToGrid w:val="0"/>
        </w:rPr>
      </w:pPr>
      <w:bookmarkStart w:id="114" w:name="_Toc26349220"/>
      <w:bookmarkStart w:id="115" w:name="_Toc170124356"/>
      <w:r>
        <w:rPr>
          <w:rStyle w:val="CharSectno"/>
        </w:rPr>
        <w:t>60A</w:t>
      </w:r>
      <w:r>
        <w:rPr>
          <w:snapToGrid w:val="0"/>
        </w:rPr>
        <w:t>.</w:t>
      </w:r>
      <w:r>
        <w:rPr>
          <w:snapToGrid w:val="0"/>
        </w:rPr>
        <w:tab/>
        <w:t xml:space="preserve">Application of </w:t>
      </w:r>
      <w:r>
        <w:rPr>
          <w:i/>
          <w:snapToGrid w:val="0"/>
        </w:rPr>
        <w:t>Inheritance (Family and Dependants Provision) Act 1972</w:t>
      </w:r>
      <w:bookmarkEnd w:id="114"/>
      <w:bookmarkEnd w:id="115"/>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s.3(2).]</w:t>
      </w:r>
    </w:p>
    <w:p>
      <w:pPr>
        <w:pStyle w:val="Heading2"/>
      </w:pPr>
      <w:bookmarkStart w:id="116" w:name="_Toc89160136"/>
      <w:bookmarkStart w:id="117" w:name="_Toc101855612"/>
      <w:bookmarkStart w:id="118" w:name="_Toc121561303"/>
      <w:bookmarkStart w:id="119" w:name="_Toc170124357"/>
      <w:r>
        <w:rPr>
          <w:rStyle w:val="CharPartNo"/>
        </w:rPr>
        <w:t>Part III</w:t>
      </w:r>
      <w:r>
        <w:rPr>
          <w:rStyle w:val="CharDivNo"/>
        </w:rPr>
        <w:t> </w:t>
      </w:r>
      <w:r>
        <w:t>—</w:t>
      </w:r>
      <w:r>
        <w:rPr>
          <w:rStyle w:val="CharDivText"/>
        </w:rPr>
        <w:t> </w:t>
      </w:r>
      <w:r>
        <w:rPr>
          <w:rStyle w:val="CharPartText"/>
        </w:rPr>
        <w:t>Foreign probates and administration</w:t>
      </w:r>
      <w:bookmarkEnd w:id="116"/>
      <w:bookmarkEnd w:id="117"/>
      <w:bookmarkEnd w:id="118"/>
      <w:bookmarkEnd w:id="119"/>
      <w:r>
        <w:rPr>
          <w:rStyle w:val="CharPartText"/>
        </w:rPr>
        <w:t xml:space="preserve"> </w:t>
      </w:r>
    </w:p>
    <w:p>
      <w:pPr>
        <w:pStyle w:val="Heading5"/>
        <w:rPr>
          <w:snapToGrid w:val="0"/>
        </w:rPr>
      </w:pPr>
      <w:bookmarkStart w:id="120" w:name="_Toc26349221"/>
      <w:bookmarkStart w:id="121" w:name="_Toc170124358"/>
      <w:r>
        <w:rPr>
          <w:rStyle w:val="CharSectno"/>
        </w:rPr>
        <w:t>61</w:t>
      </w:r>
      <w:r>
        <w:rPr>
          <w:snapToGrid w:val="0"/>
        </w:rPr>
        <w:t>.</w:t>
      </w:r>
      <w:r>
        <w:rPr>
          <w:snapToGrid w:val="0"/>
        </w:rPr>
        <w:tab/>
        <w:t>Foreign probates, etc. may be sealed</w:t>
      </w:r>
      <w:bookmarkEnd w:id="120"/>
      <w:bookmarkEnd w:id="121"/>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authorized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s.13; No. 67 of 1979 s.44.] </w:t>
      </w:r>
    </w:p>
    <w:p>
      <w:pPr>
        <w:pStyle w:val="Heading5"/>
        <w:rPr>
          <w:snapToGrid w:val="0"/>
        </w:rPr>
      </w:pPr>
      <w:bookmarkStart w:id="122" w:name="_Toc26349222"/>
      <w:bookmarkStart w:id="123" w:name="_Toc170124359"/>
      <w:r>
        <w:rPr>
          <w:rStyle w:val="CharSectno"/>
        </w:rPr>
        <w:t>62</w:t>
      </w:r>
      <w:r>
        <w:rPr>
          <w:snapToGrid w:val="0"/>
        </w:rPr>
        <w:t>.</w:t>
      </w:r>
      <w:r>
        <w:rPr>
          <w:snapToGrid w:val="0"/>
        </w:rPr>
        <w:tab/>
        <w:t>Power to require sureties to be provided before foreign administration sealed</w:t>
      </w:r>
      <w:bookmarkEnd w:id="122"/>
      <w:bookmarkEnd w:id="123"/>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s.14.] </w:t>
      </w:r>
    </w:p>
    <w:p>
      <w:pPr>
        <w:pStyle w:val="Heading2"/>
      </w:pPr>
      <w:bookmarkStart w:id="124" w:name="_Toc89160139"/>
      <w:bookmarkStart w:id="125" w:name="_Toc101855615"/>
      <w:bookmarkStart w:id="126" w:name="_Toc121561306"/>
      <w:bookmarkStart w:id="127" w:name="_Toc170124360"/>
      <w:r>
        <w:t>Part IV — Caveats</w:t>
      </w:r>
      <w:r>
        <w:rPr>
          <w:vertAlign w:val="superscript"/>
        </w:rPr>
        <w:t xml:space="preserve"> </w:t>
      </w:r>
      <w:r>
        <w:rPr>
          <w:sz w:val="24"/>
          <w:vertAlign w:val="superscript"/>
        </w:rPr>
        <w:t>3</w:t>
      </w:r>
      <w:bookmarkEnd w:id="124"/>
      <w:bookmarkEnd w:id="125"/>
      <w:bookmarkEnd w:id="126"/>
      <w:bookmarkEnd w:id="127"/>
      <w:r>
        <w:t xml:space="preserve"> </w:t>
      </w:r>
    </w:p>
    <w:p>
      <w:pPr>
        <w:pStyle w:val="Heading5"/>
        <w:rPr>
          <w:snapToGrid w:val="0"/>
        </w:rPr>
      </w:pPr>
      <w:bookmarkStart w:id="128" w:name="_Toc26349223"/>
      <w:bookmarkStart w:id="129" w:name="_Toc170124361"/>
      <w:r>
        <w:rPr>
          <w:rStyle w:val="CharSectno"/>
        </w:rPr>
        <w:t>63</w:t>
      </w:r>
      <w:r>
        <w:rPr>
          <w:snapToGrid w:val="0"/>
        </w:rPr>
        <w:t>.</w:t>
      </w:r>
      <w:r>
        <w:rPr>
          <w:snapToGrid w:val="0"/>
        </w:rPr>
        <w:tab/>
        <w:t>Caveat</w:t>
      </w:r>
      <w:bookmarkEnd w:id="128"/>
      <w:bookmarkEnd w:id="129"/>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s.44; No. 14 of 1980 s.6.] </w:t>
      </w:r>
    </w:p>
    <w:p>
      <w:pPr>
        <w:pStyle w:val="Heading5"/>
        <w:rPr>
          <w:snapToGrid w:val="0"/>
        </w:rPr>
      </w:pPr>
      <w:bookmarkStart w:id="130" w:name="_Toc26349224"/>
      <w:bookmarkStart w:id="131" w:name="_Toc170124362"/>
      <w:r>
        <w:rPr>
          <w:rStyle w:val="CharSectno"/>
        </w:rPr>
        <w:t>64</w:t>
      </w:r>
      <w:r>
        <w:rPr>
          <w:snapToGrid w:val="0"/>
        </w:rPr>
        <w:t>.</w:t>
      </w:r>
      <w:r>
        <w:rPr>
          <w:snapToGrid w:val="0"/>
        </w:rPr>
        <w:tab/>
        <w:t>Court may remove caveat</w:t>
      </w:r>
      <w:bookmarkEnd w:id="130"/>
      <w:bookmarkEnd w:id="131"/>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132" w:name="_Toc89160142"/>
      <w:bookmarkStart w:id="133" w:name="_Toc101855618"/>
      <w:bookmarkStart w:id="134" w:name="_Toc121561309"/>
      <w:bookmarkStart w:id="135" w:name="_Toc170124363"/>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132"/>
      <w:bookmarkEnd w:id="133"/>
      <w:bookmarkEnd w:id="134"/>
      <w:bookmarkEnd w:id="135"/>
    </w:p>
    <w:p>
      <w:pPr>
        <w:pStyle w:val="Ednotesection"/>
      </w:pPr>
      <w:r>
        <w:t>[</w:t>
      </w:r>
      <w:r>
        <w:rPr>
          <w:b/>
        </w:rPr>
        <w:t>65</w:t>
      </w:r>
      <w:r>
        <w:rPr>
          <w:b/>
        </w:rPr>
        <w:noBreakHyphen/>
        <w:t>70A.</w:t>
      </w:r>
      <w:r>
        <w:rPr>
          <w:b/>
        </w:rPr>
        <w:tab/>
      </w:r>
      <w:r>
        <w:t>Repealed by No. 80 of 1973 s.3.]</w:t>
      </w:r>
    </w:p>
    <w:p>
      <w:pPr>
        <w:pStyle w:val="Heading5"/>
        <w:rPr>
          <w:snapToGrid w:val="0"/>
        </w:rPr>
      </w:pPr>
      <w:bookmarkStart w:id="136" w:name="_Toc26349225"/>
      <w:bookmarkStart w:id="137" w:name="_Toc170124364"/>
      <w:r>
        <w:rPr>
          <w:rStyle w:val="CharSectno"/>
        </w:rPr>
        <w:t>71</w:t>
      </w:r>
      <w:r>
        <w:rPr>
          <w:snapToGrid w:val="0"/>
        </w:rPr>
        <w:t>.</w:t>
      </w:r>
      <w:r>
        <w:rPr>
          <w:snapToGrid w:val="0"/>
        </w:rPr>
        <w:tab/>
        <w:t>No will to be registered or admissible in evidence until proved</w:t>
      </w:r>
      <w:bookmarkEnd w:id="136"/>
      <w:bookmarkEnd w:id="137"/>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s.7; No. 107 of 1970 s.11.] </w:t>
      </w:r>
    </w:p>
    <w:p>
      <w:pPr>
        <w:pStyle w:val="Ednotesection"/>
      </w:pPr>
      <w:r>
        <w:t>[</w:t>
      </w:r>
      <w:r>
        <w:rPr>
          <w:b/>
        </w:rPr>
        <w:t>72</w:t>
      </w:r>
      <w:r>
        <w:rPr>
          <w:b/>
        </w:rPr>
        <w:noBreakHyphen/>
        <w:t>137.</w:t>
      </w:r>
      <w:r>
        <w:rPr>
          <w:b/>
        </w:rPr>
        <w:tab/>
      </w:r>
      <w:r>
        <w:t>Repealed by No. 80 of 1973 s.3.]</w:t>
      </w:r>
    </w:p>
    <w:p>
      <w:pPr>
        <w:pStyle w:val="Heading2"/>
      </w:pPr>
      <w:bookmarkStart w:id="138" w:name="_Toc89160144"/>
      <w:bookmarkStart w:id="139" w:name="_Toc101855620"/>
      <w:bookmarkStart w:id="140" w:name="_Toc121561311"/>
      <w:bookmarkStart w:id="141" w:name="_Toc170124365"/>
      <w:r>
        <w:rPr>
          <w:rStyle w:val="CharPartNo"/>
        </w:rPr>
        <w:t>Part VI</w:t>
      </w:r>
      <w:r>
        <w:rPr>
          <w:rStyle w:val="CharDivNo"/>
        </w:rPr>
        <w:t> </w:t>
      </w:r>
      <w:r>
        <w:t>—</w:t>
      </w:r>
      <w:r>
        <w:rPr>
          <w:rStyle w:val="CharDivText"/>
        </w:rPr>
        <w:t> </w:t>
      </w:r>
      <w:r>
        <w:rPr>
          <w:rStyle w:val="CharPartText"/>
        </w:rPr>
        <w:t>Miscellaneous</w:t>
      </w:r>
      <w:bookmarkEnd w:id="138"/>
      <w:bookmarkEnd w:id="139"/>
      <w:bookmarkEnd w:id="140"/>
      <w:bookmarkEnd w:id="141"/>
      <w:r>
        <w:rPr>
          <w:rStyle w:val="CharPartText"/>
        </w:rPr>
        <w:t xml:space="preserve"> </w:t>
      </w:r>
    </w:p>
    <w:p>
      <w:pPr>
        <w:pStyle w:val="Ednotesection"/>
        <w:spacing w:before="120"/>
        <w:ind w:left="890" w:hanging="890"/>
      </w:pPr>
      <w:r>
        <w:t>[</w:t>
      </w:r>
      <w:r>
        <w:rPr>
          <w:b/>
        </w:rPr>
        <w:t>138.</w:t>
      </w:r>
      <w:r>
        <w:tab/>
        <w:t xml:space="preserve">Repealed by No. 40 of 1971 s.2.] </w:t>
      </w:r>
    </w:p>
    <w:p>
      <w:pPr>
        <w:pStyle w:val="Heading5"/>
        <w:spacing w:before="120"/>
        <w:rPr>
          <w:snapToGrid w:val="0"/>
        </w:rPr>
      </w:pPr>
      <w:bookmarkStart w:id="142" w:name="_Toc26349226"/>
      <w:bookmarkStart w:id="143" w:name="_Toc170124366"/>
      <w:r>
        <w:rPr>
          <w:rStyle w:val="CharSectno"/>
        </w:rPr>
        <w:t>139</w:t>
      </w:r>
      <w:r>
        <w:rPr>
          <w:snapToGrid w:val="0"/>
        </w:rPr>
        <w:t>.</w:t>
      </w:r>
      <w:r>
        <w:rPr>
          <w:snapToGrid w:val="0"/>
        </w:rPr>
        <w:tab/>
        <w:t>Deposits not exceeding prescribed amount in any ADI may be paid to widow or next of kin without probate or administration</w:t>
      </w:r>
      <w:bookmarkEnd w:id="142"/>
      <w:bookmarkEnd w:id="143"/>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authorized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b/>
        </w:rPr>
        <w:t>“</w:t>
      </w:r>
      <w:r>
        <w:rPr>
          <w:rStyle w:val="CharDefText"/>
        </w:rPr>
        <w:t>ADI</w:t>
      </w:r>
      <w:r>
        <w:rPr>
          <w:b/>
        </w:rPr>
        <w:t>”</w:t>
      </w:r>
      <w:r>
        <w:t xml:space="preserve"> means authorised deposit-taking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s.15; No. 57 of 1964 s.11; No. 78 of 1965 s.4; No. 113 of 1965 s.8; No. 80 of 1973 s.3; No. 26 of 1999 s.59; No. 25 of 2002 s. 52.] </w:t>
      </w:r>
    </w:p>
    <w:p>
      <w:pPr>
        <w:pStyle w:val="Heading5"/>
        <w:rPr>
          <w:snapToGrid w:val="0"/>
        </w:rPr>
      </w:pPr>
      <w:bookmarkStart w:id="144" w:name="_Toc26349227"/>
      <w:bookmarkStart w:id="145" w:name="_Toc170124367"/>
      <w:r>
        <w:rPr>
          <w:rStyle w:val="CharSectno"/>
        </w:rPr>
        <w:t>140</w:t>
      </w:r>
      <w:r>
        <w:rPr>
          <w:snapToGrid w:val="0"/>
        </w:rPr>
        <w:t>.</w:t>
      </w:r>
      <w:r>
        <w:rPr>
          <w:snapToGrid w:val="0"/>
        </w:rPr>
        <w:tab/>
        <w:t>Records of grants, etc.</w:t>
      </w:r>
      <w:bookmarkEnd w:id="144"/>
      <w:bookmarkEnd w:id="145"/>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 xml:space="preserve">[(e) </w:t>
      </w:r>
      <w:r>
        <w:rPr>
          <w:snapToGrid w:val="0"/>
        </w:rPr>
        <w:tab/>
        <w:t xml:space="preserve">deleted.] </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s.12; No. 107 of 1970 s.16; No. 67 of 1979 s.44.] </w:t>
      </w:r>
    </w:p>
    <w:p>
      <w:pPr>
        <w:pStyle w:val="Heading5"/>
        <w:spacing w:before="180"/>
        <w:rPr>
          <w:snapToGrid w:val="0"/>
        </w:rPr>
      </w:pPr>
      <w:bookmarkStart w:id="146" w:name="_Toc26349228"/>
      <w:bookmarkStart w:id="147" w:name="_Toc170124368"/>
      <w:r>
        <w:rPr>
          <w:rStyle w:val="CharSectno"/>
        </w:rPr>
        <w:t>141</w:t>
      </w:r>
      <w:r>
        <w:rPr>
          <w:snapToGrid w:val="0"/>
        </w:rPr>
        <w:t>.</w:t>
      </w:r>
      <w:r>
        <w:rPr>
          <w:snapToGrid w:val="0"/>
        </w:rPr>
        <w:tab/>
        <w:t>Court may appoint an attorney for an absent executor</w:t>
      </w:r>
      <w:bookmarkEnd w:id="146"/>
      <w:bookmarkEnd w:id="147"/>
      <w:r>
        <w:rPr>
          <w:snapToGrid w:val="0"/>
        </w:rPr>
        <w:t xml:space="preserve"> </w:t>
      </w:r>
    </w:p>
    <w:p>
      <w:pPr>
        <w:pStyle w:val="Ednotesubsection"/>
        <w:spacing w:before="180"/>
      </w:pPr>
      <w:r>
        <w:tab/>
        <w:t xml:space="preserve">[(1) </w:t>
      </w:r>
      <w:r>
        <w:tab/>
        <w:t>repealed.]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s.4; No. 80 of 1962 s.8; No. 57 of 1984 s.6.] </w:t>
      </w:r>
    </w:p>
    <w:p>
      <w:pPr>
        <w:pStyle w:val="Heading5"/>
        <w:rPr>
          <w:snapToGrid w:val="0"/>
        </w:rPr>
      </w:pPr>
      <w:bookmarkStart w:id="148" w:name="_Toc26349229"/>
      <w:bookmarkStart w:id="149" w:name="_Toc170124369"/>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148"/>
      <w:bookmarkEnd w:id="149"/>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r>
        <w:rPr>
          <w:snapToGrid w:val="0"/>
          <w:vertAlign w:val="superscript"/>
        </w:rPr>
        <w:t xml:space="preserve"> 6</w:t>
      </w:r>
      <w:r>
        <w:rPr>
          <w:snapToGrid w:val="0"/>
        </w:rPr>
        <w:t>.</w:t>
      </w:r>
    </w:p>
    <w:p>
      <w:pPr>
        <w:pStyle w:val="Footnotesection"/>
      </w:pPr>
      <w:r>
        <w:tab/>
        <w:t xml:space="preserve">[Section 142 amended by No. 62 of 1955 s.16.] </w:t>
      </w:r>
    </w:p>
    <w:p>
      <w:pPr>
        <w:pStyle w:val="Ednotesection"/>
      </w:pPr>
      <w:r>
        <w:t>[</w:t>
      </w:r>
      <w:r>
        <w:rPr>
          <w:b/>
        </w:rPr>
        <w:t>143.</w:t>
      </w:r>
      <w:r>
        <w:tab/>
        <w:t xml:space="preserve">Repealed by No. 80 of 1962 s.8.] </w:t>
      </w:r>
    </w:p>
    <w:p>
      <w:pPr>
        <w:pStyle w:val="Heading5"/>
        <w:rPr>
          <w:snapToGrid w:val="0"/>
        </w:rPr>
      </w:pPr>
      <w:bookmarkStart w:id="150" w:name="_Toc26349230"/>
      <w:bookmarkStart w:id="151" w:name="_Toc170124370"/>
      <w:r>
        <w:rPr>
          <w:rStyle w:val="CharSectno"/>
        </w:rPr>
        <w:t>143A</w:t>
      </w:r>
      <w:r>
        <w:rPr>
          <w:snapToGrid w:val="0"/>
        </w:rPr>
        <w:t xml:space="preserve">. </w:t>
      </w:r>
      <w:r>
        <w:rPr>
          <w:snapToGrid w:val="0"/>
        </w:rPr>
        <w:tab/>
        <w:t>Rate of interest payable on legacies</w:t>
      </w:r>
      <w:bookmarkEnd w:id="150"/>
      <w:bookmarkEnd w:id="151"/>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s.2; amended by No 113 of 1965 s.8.] </w:t>
      </w:r>
    </w:p>
    <w:p>
      <w:pPr>
        <w:pStyle w:val="Heading5"/>
        <w:rPr>
          <w:snapToGrid w:val="0"/>
        </w:rPr>
      </w:pPr>
      <w:bookmarkStart w:id="152" w:name="_Toc26349231"/>
      <w:bookmarkStart w:id="153" w:name="_Toc170124371"/>
      <w:r>
        <w:rPr>
          <w:rStyle w:val="CharSectno"/>
        </w:rPr>
        <w:t>143B</w:t>
      </w:r>
      <w:r>
        <w:rPr>
          <w:snapToGrid w:val="0"/>
        </w:rPr>
        <w:t xml:space="preserve">. </w:t>
      </w:r>
      <w:r>
        <w:rPr>
          <w:snapToGrid w:val="0"/>
        </w:rPr>
        <w:tab/>
        <w:t>Saving provision as to bonds</w:t>
      </w:r>
      <w:bookmarkEnd w:id="152"/>
      <w:bookmarkEnd w:id="153"/>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s.15.] </w:t>
      </w:r>
    </w:p>
    <w:p>
      <w:pPr>
        <w:pStyle w:val="Heading5"/>
        <w:rPr>
          <w:snapToGrid w:val="0"/>
        </w:rPr>
      </w:pPr>
      <w:bookmarkStart w:id="154" w:name="_Toc26349232"/>
      <w:bookmarkStart w:id="155" w:name="_Toc170124372"/>
      <w:r>
        <w:rPr>
          <w:rStyle w:val="CharSectno"/>
        </w:rPr>
        <w:t>144</w:t>
      </w:r>
      <w:r>
        <w:rPr>
          <w:snapToGrid w:val="0"/>
        </w:rPr>
        <w:t>.</w:t>
      </w:r>
      <w:r>
        <w:rPr>
          <w:snapToGrid w:val="0"/>
        </w:rPr>
        <w:tab/>
        <w:t>Rules of Court</w:t>
      </w:r>
      <w:bookmarkEnd w:id="154"/>
      <w:bookmarkEnd w:id="155"/>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s.5; No. 57 of 1964 s.13; No. 67 1979 s.45.] </w:t>
      </w:r>
    </w:p>
    <w:p>
      <w:pPr>
        <w:pStyle w:val="Ednotesection"/>
      </w:pPr>
      <w:r>
        <w:t>[</w:t>
      </w:r>
      <w:r>
        <w:rPr>
          <w:b/>
        </w:rPr>
        <w:t>145</w:t>
      </w:r>
      <w:r>
        <w:rPr>
          <w:b/>
        </w:rPr>
        <w:noBreakHyphen/>
        <w:t>148.</w:t>
      </w:r>
      <w:r>
        <w:tab/>
        <w:t xml:space="preserve">Repealed by No. 80 of 1973 s.3.] </w:t>
      </w:r>
    </w:p>
    <w:p>
      <w:pPr>
        <w:pStyle w:val="yEdnoteschedule"/>
      </w:pPr>
      <w:r>
        <w:t>[First Schedule omitted under the Reprints Act 1984 s. 7(4)(f).]</w:t>
      </w:r>
    </w:p>
    <w:p>
      <w:pPr>
        <w:pStyle w:val="yEdnoteschedule"/>
      </w:pPr>
      <w:r>
        <w:t>[Second Schedule repealed by No. 80 of 1973 s. 3.]</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156" w:name="_Toc121561319"/>
      <w:bookmarkStart w:id="157" w:name="_Toc170124373"/>
      <w:r>
        <w:rPr>
          <w:rStyle w:val="CharSchNo"/>
        </w:rPr>
        <w:t>Third Schedule</w:t>
      </w:r>
      <w:bookmarkEnd w:id="156"/>
      <w:bookmarkEnd w:id="157"/>
    </w:p>
    <w:p>
      <w:pPr>
        <w:pStyle w:val="yShoulderClause"/>
        <w:rPr>
          <w:snapToGrid w:val="0"/>
        </w:rPr>
      </w:pPr>
      <w:r>
        <w:rPr>
          <w:snapToGrid w:val="0"/>
        </w:rPr>
        <w:t>[Sec. 144.]</w:t>
      </w:r>
    </w:p>
    <w:p>
      <w:pPr>
        <w:pStyle w:val="MiscellaneousHeading"/>
        <w:rPr>
          <w:b/>
          <w:snapToGrid w:val="0"/>
        </w:rPr>
      </w:pPr>
      <w:r>
        <w:rPr>
          <w:b/>
          <w:snapToGrid w:val="0"/>
        </w:rPr>
        <w:t>Rules</w:t>
      </w:r>
    </w:p>
    <w:p>
      <w:pPr>
        <w:pStyle w:val="yFootnotesection"/>
      </w:pPr>
      <w:r>
        <w:tab/>
        <w:t>[The Rules contained in this Schedule were revoked by Rules made under s.144 of the Act and published in the Gazette on 11 September 1967 pp. 2249</w:t>
      </w:r>
      <w:r>
        <w:noBreakHyphen/>
        <w:t>64.]</w:t>
      </w:r>
    </w:p>
    <w:p>
      <w:pPr>
        <w:pStyle w:val="yScheduleHeading"/>
      </w:pPr>
      <w:bookmarkStart w:id="158" w:name="_Toc121561320"/>
      <w:bookmarkStart w:id="159" w:name="_Toc170124374"/>
      <w:r>
        <w:rPr>
          <w:rStyle w:val="CharSchNo"/>
        </w:rPr>
        <w:t>Fourth Schedule</w:t>
      </w:r>
      <w:bookmarkEnd w:id="158"/>
      <w:bookmarkEnd w:id="159"/>
    </w:p>
    <w:p>
      <w:pPr>
        <w:pStyle w:val="yShoulderClause"/>
        <w:rPr>
          <w:snapToGrid w:val="0"/>
        </w:rPr>
      </w:pPr>
      <w:r>
        <w:rPr>
          <w:snapToGrid w:val="0"/>
        </w:rPr>
        <w:t>[Sec. 14.]</w:t>
      </w:r>
    </w:p>
    <w:p>
      <w:pPr>
        <w:pStyle w:val="yMiscellaneousHeading"/>
        <w:rPr>
          <w:b/>
          <w:snapToGrid w:val="0"/>
          <w:sz w:val="24"/>
        </w:rPr>
      </w:pPr>
      <w:r>
        <w:rPr>
          <w:b/>
          <w:snapToGrid w:val="0"/>
          <w:sz w:val="24"/>
        </w:rPr>
        <w:t>Rights in respect of dwelling houses</w:t>
      </w:r>
    </w:p>
    <w:p>
      <w:pPr>
        <w:pStyle w:val="ySubsection"/>
        <w:spacing w:before="140"/>
        <w:rPr>
          <w:snapToGrid w:val="0"/>
        </w:rPr>
      </w:pPr>
      <w:r>
        <w:rPr>
          <w:snapToGrid w:val="0"/>
        </w:rPr>
        <w:t>1.</w:t>
      </w: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Subsection"/>
      </w:pPr>
      <w:r>
        <w:t>2.</w:t>
      </w:r>
      <w: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Subsection"/>
        <w:rPr>
          <w:snapToGrid w:val="0"/>
        </w:rPr>
      </w:pPr>
      <w:r>
        <w:rPr>
          <w:snapToGrid w:val="0"/>
        </w:rPr>
        <w:t>3.</w:t>
      </w: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Subsection"/>
        <w:rPr>
          <w:snapToGrid w:val="0"/>
        </w:rPr>
      </w:pPr>
      <w:r>
        <w:rPr>
          <w:snapToGrid w:val="0"/>
        </w:rPr>
        <w:t>4.</w:t>
      </w: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Subsection"/>
        <w:rPr>
          <w:snapToGrid w:val="0"/>
        </w:rPr>
      </w:pPr>
      <w:r>
        <w:rPr>
          <w:snapToGrid w:val="0"/>
        </w:rPr>
        <w:t>5.</w:t>
      </w: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Subsection"/>
        <w:rPr>
          <w:snapToGrid w:val="0"/>
        </w:rPr>
      </w:pPr>
      <w:r>
        <w:rPr>
          <w:snapToGrid w:val="0"/>
        </w:rPr>
        <w:t>6.</w:t>
      </w:r>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authorize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Subsection"/>
        <w:rPr>
          <w:snapToGrid w:val="0"/>
        </w:rPr>
      </w:pPr>
      <w:r>
        <w:rPr>
          <w:snapToGrid w:val="0"/>
        </w:rPr>
        <w:t>7.</w:t>
      </w: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Subsection"/>
        <w:rPr>
          <w:snapToGrid w:val="0"/>
        </w:rPr>
      </w:pPr>
      <w:r>
        <w:rPr>
          <w:snapToGrid w:val="0"/>
        </w:rPr>
        <w:t>8.</w:t>
      </w: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Subsection"/>
        <w:rPr>
          <w:snapToGrid w:val="0"/>
        </w:rPr>
      </w:pPr>
      <w:r>
        <w:rPr>
          <w:snapToGrid w:val="0"/>
        </w:rPr>
        <w:t xml:space="preserve">9. </w:t>
      </w: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 xml:space="preserve">[Fourth Schedule inserted by No. 138 of 1976 s.16; amended by No. 67 of 1979 s.44; No. 25 of 2002 s. 52.] </w:t>
      </w:r>
    </w:p>
    <w:p>
      <w:pPr>
        <w:pStyle w:val="yScheduleHeading"/>
      </w:pPr>
      <w:bookmarkStart w:id="160" w:name="_Toc121561321"/>
      <w:bookmarkStart w:id="161" w:name="_Toc170124375"/>
      <w:r>
        <w:rPr>
          <w:rStyle w:val="CharSchNo"/>
        </w:rPr>
        <w:t>Fifth Schedule</w:t>
      </w:r>
      <w:bookmarkEnd w:id="160"/>
      <w:bookmarkEnd w:id="161"/>
    </w:p>
    <w:p>
      <w:pPr>
        <w:pStyle w:val="yShoulderClause"/>
        <w:rPr>
          <w:snapToGrid w:val="0"/>
        </w:rPr>
      </w:pPr>
      <w:r>
        <w:rPr>
          <w:snapToGrid w:val="0"/>
        </w:rPr>
        <w:t>[Sec. 10A.]</w:t>
      </w:r>
    </w:p>
    <w:p>
      <w:pPr>
        <w:pStyle w:val="MiscellaneousHeading"/>
        <w:rPr>
          <w:b/>
          <w:snapToGrid w:val="0"/>
        </w:rPr>
      </w:pPr>
      <w:r>
        <w:rPr>
          <w:b/>
          <w:snapToGrid w:val="0"/>
        </w:rPr>
        <w:t>Rules as to payment of debts and liabilities of insolvent estates</w:t>
      </w:r>
    </w:p>
    <w:p>
      <w:pPr>
        <w:pStyle w:val="ySubsection"/>
        <w:rPr>
          <w:snapToGrid w:val="0"/>
        </w:rPr>
      </w:pPr>
      <w:r>
        <w:rPr>
          <w:snapToGrid w:val="0"/>
        </w:rPr>
        <w:t>1.</w:t>
      </w:r>
      <w:r>
        <w:rPr>
          <w:snapToGrid w:val="0"/>
        </w:rPr>
        <w:tab/>
      </w:r>
      <w:r>
        <w:rPr>
          <w:snapToGrid w:val="0"/>
        </w:rPr>
        <w:tab/>
        <w:t>Funeral, testamentary and administration expenses have priority.</w:t>
      </w:r>
    </w:p>
    <w:p>
      <w:pPr>
        <w:pStyle w:val="ySubsection"/>
        <w:rPr>
          <w:snapToGrid w:val="0"/>
        </w:rPr>
      </w:pPr>
      <w:r>
        <w:rPr>
          <w:snapToGrid w:val="0"/>
        </w:rPr>
        <w:t xml:space="preserve">2. </w:t>
      </w: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Subsection"/>
        <w:rPr>
          <w:snapToGrid w:val="0"/>
        </w:rPr>
      </w:pPr>
      <w:r>
        <w:rPr>
          <w:snapToGrid w:val="0"/>
        </w:rPr>
        <w:t xml:space="preserve">3. </w:t>
      </w: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 xml:space="preserve">[Fifth Schedule inserted by No. 72 of 1984 s.8.] </w:t>
      </w:r>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162" w:name="_Toc89160156"/>
      <w:bookmarkStart w:id="163" w:name="_Toc101855632"/>
      <w:bookmarkStart w:id="164" w:name="_Toc121561322"/>
      <w:bookmarkStart w:id="165" w:name="_Toc170124376"/>
      <w:r>
        <w:t>Notes</w:t>
      </w:r>
      <w:bookmarkEnd w:id="162"/>
      <w:bookmarkEnd w:id="163"/>
      <w:bookmarkEnd w:id="164"/>
      <w:bookmarkEnd w:id="165"/>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Administration Act 1903</w:t>
      </w:r>
      <w:r>
        <w:rPr>
          <w:snapToGrid w:val="0"/>
        </w:rPr>
        <w:t xml:space="preserve"> and includes the amendments made by the other written laws referred to in the following table</w:t>
      </w:r>
      <w:r>
        <w:rPr>
          <w:snapToGrid w:val="0"/>
          <w:vertAlign w:val="superscript"/>
        </w:rPr>
        <w:t> 1a</w:t>
      </w:r>
      <w:r>
        <w:rPr>
          <w:snapToGrid w:val="0"/>
        </w:rPr>
        <w:t>.</w:t>
      </w:r>
    </w:p>
    <w:p>
      <w:pPr>
        <w:pStyle w:val="nHeading3"/>
      </w:pPr>
      <w:bookmarkStart w:id="166" w:name="_Toc170124377"/>
      <w:r>
        <w:t>Compilation table</w:t>
      </w:r>
      <w:bookmarkEnd w:id="166"/>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 1903</w:t>
            </w:r>
          </w:p>
        </w:tc>
        <w:tc>
          <w:tcPr>
            <w:tcW w:w="2551" w:type="dxa"/>
            <w:tcBorders>
              <w:top w:val="single" w:sz="8" w:space="0" w:color="auto"/>
            </w:tcBorders>
          </w:tcPr>
          <w:p>
            <w:pPr>
              <w:pStyle w:val="nTable"/>
              <w:spacing w:after="40"/>
              <w:rPr>
                <w:sz w:val="19"/>
              </w:rPr>
            </w:pPr>
            <w:r>
              <w:rPr>
                <w:sz w:val="19"/>
              </w:rPr>
              <w:t>1 Jan 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 1909</w:t>
            </w:r>
          </w:p>
        </w:tc>
        <w:tc>
          <w:tcPr>
            <w:tcW w:w="2551" w:type="dxa"/>
          </w:tcPr>
          <w:p>
            <w:pPr>
              <w:pStyle w:val="nTable"/>
              <w:spacing w:after="40"/>
              <w:rPr>
                <w:sz w:val="19"/>
              </w:rPr>
            </w:pPr>
            <w:r>
              <w:rPr>
                <w:sz w:val="19"/>
              </w:rPr>
              <w:t>20 Nov 1909</w:t>
            </w:r>
          </w:p>
        </w:tc>
      </w:tr>
      <w:tr>
        <w:trPr>
          <w:cantSplit/>
        </w:trPr>
        <w:tc>
          <w:tcPr>
            <w:tcW w:w="2268" w:type="dxa"/>
          </w:tcPr>
          <w:p>
            <w:pPr>
              <w:pStyle w:val="nTable"/>
              <w:spacing w:after="40"/>
              <w:ind w:right="170"/>
              <w:rPr>
                <w:sz w:val="19"/>
              </w:rPr>
            </w:pPr>
            <w:r>
              <w:rPr>
                <w:i/>
                <w:sz w:val="19"/>
              </w:rPr>
              <w:t>Curator of Intestate Estates Act 1918</w:t>
            </w:r>
            <w:r>
              <w:rPr>
                <w:sz w:val="19"/>
              </w:rPr>
              <w:t>, section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 1918</w:t>
            </w:r>
          </w:p>
        </w:tc>
        <w:tc>
          <w:tcPr>
            <w:tcW w:w="2551"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 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 1922</w:t>
            </w:r>
          </w:p>
        </w:tc>
        <w:tc>
          <w:tcPr>
            <w:tcW w:w="2551" w:type="dxa"/>
          </w:tcPr>
          <w:p>
            <w:pPr>
              <w:pStyle w:val="nTable"/>
              <w:spacing w:after="40"/>
              <w:rPr>
                <w:sz w:val="19"/>
              </w:rPr>
            </w:pPr>
            <w:r>
              <w:rPr>
                <w:sz w:val="19"/>
              </w:rPr>
              <w:t>7 Dec 1922</w:t>
            </w:r>
          </w:p>
        </w:tc>
      </w:tr>
      <w:tr>
        <w:trPr>
          <w:cantSplit/>
        </w:trPr>
        <w:tc>
          <w:tcPr>
            <w:tcW w:w="2268" w:type="dxa"/>
          </w:tcPr>
          <w:p>
            <w:pPr>
              <w:pStyle w:val="nTable"/>
              <w:spacing w:after="40"/>
              <w:ind w:right="170"/>
              <w:rPr>
                <w:sz w:val="19"/>
              </w:rPr>
            </w:pPr>
            <w:r>
              <w:rPr>
                <w:i/>
                <w:sz w:val="19"/>
              </w:rPr>
              <w:t xml:space="preserve">Administration Act (Estate and Succession Duties) Amendment Act 1934 </w:t>
            </w:r>
            <w:r>
              <w:rPr>
                <w:sz w:val="19"/>
              </w:rPr>
              <w:t>s. 2 and Part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 1934</w:t>
            </w:r>
          </w:p>
        </w:tc>
        <w:tc>
          <w:tcPr>
            <w:tcW w:w="2551"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 1939</w:t>
            </w:r>
          </w:p>
        </w:tc>
        <w:tc>
          <w:tcPr>
            <w:tcW w:w="2551" w:type="dxa"/>
          </w:tcPr>
          <w:p>
            <w:pPr>
              <w:pStyle w:val="nTable"/>
              <w:spacing w:after="40"/>
              <w:rPr>
                <w:sz w:val="19"/>
              </w:rPr>
            </w:pPr>
            <w:r>
              <w:rPr>
                <w:sz w:val="19"/>
              </w:rPr>
              <w:t>22 Nov 1939</w:t>
            </w:r>
          </w:p>
        </w:tc>
      </w:tr>
      <w:tr>
        <w:trPr>
          <w:cantSplit/>
        </w:trPr>
        <w:tc>
          <w:tcPr>
            <w:tcW w:w="2268" w:type="dxa"/>
          </w:tcPr>
          <w:p>
            <w:pPr>
              <w:pStyle w:val="nTable"/>
              <w:spacing w:after="40"/>
              <w:ind w:right="170"/>
              <w:rPr>
                <w:sz w:val="19"/>
              </w:rPr>
            </w:pPr>
            <w:r>
              <w:rPr>
                <w:i/>
                <w:sz w:val="19"/>
              </w:rPr>
              <w:t>Public Trustee Act 1941</w:t>
            </w:r>
            <w:r>
              <w:rPr>
                <w:sz w:val="19"/>
              </w:rPr>
              <w:t>,</w:t>
            </w:r>
            <w:r>
              <w:rPr>
                <w:sz w:val="19"/>
              </w:rPr>
              <w:br/>
              <w:t>section 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 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 xml:space="preserve">Administration Act Amendment Act </w:t>
            </w:r>
            <w:r>
              <w:rPr>
                <w:i/>
                <w:sz w:val="19"/>
              </w:rPr>
              <w:br/>
              <w:t>(No. 2) 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 1942</w:t>
            </w:r>
          </w:p>
        </w:tc>
        <w:tc>
          <w:tcPr>
            <w:tcW w:w="2551" w:type="dxa"/>
          </w:tcPr>
          <w:p>
            <w:pPr>
              <w:pStyle w:val="nTable"/>
              <w:spacing w:after="40"/>
              <w:rPr>
                <w:sz w:val="19"/>
              </w:rPr>
            </w:pPr>
            <w:r>
              <w:rPr>
                <w:sz w:val="19"/>
              </w:rPr>
              <w:t>9 Dec 1942</w:t>
            </w:r>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 1946</w:t>
            </w:r>
          </w:p>
        </w:tc>
        <w:tc>
          <w:tcPr>
            <w:tcW w:w="2551" w:type="dxa"/>
          </w:tcPr>
          <w:p>
            <w:pPr>
              <w:pStyle w:val="nTable"/>
              <w:spacing w:after="40"/>
              <w:rPr>
                <w:sz w:val="19"/>
              </w:rPr>
            </w:pPr>
            <w:r>
              <w:rPr>
                <w:sz w:val="19"/>
              </w:rPr>
              <w:t>30 Jan 1946</w:t>
            </w:r>
          </w:p>
        </w:tc>
      </w:tr>
      <w:tr>
        <w:trPr>
          <w:cantSplit/>
        </w:trPr>
        <w:tc>
          <w:tcPr>
            <w:tcW w:w="2268" w:type="dxa"/>
          </w:tcPr>
          <w:p>
            <w:pPr>
              <w:pStyle w:val="nTable"/>
              <w:keepNext/>
              <w:keepLines/>
              <w:spacing w:after="40"/>
              <w:ind w:right="170"/>
              <w:rPr>
                <w:sz w:val="19"/>
              </w:rPr>
            </w:pPr>
            <w:r>
              <w:rPr>
                <w:i/>
                <w:sz w:val="19"/>
              </w:rPr>
              <w:t>Administration Act Amendment Act 1949</w:t>
            </w:r>
          </w:p>
        </w:tc>
        <w:tc>
          <w:tcPr>
            <w:tcW w:w="1134" w:type="dxa"/>
          </w:tcPr>
          <w:p>
            <w:pPr>
              <w:pStyle w:val="nTable"/>
              <w:keepNext/>
              <w:keepLines/>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 1950</w:t>
            </w:r>
          </w:p>
        </w:tc>
        <w:tc>
          <w:tcPr>
            <w:tcW w:w="2551" w:type="dxa"/>
          </w:tcPr>
          <w:p>
            <w:pPr>
              <w:pStyle w:val="nTable"/>
              <w:spacing w:after="40"/>
              <w:rPr>
                <w:sz w:val="19"/>
              </w:rPr>
            </w:pPr>
            <w:r>
              <w:rPr>
                <w:sz w:val="19"/>
              </w:rPr>
              <w:t>18 Dec 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 1954</w:t>
            </w:r>
          </w:p>
        </w:tc>
        <w:tc>
          <w:tcPr>
            <w:tcW w:w="2551" w:type="dxa"/>
          </w:tcPr>
          <w:p>
            <w:pPr>
              <w:pStyle w:val="nTable"/>
              <w:spacing w:after="40"/>
              <w:rPr>
                <w:sz w:val="19"/>
              </w:rPr>
            </w:pPr>
            <w:r>
              <w:rPr>
                <w:sz w:val="19"/>
              </w:rPr>
              <w:t>9 Jan 1954</w:t>
            </w:r>
          </w:p>
        </w:tc>
      </w:tr>
      <w:tr>
        <w:trPr>
          <w:cantSplit/>
        </w:trPr>
        <w:tc>
          <w:tcPr>
            <w:tcW w:w="2268" w:type="dxa"/>
          </w:tcPr>
          <w:p>
            <w:pPr>
              <w:pStyle w:val="nTable"/>
              <w:spacing w:after="40"/>
              <w:ind w:right="170"/>
              <w:rPr>
                <w:sz w:val="19"/>
              </w:rPr>
            </w:pPr>
            <w:r>
              <w:rPr>
                <w:i/>
                <w:sz w:val="19"/>
              </w:rPr>
              <w:t xml:space="preserve">Administration Act Amendment Act </w:t>
            </w:r>
            <w:r>
              <w:rPr>
                <w:i/>
                <w:sz w:val="19"/>
              </w:rPr>
              <w:br/>
              <w:t>(No 2) 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 1954</w:t>
            </w:r>
          </w:p>
        </w:tc>
        <w:tc>
          <w:tcPr>
            <w:tcW w:w="2551" w:type="dxa"/>
          </w:tcPr>
          <w:p>
            <w:pPr>
              <w:pStyle w:val="nTable"/>
              <w:spacing w:after="40"/>
              <w:rPr>
                <w:sz w:val="19"/>
              </w:rPr>
            </w:pPr>
            <w:r>
              <w:rPr>
                <w:sz w:val="19"/>
              </w:rPr>
              <w:t>18 Jan 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 1954</w:t>
            </w:r>
          </w:p>
        </w:tc>
        <w:tc>
          <w:tcPr>
            <w:tcW w:w="2551" w:type="dxa"/>
          </w:tcPr>
          <w:p>
            <w:pPr>
              <w:pStyle w:val="nTable"/>
              <w:spacing w:after="40"/>
              <w:rPr>
                <w:sz w:val="19"/>
              </w:rPr>
            </w:pPr>
            <w:r>
              <w:rPr>
                <w:sz w:val="19"/>
              </w:rPr>
              <w:t>8 Nov 1954</w:t>
            </w:r>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 1955</w:t>
            </w:r>
          </w:p>
        </w:tc>
        <w:tc>
          <w:tcPr>
            <w:tcW w:w="2551" w:type="dxa"/>
          </w:tcPr>
          <w:p>
            <w:pPr>
              <w:pStyle w:val="nTable"/>
              <w:spacing w:after="40"/>
              <w:rPr>
                <w:sz w:val="19"/>
              </w:rPr>
            </w:pPr>
            <w:r>
              <w:rPr>
                <w:sz w:val="19"/>
              </w:rPr>
              <w:t>19 Dec 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 1957</w:t>
            </w:r>
          </w:p>
        </w:tc>
        <w:tc>
          <w:tcPr>
            <w:tcW w:w="2551" w:type="dxa"/>
          </w:tcPr>
          <w:p>
            <w:pPr>
              <w:pStyle w:val="nTable"/>
              <w:spacing w:after="40"/>
              <w:rPr>
                <w:sz w:val="19"/>
              </w:rPr>
            </w:pPr>
            <w:r>
              <w:rPr>
                <w:sz w:val="19"/>
              </w:rPr>
              <w:t>1 Feb 1957 (see s. 2 and </w:t>
            </w:r>
            <w:r>
              <w:rPr>
                <w:i/>
                <w:sz w:val="19"/>
              </w:rPr>
              <w:t>Gazette</w:t>
            </w:r>
            <w:r>
              <w:rPr>
                <w:sz w:val="19"/>
              </w:rPr>
              <w:t xml:space="preserve"> 1 Feb 1957 p. 161)</w:t>
            </w:r>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 1959</w:t>
            </w:r>
          </w:p>
        </w:tc>
        <w:tc>
          <w:tcPr>
            <w:tcW w:w="2551" w:type="dxa"/>
          </w:tcPr>
          <w:p>
            <w:pPr>
              <w:pStyle w:val="nTable"/>
              <w:spacing w:after="40"/>
              <w:rPr>
                <w:sz w:val="19"/>
              </w:rPr>
            </w:pPr>
            <w:r>
              <w:rPr>
                <w:sz w:val="19"/>
              </w:rPr>
              <w:t>25 Nov 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 1960</w:t>
            </w:r>
          </w:p>
        </w:tc>
        <w:tc>
          <w:tcPr>
            <w:tcW w:w="2551" w:type="dxa"/>
          </w:tcPr>
          <w:p>
            <w:pPr>
              <w:pStyle w:val="nTable"/>
              <w:spacing w:after="40"/>
              <w:rPr>
                <w:sz w:val="19"/>
              </w:rPr>
            </w:pPr>
            <w:r>
              <w:rPr>
                <w:sz w:val="19"/>
              </w:rPr>
              <w:t>25 Nov 1960 (see s. 2 and </w:t>
            </w:r>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 1961</w:t>
            </w:r>
          </w:p>
        </w:tc>
        <w:tc>
          <w:tcPr>
            <w:tcW w:w="2551" w:type="dxa"/>
          </w:tcPr>
          <w:p>
            <w:pPr>
              <w:pStyle w:val="nTable"/>
              <w:spacing w:after="40"/>
              <w:rPr>
                <w:sz w:val="19"/>
              </w:rPr>
            </w:pPr>
            <w:r>
              <w:rPr>
                <w:sz w:val="19"/>
              </w:rPr>
              <w:t>28 Nov 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 1962</w:t>
            </w:r>
          </w:p>
        </w:tc>
        <w:tc>
          <w:tcPr>
            <w:tcW w:w="2551" w:type="dxa"/>
          </w:tcPr>
          <w:p>
            <w:pPr>
              <w:pStyle w:val="nTable"/>
              <w:spacing w:after="40"/>
              <w:rPr>
                <w:sz w:val="19"/>
              </w:rPr>
            </w:pPr>
            <w:r>
              <w:rPr>
                <w:sz w:val="19"/>
              </w:rPr>
              <w:t>1 Jan 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 1963</w:t>
            </w:r>
          </w:p>
        </w:tc>
        <w:tc>
          <w:tcPr>
            <w:tcW w:w="2551" w:type="dxa"/>
          </w:tcPr>
          <w:p>
            <w:pPr>
              <w:pStyle w:val="nTable"/>
              <w:spacing w:after="40"/>
              <w:rPr>
                <w:sz w:val="19"/>
              </w:rPr>
            </w:pPr>
            <w:r>
              <w:rPr>
                <w:sz w:val="19"/>
              </w:rPr>
              <w:t>18 Dec 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 1964</w:t>
            </w:r>
          </w:p>
        </w:tc>
        <w:tc>
          <w:tcPr>
            <w:tcW w:w="2551" w:type="dxa"/>
          </w:tcPr>
          <w:p>
            <w:pPr>
              <w:pStyle w:val="nTable"/>
              <w:spacing w:after="40"/>
              <w:rPr>
                <w:sz w:val="19"/>
              </w:rPr>
            </w:pPr>
            <w:r>
              <w:rPr>
                <w:sz w:val="19"/>
              </w:rPr>
              <w:t>30 Nov 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 1965</w:t>
            </w:r>
          </w:p>
        </w:tc>
        <w:tc>
          <w:tcPr>
            <w:tcW w:w="2551" w:type="dxa"/>
          </w:tcPr>
          <w:p>
            <w:pPr>
              <w:pStyle w:val="nTable"/>
              <w:spacing w:after="40"/>
              <w:rPr>
                <w:sz w:val="19"/>
              </w:rPr>
            </w:pPr>
            <w:r>
              <w:rPr>
                <w:sz w:val="19"/>
              </w:rPr>
              <w:t>7 Dec 1965</w:t>
            </w:r>
          </w:p>
        </w:tc>
      </w:tr>
      <w:tr>
        <w:trPr>
          <w:cantSplit/>
        </w:trPr>
        <w:tc>
          <w:tcPr>
            <w:tcW w:w="2268" w:type="dxa"/>
          </w:tcPr>
          <w:p>
            <w:pPr>
              <w:pStyle w:val="nTable"/>
              <w:spacing w:after="40"/>
              <w:ind w:right="170"/>
              <w:rPr>
                <w:sz w:val="19"/>
              </w:rPr>
            </w:pPr>
            <w:r>
              <w:rPr>
                <w:i/>
                <w:sz w:val="19"/>
              </w:rPr>
              <w:t xml:space="preserve">Decimal Currency Act 1965, </w:t>
            </w:r>
            <w:r>
              <w:rPr>
                <w:sz w:val="19"/>
              </w:rPr>
              <w:t>sections 5</w:t>
            </w:r>
            <w:r>
              <w:rPr>
                <w:sz w:val="19"/>
              </w:rPr>
              <w:noBreakHyphen/>
              <w:t>9</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1" w:type="dxa"/>
          </w:tcPr>
          <w:p>
            <w:pPr>
              <w:pStyle w:val="nTable"/>
              <w:spacing w:after="40"/>
              <w:rPr>
                <w:sz w:val="19"/>
              </w:rPr>
            </w:pPr>
            <w:r>
              <w:rPr>
                <w:sz w:val="19"/>
              </w:rPr>
              <w:t>14 Feb 1966 (see s. 2)</w:t>
            </w:r>
          </w:p>
        </w:tc>
      </w:tr>
      <w:tr>
        <w:trPr>
          <w:cantSplit/>
        </w:trPr>
        <w:tc>
          <w:tcPr>
            <w:tcW w:w="2268" w:type="dxa"/>
          </w:tcPr>
          <w:p>
            <w:pPr>
              <w:pStyle w:val="nTable"/>
              <w:spacing w:after="40"/>
              <w:ind w:right="170"/>
              <w:rPr>
                <w:sz w:val="19"/>
              </w:rPr>
            </w:pPr>
            <w:r>
              <w:rPr>
                <w:i/>
                <w:sz w:val="19"/>
              </w:rPr>
              <w:t>Administration Act Amendment Act 1966</w:t>
            </w:r>
          </w:p>
        </w:tc>
        <w:tc>
          <w:tcPr>
            <w:tcW w:w="1134" w:type="dxa"/>
          </w:tcPr>
          <w:p>
            <w:pPr>
              <w:pStyle w:val="nTable"/>
              <w:spacing w:after="40"/>
              <w:rPr>
                <w:sz w:val="19"/>
              </w:rPr>
            </w:pPr>
            <w:r>
              <w:rPr>
                <w:sz w:val="19"/>
              </w:rPr>
              <w:t>68 of 1966</w:t>
            </w:r>
          </w:p>
        </w:tc>
        <w:tc>
          <w:tcPr>
            <w:tcW w:w="1134" w:type="dxa"/>
          </w:tcPr>
          <w:p>
            <w:pPr>
              <w:pStyle w:val="nTable"/>
              <w:spacing w:after="40"/>
              <w:rPr>
                <w:sz w:val="19"/>
              </w:rPr>
            </w:pPr>
            <w:r>
              <w:rPr>
                <w:sz w:val="19"/>
              </w:rPr>
              <w:t>12 Dec 1966</w:t>
            </w:r>
          </w:p>
        </w:tc>
        <w:tc>
          <w:tcPr>
            <w:tcW w:w="2551" w:type="dxa"/>
          </w:tcPr>
          <w:p>
            <w:pPr>
              <w:pStyle w:val="nTable"/>
              <w:spacing w:after="40"/>
              <w:rPr>
                <w:sz w:val="19"/>
              </w:rPr>
            </w:pPr>
            <w:r>
              <w:rPr>
                <w:sz w:val="19"/>
              </w:rPr>
              <w:t>12 Dec 1966</w:t>
            </w:r>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 1969</w:t>
            </w:r>
          </w:p>
        </w:tc>
        <w:tc>
          <w:tcPr>
            <w:tcW w:w="2551" w:type="dxa"/>
          </w:tcPr>
          <w:p>
            <w:pPr>
              <w:pStyle w:val="nTable"/>
              <w:spacing w:after="40"/>
              <w:rPr>
                <w:sz w:val="19"/>
              </w:rPr>
            </w:pPr>
            <w:r>
              <w:rPr>
                <w:sz w:val="19"/>
              </w:rPr>
              <w:t>21 Apr 1969</w:t>
            </w:r>
          </w:p>
        </w:tc>
      </w:tr>
      <w:tr>
        <w:trPr>
          <w:cantSplit/>
        </w:trPr>
        <w:tc>
          <w:tcPr>
            <w:tcW w:w="2268" w:type="dxa"/>
          </w:tcPr>
          <w:p>
            <w:pPr>
              <w:pStyle w:val="nTable"/>
              <w:spacing w:after="40"/>
              <w:ind w:right="170"/>
              <w:rPr>
                <w:sz w:val="19"/>
              </w:rPr>
            </w:pPr>
            <w:r>
              <w:rPr>
                <w:i/>
                <w:sz w:val="19"/>
              </w:rPr>
              <w:t>Acts Amendment (Commissioner of State Taxation) Act 1970</w:t>
            </w:r>
            <w:r>
              <w:rPr>
                <w:sz w:val="19"/>
              </w:rPr>
              <w:t>,</w:t>
            </w:r>
            <w:r>
              <w:rPr>
                <w:sz w:val="19"/>
              </w:rPr>
              <w:br/>
              <w:t>Part 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1"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 1970</w:t>
            </w:r>
          </w:p>
        </w:tc>
        <w:tc>
          <w:tcPr>
            <w:tcW w:w="2551" w:type="dxa"/>
          </w:tcPr>
          <w:p>
            <w:pPr>
              <w:pStyle w:val="nTable"/>
              <w:spacing w:after="40"/>
              <w:rPr>
                <w:sz w:val="19"/>
              </w:rPr>
            </w:pPr>
            <w:r>
              <w:rPr>
                <w:sz w:val="19"/>
              </w:rPr>
              <w:t>S. 3, 4 and 11: 1 Jan 1971; balance: 8 Dec 1970 (see s. 2)</w:t>
            </w:r>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 1971</w:t>
            </w:r>
          </w:p>
        </w:tc>
        <w:tc>
          <w:tcPr>
            <w:tcW w:w="2551" w:type="dxa"/>
          </w:tcPr>
          <w:p>
            <w:pPr>
              <w:pStyle w:val="nTable"/>
              <w:spacing w:after="40"/>
              <w:rPr>
                <w:sz w:val="19"/>
              </w:rPr>
            </w:pPr>
            <w:r>
              <w:rPr>
                <w:sz w:val="19"/>
              </w:rPr>
              <w:t xml:space="preserve">21 Jan 1972 (see s. 2 and </w:t>
            </w:r>
            <w:r>
              <w:rPr>
                <w:i/>
                <w:sz w:val="19"/>
              </w:rPr>
              <w:t>Gazette</w:t>
            </w:r>
            <w:r>
              <w:rPr>
                <w:sz w:val="19"/>
              </w:rPr>
              <w:t xml:space="preserve"> 1 Jan 1972 p. 71)</w:t>
            </w:r>
          </w:p>
        </w:tc>
      </w:tr>
      <w:tr>
        <w:trPr>
          <w:cantSplit/>
        </w:trPr>
        <w:tc>
          <w:tcPr>
            <w:tcW w:w="2268" w:type="dxa"/>
          </w:tcPr>
          <w:p>
            <w:pPr>
              <w:pStyle w:val="nTable"/>
              <w:spacing w:after="40"/>
              <w:ind w:right="170"/>
              <w:rPr>
                <w:sz w:val="19"/>
              </w:rPr>
            </w:pPr>
            <w:r>
              <w:rPr>
                <w:i/>
                <w:sz w:val="19"/>
              </w:rPr>
              <w:t>Administration Act Amendment Act</w:t>
            </w:r>
            <w:r>
              <w:rPr>
                <w:i/>
                <w:sz w:val="19"/>
              </w:rPr>
              <w:br/>
              <w:t>(No. 2.) 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 1971</w:t>
            </w:r>
          </w:p>
        </w:tc>
        <w:tc>
          <w:tcPr>
            <w:tcW w:w="2551" w:type="dxa"/>
          </w:tcPr>
          <w:p>
            <w:pPr>
              <w:pStyle w:val="nTable"/>
              <w:spacing w:after="40"/>
              <w:rPr>
                <w:sz w:val="19"/>
              </w:rPr>
            </w:pPr>
            <w:r>
              <w:rPr>
                <w:sz w:val="19"/>
              </w:rPr>
              <w:t>10 Dec 1971</w:t>
            </w:r>
          </w:p>
        </w:tc>
      </w:tr>
      <w:tr>
        <w:trPr>
          <w:cantSplit/>
        </w:trPr>
        <w:tc>
          <w:tcPr>
            <w:tcW w:w="2268" w:type="dxa"/>
          </w:tcPr>
          <w:p>
            <w:pPr>
              <w:pStyle w:val="nTable"/>
              <w:spacing w:after="40"/>
              <w:ind w:right="170"/>
              <w:rPr>
                <w:sz w:val="19"/>
              </w:rPr>
            </w:pPr>
            <w:r>
              <w:rPr>
                <w:i/>
                <w:sz w:val="19"/>
              </w:rPr>
              <w:t>Age of Majority Act 1972</w:t>
            </w:r>
            <w:r>
              <w:rPr>
                <w:sz w:val="19"/>
              </w:rPr>
              <w:t>, section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1 Nov 1972 (see s. 2 and </w:t>
            </w:r>
            <w:r>
              <w:rPr>
                <w:i/>
                <w:sz w:val="19"/>
              </w:rPr>
              <w:t>Gazette</w:t>
            </w:r>
            <w:r>
              <w:rPr>
                <w:sz w:val="19"/>
              </w:rPr>
              <w:t xml:space="preserve"> 13 Oct 1972 p. 4069)</w:t>
            </w:r>
          </w:p>
        </w:tc>
      </w:tr>
      <w:tr>
        <w:trPr>
          <w:cantSplit/>
        </w:trPr>
        <w:tc>
          <w:tcPr>
            <w:tcW w:w="2268" w:type="dxa"/>
          </w:tcPr>
          <w:p>
            <w:pPr>
              <w:pStyle w:val="nTable"/>
              <w:spacing w:after="40"/>
              <w:ind w:right="170"/>
              <w:rPr>
                <w:sz w:val="19"/>
              </w:rPr>
            </w:pPr>
            <w:r>
              <w:rPr>
                <w:i/>
                <w:sz w:val="19"/>
              </w:rPr>
              <w:t>Inheritance (Family and Dependants Provision) Act 1972</w:t>
            </w:r>
            <w:r>
              <w:rPr>
                <w:sz w:val="19"/>
              </w:rPr>
              <w:t>, section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 1972</w:t>
            </w:r>
          </w:p>
        </w:tc>
        <w:tc>
          <w:tcPr>
            <w:tcW w:w="2551"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 xml:space="preserve">The relevant amendments as set out in Schedule 2 took effect on 11 Jan 1974 (see s. 2) and </w:t>
            </w:r>
            <w:r>
              <w:rPr>
                <w:i/>
                <w:sz w:val="19"/>
              </w:rPr>
              <w:t>Gazette</w:t>
            </w:r>
            <w:r>
              <w:rPr>
                <w:sz w:val="19"/>
              </w:rPr>
              <w:t xml:space="preserve"> 11 Jan 1974 p. 52)</w:t>
            </w:r>
          </w:p>
        </w:tc>
      </w:tr>
      <w:tr>
        <w:trPr>
          <w:cantSplit/>
        </w:trPr>
        <w:tc>
          <w:tcPr>
            <w:tcW w:w="2268" w:type="dxa"/>
          </w:tcPr>
          <w:p>
            <w:pPr>
              <w:pStyle w:val="nTable"/>
              <w:spacing w:after="40"/>
              <w:ind w:right="170"/>
              <w:rPr>
                <w:sz w:val="19"/>
              </w:rPr>
            </w:pPr>
            <w:r>
              <w:rPr>
                <w:i/>
                <w:sz w:val="19"/>
              </w:rPr>
              <w:t>Death Duty Assessment Act 1973</w:t>
            </w:r>
            <w:r>
              <w:rPr>
                <w:sz w:val="19"/>
              </w:rPr>
              <w:t>, section 3</w:t>
            </w:r>
            <w:r>
              <w:rPr>
                <w:sz w:val="19"/>
                <w:vertAlign w:val="superscript"/>
              </w:rPr>
              <w:t> 7</w:t>
            </w:r>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 1973</w:t>
            </w:r>
          </w:p>
        </w:tc>
        <w:tc>
          <w:tcPr>
            <w:tcW w:w="2551"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 1976</w:t>
            </w:r>
          </w:p>
        </w:tc>
        <w:tc>
          <w:tcPr>
            <w:tcW w:w="2551" w:type="dxa"/>
          </w:tcPr>
          <w:p>
            <w:pPr>
              <w:pStyle w:val="nTable"/>
              <w:spacing w:after="40"/>
              <w:rPr>
                <w:sz w:val="19"/>
              </w:rPr>
            </w:pPr>
            <w:r>
              <w:rPr>
                <w:sz w:val="19"/>
              </w:rPr>
              <w:t xml:space="preserve">S. 3, 4  and 16: </w:t>
            </w:r>
            <w:r>
              <w:rPr>
                <w:sz w:val="19"/>
              </w:rPr>
              <w:br/>
              <w:t xml:space="preserve">1 Mar 1977 (see s. 2(1) and </w:t>
            </w:r>
            <w:r>
              <w:rPr>
                <w:i/>
                <w:sz w:val="19"/>
              </w:rPr>
              <w:t>Gazette</w:t>
            </w:r>
            <w:r>
              <w:rPr>
                <w:sz w:val="19"/>
              </w:rPr>
              <w:t xml:space="preserve"> 28 Jan 1977 p. 185</w:t>
            </w:r>
            <w:r>
              <w:rPr>
                <w:sz w:val="19"/>
              </w:rPr>
              <w:noBreakHyphen/>
              <w:t xml:space="preserve">6); </w:t>
            </w:r>
            <w:r>
              <w:rPr>
                <w:sz w:val="19"/>
              </w:rPr>
              <w:br/>
              <w:t xml:space="preserve">s. 5 to 15: 1 Dec 1977 (see s. 2(2) and </w:t>
            </w:r>
            <w:r>
              <w:rPr>
                <w:i/>
                <w:sz w:val="19"/>
              </w:rPr>
              <w:t>Gazette</w:t>
            </w:r>
            <w:r>
              <w:rPr>
                <w:sz w:val="19"/>
              </w:rPr>
              <w:t xml:space="preserve"> 11 Nov 1977 p. 4193); balance: 1 Mar 1977</w:t>
            </w:r>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 1977</w:t>
            </w:r>
          </w:p>
        </w:tc>
        <w:tc>
          <w:tcPr>
            <w:tcW w:w="2551" w:type="dxa"/>
          </w:tcPr>
          <w:p>
            <w:pPr>
              <w:pStyle w:val="nTable"/>
              <w:spacing w:after="40"/>
              <w:rPr>
                <w:sz w:val="19"/>
              </w:rPr>
            </w:pPr>
            <w:r>
              <w:rPr>
                <w:sz w:val="19"/>
              </w:rPr>
              <w:t>1 Dec 1977 (see s. 2 and </w:t>
            </w:r>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r>
              <w:rPr>
                <w:sz w:val="19"/>
              </w:rPr>
              <w:t>,</w:t>
            </w:r>
            <w:r>
              <w:rPr>
                <w:sz w:val="19"/>
              </w:rPr>
              <w:br/>
              <w:t>Part 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 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 1979</w:t>
            </w:r>
          </w:p>
        </w:tc>
        <w:tc>
          <w:tcPr>
            <w:tcW w:w="2551"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 1980</w:t>
            </w:r>
          </w:p>
        </w:tc>
        <w:tc>
          <w:tcPr>
            <w:tcW w:w="2551" w:type="dxa"/>
          </w:tcPr>
          <w:p>
            <w:pPr>
              <w:pStyle w:val="nTable"/>
              <w:spacing w:after="40"/>
              <w:rPr>
                <w:sz w:val="19"/>
              </w:rPr>
            </w:pPr>
            <w:r>
              <w:rPr>
                <w:sz w:val="19"/>
              </w:rPr>
              <w:t>12 Nov 1980 (see s. 2)</w:t>
            </w:r>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1 Mar 1983 (see s. 2 and </w:t>
            </w:r>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 1984</w:t>
            </w:r>
          </w:p>
        </w:tc>
        <w:tc>
          <w:tcPr>
            <w:tcW w:w="2551" w:type="dxa"/>
          </w:tcPr>
          <w:p>
            <w:pPr>
              <w:pStyle w:val="nTable"/>
              <w:spacing w:after="40"/>
              <w:rPr>
                <w:sz w:val="19"/>
              </w:rPr>
            </w:pPr>
            <w:r>
              <w:rPr>
                <w:sz w:val="19"/>
              </w:rPr>
              <w:t>21 Nov 1984</w:t>
            </w:r>
          </w:p>
        </w:tc>
      </w:tr>
      <w:tr>
        <w:trPr>
          <w:cantSplit/>
        </w:trPr>
        <w:tc>
          <w:tcPr>
            <w:tcW w:w="2268" w:type="dxa"/>
          </w:tcPr>
          <w:p>
            <w:pPr>
              <w:pStyle w:val="nTable"/>
              <w:spacing w:after="40"/>
              <w:ind w:right="170"/>
              <w:rPr>
                <w:sz w:val="19"/>
              </w:rPr>
            </w:pPr>
            <w:r>
              <w:rPr>
                <w:i/>
                <w:sz w:val="19"/>
              </w:rPr>
              <w:t xml:space="preserve">Acts Amendment (Insolvent Estates) Act 1984, </w:t>
            </w:r>
            <w:r>
              <w:rPr>
                <w:i/>
                <w:sz w:val="19"/>
              </w:rPr>
              <w:br/>
            </w:r>
            <w:r>
              <w:rPr>
                <w:sz w:val="19"/>
              </w:rPr>
              <w:t>Part 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 1984</w:t>
            </w:r>
          </w:p>
        </w:tc>
        <w:tc>
          <w:tcPr>
            <w:tcW w:w="2551" w:type="dxa"/>
          </w:tcPr>
          <w:p>
            <w:pPr>
              <w:pStyle w:val="nTable"/>
              <w:spacing w:after="40"/>
              <w:rPr>
                <w:sz w:val="19"/>
              </w:rPr>
            </w:pPr>
            <w:r>
              <w:rPr>
                <w:sz w:val="19"/>
              </w:rPr>
              <w:t>24 Dec 1984</w:t>
            </w:r>
          </w:p>
        </w:tc>
      </w:tr>
      <w:tr>
        <w:trPr>
          <w:cantSplit/>
        </w:trPr>
        <w:tc>
          <w:tcPr>
            <w:tcW w:w="2268" w:type="dxa"/>
          </w:tcPr>
          <w:p>
            <w:pPr>
              <w:pStyle w:val="nTable"/>
              <w:spacing w:after="40"/>
              <w:ind w:right="170"/>
              <w:rPr>
                <w:sz w:val="19"/>
              </w:rPr>
            </w:pPr>
            <w:r>
              <w:rPr>
                <w:i/>
                <w:sz w:val="19"/>
              </w:rPr>
              <w:t>Artificial Conception Act 1985</w:t>
            </w:r>
            <w:r>
              <w:rPr>
                <w:sz w:val="19"/>
              </w:rPr>
              <w:t>,</w:t>
            </w:r>
            <w:r>
              <w:rPr>
                <w:sz w:val="19"/>
              </w:rPr>
              <w:br/>
              <w:t>section 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 1985</w:t>
            </w:r>
          </w:p>
        </w:tc>
        <w:tc>
          <w:tcPr>
            <w:tcW w:w="2551"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 1986</w:t>
            </w:r>
          </w:p>
        </w:tc>
        <w:tc>
          <w:tcPr>
            <w:tcW w:w="2551" w:type="dxa"/>
          </w:tcPr>
          <w:p>
            <w:pPr>
              <w:pStyle w:val="nTable"/>
              <w:spacing w:after="40"/>
              <w:rPr>
                <w:sz w:val="19"/>
              </w:rPr>
            </w:pPr>
            <w:r>
              <w:rPr>
                <w:sz w:val="19"/>
              </w:rPr>
              <w:t>7 Nov 1986 (see s. 2 and </w:t>
            </w:r>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r>
              <w:rPr>
                <w:sz w:val="19"/>
              </w:rPr>
              <w:t>,</w:t>
            </w:r>
            <w:r>
              <w:rPr>
                <w:sz w:val="19"/>
              </w:rPr>
              <w:br/>
              <w:t>section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r>
              <w:rPr>
                <w:sz w:val="19"/>
              </w:rPr>
              <w:t xml:space="preserve">, </w:t>
            </w:r>
            <w:r>
              <w:rPr>
                <w:sz w:val="19"/>
              </w:rPr>
              <w:br/>
              <w:t>section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 1997</w:t>
            </w:r>
          </w:p>
        </w:tc>
        <w:tc>
          <w:tcPr>
            <w:tcW w:w="2551"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r>
              <w:rPr>
                <w:sz w:val="19"/>
              </w:rPr>
              <w:t xml:space="preserve">, </w:t>
            </w:r>
            <w:r>
              <w:rPr>
                <w:sz w:val="19"/>
              </w:rPr>
              <w:br/>
              <w:t>section 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w:t>
            </w:r>
          </w:p>
        </w:tc>
      </w:tr>
      <w:tr>
        <w:trPr>
          <w:cantSplit/>
        </w:trPr>
        <w:tc>
          <w:tcPr>
            <w:tcW w:w="2268" w:type="dxa"/>
          </w:tcPr>
          <w:p>
            <w:pPr>
              <w:pStyle w:val="nTable"/>
              <w:spacing w:after="40"/>
              <w:ind w:right="170"/>
              <w:rPr>
                <w:sz w:val="19"/>
              </w:rPr>
            </w:pPr>
            <w:r>
              <w:rPr>
                <w:i/>
                <w:sz w:val="19"/>
              </w:rPr>
              <w:t>Acts Amendment and Repeal (Financial Sector Reform) Act 1999</w:t>
            </w:r>
            <w:r>
              <w:rPr>
                <w:sz w:val="19"/>
              </w:rPr>
              <w:t>,</w:t>
            </w:r>
          </w:p>
          <w:p>
            <w:pPr>
              <w:pStyle w:val="nTable"/>
              <w:spacing w:after="40"/>
              <w:ind w:right="170"/>
              <w:rPr>
                <w:sz w:val="19"/>
              </w:rPr>
            </w:pPr>
            <w:r>
              <w:rPr>
                <w:sz w:val="19"/>
              </w:rPr>
              <w:t>section 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1"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w:t>
            </w:r>
            <w:r>
              <w:rPr>
                <w:sz w:val="19"/>
              </w:rPr>
              <w:br/>
              <w:t>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 Sep 2002</w:t>
            </w:r>
          </w:p>
        </w:tc>
        <w:tc>
          <w:tcPr>
            <w:tcW w:w="2551" w:type="dxa"/>
          </w:tcPr>
          <w:p>
            <w:pPr>
              <w:pStyle w:val="nTable"/>
              <w:spacing w:after="40"/>
              <w:rPr>
                <w:sz w:val="19"/>
              </w:rPr>
            </w:pPr>
            <w:r>
              <w:rPr>
                <w:sz w:val="19"/>
              </w:rPr>
              <w:t xml:space="preserve">1 Dec2002 (see s. 2 and </w:t>
            </w:r>
            <w:r>
              <w:rPr>
                <w:i/>
                <w:sz w:val="19"/>
              </w:rPr>
              <w:t>Gazette</w:t>
            </w:r>
            <w:r>
              <w:rPr>
                <w:sz w:val="19"/>
              </w:rPr>
              <w:t xml:space="preserve"> 29 Nov 2002 p. 5651)</w:t>
            </w:r>
          </w:p>
        </w:tc>
      </w:tr>
      <w:tr>
        <w:trPr>
          <w:cantSplit/>
        </w:trPr>
        <w:tc>
          <w:tcPr>
            <w:tcW w:w="2268" w:type="dxa"/>
            <w:tcBorders>
              <w:bottom w:val="single" w:sz="8" w:space="0" w:color="auto"/>
            </w:tcBorders>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r>
              <w:rPr>
                <w:snapToGrid w:val="0"/>
                <w:sz w:val="19"/>
                <w:vertAlign w:val="superscript"/>
                <w:lang w:val="en-US"/>
              </w:rPr>
              <w:t> </w:t>
            </w:r>
          </w:p>
        </w:tc>
        <w:tc>
          <w:tcPr>
            <w:tcW w:w="1134" w:type="dxa"/>
            <w:tcBorders>
              <w:bottom w:val="single" w:sz="8" w:space="0" w:color="auto"/>
            </w:tcBorders>
          </w:tcPr>
          <w:p>
            <w:pPr>
              <w:pStyle w:val="nTable"/>
              <w:spacing w:after="40"/>
              <w:rPr>
                <w:sz w:val="19"/>
              </w:rPr>
            </w:pPr>
            <w:r>
              <w:rPr>
                <w:snapToGrid w:val="0"/>
                <w:sz w:val="19"/>
                <w:lang w:val="en-US"/>
              </w:rPr>
              <w:t>59 of 2004</w:t>
            </w:r>
          </w:p>
        </w:tc>
        <w:tc>
          <w:tcPr>
            <w:tcW w:w="1134" w:type="dxa"/>
            <w:tcBorders>
              <w:bottom w:val="single" w:sz="8" w:space="0" w:color="auto"/>
            </w:tcBorders>
          </w:tcPr>
          <w:p>
            <w:pPr>
              <w:pStyle w:val="nTable"/>
              <w:spacing w:after="40"/>
              <w:rPr>
                <w:sz w:val="19"/>
              </w:rPr>
            </w:pPr>
            <w:r>
              <w:rPr>
                <w:sz w:val="19"/>
              </w:rPr>
              <w:t>23 Nov 2004</w:t>
            </w:r>
          </w:p>
        </w:tc>
        <w:tc>
          <w:tcPr>
            <w:tcW w:w="2551" w:type="dxa"/>
            <w:tcBorders>
              <w:bottom w:val="single" w:sz="8" w:space="0" w:color="auto"/>
            </w:tcBorders>
          </w:tcPr>
          <w:p>
            <w:pPr>
              <w:pStyle w:val="nTable"/>
              <w:spacing w:after="40"/>
              <w:rPr>
                <w:sz w:val="19"/>
              </w:rPr>
            </w:pPr>
            <w:r>
              <w:rPr>
                <w:sz w:val="19"/>
              </w:rPr>
              <w:t xml:space="preserve">1 May 2005 (see s. 2 and </w:t>
            </w:r>
            <w:r>
              <w:rPr>
                <w:i/>
                <w:iCs/>
                <w:sz w:val="19"/>
              </w:rPr>
              <w:t>Gazette</w:t>
            </w:r>
            <w:r>
              <w:rPr>
                <w:sz w:val="19"/>
              </w:rPr>
              <w:t xml:space="preserve"> 31 Dec 2004 p. 7128)</w:t>
            </w:r>
          </w:p>
        </w:tc>
      </w:tr>
    </w:tbl>
    <w:p>
      <w:pPr>
        <w:pStyle w:val="nSubsection"/>
        <w:spacing w:before="360"/>
        <w:ind w:left="482" w:hanging="482"/>
      </w:pPr>
      <w:r>
        <w:rPr>
          <w:vertAlign w:val="superscript"/>
        </w:rPr>
        <w:t>1a</w:t>
      </w:r>
      <w:r>
        <w:tab/>
        <w:t>On the date as at which thi</w:t>
      </w:r>
      <w:bookmarkStart w:id="167" w:name="_Hlt507390729"/>
      <w:bookmarkEnd w:id="167"/>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68" w:name="_Toc113079953"/>
      <w:bookmarkStart w:id="169" w:name="_Toc119916017"/>
      <w:bookmarkStart w:id="170" w:name="_Toc170124378"/>
      <w:r>
        <w:rPr>
          <w:snapToGrid w:val="0"/>
        </w:rPr>
        <w:t>Provisions that have not come into operation</w:t>
      </w:r>
      <w:bookmarkEnd w:id="168"/>
      <w:bookmarkEnd w:id="169"/>
      <w:bookmarkEnd w:id="170"/>
    </w:p>
    <w:tbl>
      <w:tblPr>
        <w:tblW w:w="0" w:type="auto"/>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4" w:type="dxa"/>
            <w:tcBorders>
              <w:top w:val="single" w:sz="8" w:space="0" w:color="auto"/>
              <w:bottom w:val="single" w:sz="8" w:space="0" w:color="auto"/>
            </w:tcBorders>
          </w:tcPr>
          <w:p>
            <w:pPr>
              <w:pStyle w:val="nTable"/>
              <w:keepNext/>
              <w:spacing w:after="40"/>
              <w:rPr>
                <w:b/>
                <w:sz w:val="19"/>
              </w:rPr>
            </w:pPr>
            <w:r>
              <w:rPr>
                <w:b/>
                <w:sz w:val="19"/>
              </w:rPr>
              <w:t>Assent</w:t>
            </w:r>
          </w:p>
        </w:tc>
        <w:tc>
          <w:tcPr>
            <w:tcW w:w="2552"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68" w:type="dxa"/>
            <w:tcBorders>
              <w:bottom w:val="single" w:sz="8" w:space="0" w:color="auto"/>
            </w:tcBorders>
          </w:tcPr>
          <w:p>
            <w:pPr>
              <w:pStyle w:val="nTable"/>
              <w:spacing w:after="40"/>
              <w:ind w:right="113"/>
              <w:rPr>
                <w:i/>
                <w:sz w:val="19"/>
              </w:rPr>
            </w:pPr>
            <w:r>
              <w:rPr>
                <w:i/>
                <w:sz w:val="19"/>
              </w:rPr>
              <w:t>Oaths, Affidavits and Statutory Declarations (Consequential Provisions) Act 2005</w:t>
            </w:r>
            <w:r>
              <w:rPr>
                <w:iCs/>
                <w:sz w:val="19"/>
              </w:rPr>
              <w:t xml:space="preserve"> s. 63</w:t>
            </w:r>
            <w:r>
              <w:rPr>
                <w:iCs/>
                <w:sz w:val="19"/>
                <w:vertAlign w:val="superscript"/>
              </w:rPr>
              <w:t> 9</w:t>
            </w:r>
          </w:p>
        </w:tc>
        <w:tc>
          <w:tcPr>
            <w:tcW w:w="1134" w:type="dxa"/>
            <w:tcBorders>
              <w:bottom w:val="single" w:sz="8" w:space="0" w:color="auto"/>
            </w:tcBorders>
          </w:tcPr>
          <w:p>
            <w:pPr>
              <w:pStyle w:val="nTable"/>
              <w:spacing w:after="40"/>
              <w:rPr>
                <w:sz w:val="19"/>
              </w:rPr>
            </w:pPr>
            <w:r>
              <w:rPr>
                <w:sz w:val="19"/>
              </w:rPr>
              <w:t>24 of 2005</w:t>
            </w:r>
          </w:p>
        </w:tc>
        <w:tc>
          <w:tcPr>
            <w:tcW w:w="1134" w:type="dxa"/>
            <w:tcBorders>
              <w:bottom w:val="single" w:sz="8" w:space="0" w:color="auto"/>
            </w:tcBorders>
          </w:tcPr>
          <w:p>
            <w:pPr>
              <w:pStyle w:val="nTable"/>
              <w:spacing w:after="40"/>
              <w:rPr>
                <w:sz w:val="19"/>
              </w:rPr>
            </w:pPr>
            <w:r>
              <w:rPr>
                <w:sz w:val="19"/>
              </w:rPr>
              <w:t>2 Dec 2005</w:t>
            </w:r>
          </w:p>
        </w:tc>
        <w:tc>
          <w:tcPr>
            <w:tcW w:w="2552" w:type="dxa"/>
            <w:tcBorders>
              <w:bottom w:val="single" w:sz="8" w:space="0" w:color="auto"/>
            </w:tcBorders>
          </w:tcPr>
          <w:p>
            <w:pPr>
              <w:pStyle w:val="nTable"/>
              <w:spacing w:after="40"/>
              <w:rPr>
                <w:sz w:val="19"/>
              </w:rPr>
            </w:pPr>
            <w:r>
              <w:rPr>
                <w:sz w:val="19"/>
              </w:rPr>
              <w:t>To be proclaimed (see s. 2)</w:t>
            </w:r>
          </w:p>
        </w:tc>
      </w:tr>
    </w:tbl>
    <w:p>
      <w:pPr>
        <w:pStyle w:val="nSubsection"/>
        <w:spacing w:before="120"/>
        <w:rPr>
          <w:snapToGrid w:val="0"/>
        </w:rPr>
      </w:pPr>
      <w:r>
        <w:rPr>
          <w:snapToGrid w:val="0"/>
        </w:rPr>
        <w:t>N.B.</w:t>
      </w:r>
      <w:r>
        <w:rPr>
          <w:snapToGrid w:val="0"/>
        </w:rPr>
        <w:tab/>
        <w:t>In this compilation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(No. 13 of 1903), was repealed by the </w:t>
      </w:r>
      <w:r>
        <w:rPr>
          <w:i/>
          <w:snapToGrid w:val="0"/>
        </w:rPr>
        <w:t xml:space="preserve">Curator of Intestate Estates Act 1918 </w:t>
      </w:r>
      <w:r>
        <w:rPr>
          <w:snapToGrid w:val="0"/>
        </w:rPr>
        <w:t xml:space="preserve">(No. 9 of 1918).  Now see the </w:t>
      </w:r>
      <w:r>
        <w:rPr>
          <w:i/>
          <w:snapToGrid w:val="0"/>
        </w:rPr>
        <w:t>Public Trustee Act 1941</w:t>
      </w:r>
      <w:r>
        <w:rPr>
          <w:snapToGrid w:val="0"/>
        </w:rPr>
        <w:t xml:space="preserve"> (No. 26 of 1941).</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 xml:space="preserve">Administration Act (Estate and Succession Duties) Amendment Act 1934 </w:t>
      </w:r>
      <w:r>
        <w:rPr>
          <w:snapToGrid w:val="0"/>
        </w:rPr>
        <w:t>(No. 28 of 1934). By section 3 of that Act it was enacted as follows — </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[It was inserted as Part VI in the 1934 reprint and renumbered as Part V in the 1943 reprint: See also section 77(3)(c) of No. 28 of 1934.]</w:t>
      </w:r>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p.5015.</w:t>
      </w:r>
    </w:p>
    <w:p>
      <w:pPr>
        <w:pStyle w:val="nSubsection"/>
        <w:spacing w:before="60"/>
      </w:pPr>
      <w:r>
        <w:rPr>
          <w:vertAlign w:val="superscript"/>
        </w:rPr>
        <w:t>6</w:t>
      </w:r>
      <w:r>
        <w:tab/>
        <w:t xml:space="preserve">See </w:t>
      </w:r>
      <w:r>
        <w:rPr>
          <w:snapToGrid w:val="0"/>
        </w:rPr>
        <w:t>section</w:t>
      </w:r>
      <w:r>
        <w:t xml:space="preserve"> 16 of the </w:t>
      </w:r>
      <w:r>
        <w:rPr>
          <w:i/>
        </w:rPr>
        <w:t>Public Trustee Act 1941</w:t>
      </w:r>
      <w:r>
        <w:t xml:space="preserve"> (No. 26 of 1941).</w:t>
      </w:r>
    </w:p>
    <w:p>
      <w:pPr>
        <w:pStyle w:val="nSubsection"/>
        <w:keepNext/>
        <w:spacing w:before="60"/>
        <w:rPr>
          <w:snapToGrid w:val="0"/>
        </w:rPr>
      </w:pPr>
      <w:r>
        <w:rPr>
          <w:snapToGrid w:val="0"/>
          <w:vertAlign w:val="superscript"/>
        </w:rPr>
        <w:t>7</w:t>
      </w:r>
      <w:r>
        <w:rPr>
          <w:snapToGrid w:val="0"/>
        </w:rPr>
        <w:tab/>
        <w:t xml:space="preserve">Section 3(2), (3), (4) and (5) of the </w:t>
      </w:r>
      <w:r>
        <w:rPr>
          <w:i/>
          <w:snapToGrid w:val="0"/>
        </w:rPr>
        <w:t>Death Duty Assessment Act 1973</w:t>
      </w:r>
      <w:r>
        <w:rPr>
          <w:snapToGrid w:val="0"/>
        </w:rPr>
        <w:t xml:space="preserve"> (No. 80 of 1973) reads as follows —  </w:t>
      </w:r>
    </w:p>
    <w:p>
      <w:pPr>
        <w:pStyle w:val="MiscOpen"/>
        <w:spacing w:before="60"/>
        <w:rPr>
          <w:snapToGrid w:val="0"/>
          <w:sz w:val="20"/>
        </w:rPr>
      </w:pPr>
      <w:r>
        <w:rPr>
          <w:snapToGrid w:val="0"/>
          <w:sz w:val="20"/>
        </w:rPr>
        <w:t>“</w:t>
      </w:r>
    </w:p>
    <w:p>
      <w:pPr>
        <w:pStyle w:val="nzSubsection"/>
        <w:spacing w:before="0"/>
        <w:rPr>
          <w:snapToGrid w:val="0"/>
        </w:rPr>
      </w:pPr>
      <w:r>
        <w:rPr>
          <w:snapToGrid w:val="0"/>
        </w:rPr>
        <w:tab/>
        <w:t>(2)</w:t>
      </w:r>
      <w:r>
        <w:rPr>
          <w:snapToGrid w:val="0"/>
        </w:rPr>
        <w:tab/>
        <w:t>Where, immediately before the date of the coming into operation, any provision repealed by subsection (1) applied to and in relation to the death or estate of any person who died before that date, that provision shall continue to so apply on and after that date.</w:t>
      </w:r>
    </w:p>
    <w:p>
      <w:pPr>
        <w:pStyle w:val="nzSubsection"/>
        <w:rPr>
          <w:snapToGrid w:val="0"/>
        </w:rPr>
      </w:pPr>
      <w:r>
        <w:rPr>
          <w:snapToGrid w:val="0"/>
        </w:rPr>
        <w:tab/>
        <w:t>(3)</w:t>
      </w:r>
      <w:r>
        <w:rPr>
          <w:snapToGrid w:val="0"/>
        </w:rPr>
        <w:tab/>
        <w:t>Subject to subsection (4), this Act shall apply to and in relation to the death and estate of any person dying on or after the date of the coming into operation.</w:t>
      </w:r>
    </w:p>
    <w:p>
      <w:pPr>
        <w:pStyle w:val="nzSubsection"/>
        <w:rPr>
          <w:snapToGrid w:val="0"/>
        </w:rPr>
      </w:pPr>
      <w:r>
        <w:rPr>
          <w:snapToGrid w:val="0"/>
        </w:rPr>
        <w:tab/>
        <w:t>(4)</w:t>
      </w:r>
      <w:r>
        <w:rPr>
          <w:snapToGrid w:val="0"/>
        </w:rPr>
        <w:tab/>
        <w:t>Notwithstanding subsection (3), paragraph (o) of subsection (2) of section 10 does not apply to or in relation to the death or estate of any person dying within one year after the date of the coming into operation.</w:t>
      </w:r>
    </w:p>
    <w:p>
      <w:pPr>
        <w:pStyle w:val="nzSubsection"/>
        <w:rPr>
          <w:snapToGrid w:val="0"/>
        </w:rPr>
      </w:pPr>
      <w:r>
        <w:rPr>
          <w:snapToGrid w:val="0"/>
        </w:rPr>
        <w:tab/>
        <w:t>(5)</w:t>
      </w:r>
      <w:r>
        <w:rPr>
          <w:snapToGrid w:val="0"/>
        </w:rPr>
        <w:tab/>
        <w:t xml:space="preserve">Nothing in this section affects the operation of the </w:t>
      </w:r>
      <w:r>
        <w:rPr>
          <w:i/>
          <w:snapToGrid w:val="0"/>
        </w:rPr>
        <w:t>Interpretation Act 1918</w:t>
      </w:r>
      <w:r>
        <w:rPr>
          <w:snapToGrid w:val="0"/>
        </w:rPr>
        <w:t>.</w:t>
      </w:r>
    </w:p>
    <w:p>
      <w:pPr>
        <w:pStyle w:val="MiscClose"/>
        <w:rPr>
          <w:snapToGrid w:val="0"/>
          <w:sz w:val="20"/>
        </w:rPr>
      </w:pPr>
      <w:r>
        <w:rPr>
          <w:snapToGrid w:val="0"/>
          <w:sz w:val="20"/>
        </w:rPr>
        <w:t>”.</w:t>
      </w:r>
    </w:p>
    <w:p>
      <w:pPr>
        <w:pStyle w:val="nSubsection"/>
        <w:rPr>
          <w:snapToGrid w:val="0"/>
        </w:rPr>
      </w:pPr>
      <w:r>
        <w:rPr>
          <w:snapToGrid w:val="0"/>
          <w:vertAlign w:val="superscript"/>
        </w:rPr>
        <w:t>8</w:t>
      </w:r>
      <w:r>
        <w:rPr>
          <w:snapToGrid w:val="0"/>
        </w:rPr>
        <w:tab/>
        <w:t xml:space="preserve">Section 2(2) of the </w:t>
      </w:r>
      <w:r>
        <w:rPr>
          <w:i/>
          <w:snapToGrid w:val="0"/>
        </w:rPr>
        <w:t>Administration Act Amendment Act 1970</w:t>
      </w:r>
      <w:r>
        <w:rPr>
          <w:snapToGrid w:val="0"/>
        </w:rPr>
        <w:t xml:space="preserve"> (No. 107 of 1970) reads as follows —</w:t>
      </w:r>
    </w:p>
    <w:p>
      <w:pPr>
        <w:pStyle w:val="MiscOpen"/>
        <w:rPr>
          <w:snapToGrid w:val="0"/>
          <w:sz w:val="20"/>
        </w:rPr>
      </w:pPr>
      <w:r>
        <w:rPr>
          <w:snapToGrid w:val="0"/>
          <w:sz w:val="20"/>
        </w:rPr>
        <w:t>“</w:t>
      </w:r>
    </w:p>
    <w:p>
      <w:pPr>
        <w:pStyle w:val="nzSubsection"/>
        <w:spacing w:before="0"/>
        <w:rPr>
          <w:snapToGrid w:val="0"/>
        </w:rPr>
      </w:pPr>
      <w:r>
        <w:rPr>
          <w:snapToGrid w:val="0"/>
        </w:rPr>
        <w:tab/>
        <w:t>(2)</w:t>
      </w:r>
      <w:r>
        <w:rPr>
          <w:snapToGrid w:val="0"/>
        </w:rPr>
        <w:tab/>
        <w:t>The provisions of the principal Act as in force immediately before the commencement of this Act shall apply in the same manner and to the same extent to and with respect to the estates of persons dying before the first day of July, nineteen hundred and seventy as those provisions applied immediately before the coming into operation of this Act.</w:t>
      </w:r>
    </w:p>
    <w:p>
      <w:pPr>
        <w:pStyle w:val="MiscClose"/>
        <w:rPr>
          <w:snapToGrid w:val="0"/>
          <w:sz w:val="20"/>
        </w:rPr>
      </w:pPr>
      <w:r>
        <w:rPr>
          <w:snapToGrid w:val="0"/>
          <w:sz w:val="20"/>
        </w:rPr>
        <w:t>”.</w:t>
      </w:r>
    </w:p>
    <w:p>
      <w:pPr>
        <w:pStyle w:val="nSubsection"/>
        <w:keepLines/>
        <w:spacing w:before="0"/>
        <w:rPr>
          <w:iCs/>
          <w:snapToGrid w:val="0"/>
        </w:rPr>
      </w:pPr>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Oaths, Affidavits and Statutory Declarations (Consequential Provisions) Act 2005</w:t>
      </w:r>
      <w:r>
        <w:rPr>
          <w:iCs/>
          <w:snapToGrid w:val="0"/>
        </w:rPr>
        <w:t xml:space="preserve"> s. 63, which gives effect to Sch. 1, had not come into operation.  It reads as follows:</w:t>
      </w:r>
    </w:p>
    <w:p>
      <w:pPr>
        <w:pStyle w:val="MiscOpen"/>
        <w:keepNext w:val="0"/>
        <w:spacing w:before="60"/>
        <w:rPr>
          <w:sz w:val="20"/>
        </w:rPr>
      </w:pPr>
      <w:r>
        <w:rPr>
          <w:sz w:val="20"/>
        </w:rPr>
        <w:t>“</w:t>
      </w:r>
    </w:p>
    <w:p>
      <w:pPr>
        <w:pStyle w:val="nzHeading5"/>
      </w:pPr>
      <w:bookmarkStart w:id="171" w:name="_Toc71478949"/>
      <w:bookmarkStart w:id="172" w:name="_Toc120952520"/>
      <w:r>
        <w:rPr>
          <w:rStyle w:val="CharSectno"/>
        </w:rPr>
        <w:t>63</w:t>
      </w:r>
      <w:r>
        <w:t>.</w:t>
      </w:r>
      <w:r>
        <w:tab/>
        <w:t>Various Acts amended</w:t>
      </w:r>
      <w:bookmarkEnd w:id="171"/>
      <w:bookmarkEnd w:id="172"/>
    </w:p>
    <w:p>
      <w:pPr>
        <w:pStyle w:val="nzSubsection"/>
      </w:pPr>
      <w:r>
        <w:tab/>
      </w:r>
      <w:r>
        <w:tab/>
        <w:t>Each Act listed in Schedule 1 is amended as set out in that Schedule below the short title of the Act.</w:t>
      </w:r>
    </w:p>
    <w:p>
      <w:pPr>
        <w:pStyle w:val="nzSubsection"/>
      </w:pPr>
      <w:r>
        <w:t>Schedule 1 it. 1 reads as follows:</w:t>
      </w:r>
    </w:p>
    <w:p>
      <w:pPr>
        <w:pStyle w:val="nzHeading2"/>
      </w:pPr>
      <w:bookmarkStart w:id="173" w:name="_Toc120952521"/>
      <w:r>
        <w:rPr>
          <w:rStyle w:val="CharSchNo"/>
        </w:rPr>
        <w:t>Schedule 1</w:t>
      </w:r>
      <w:r>
        <w:rPr>
          <w:rStyle w:val="CharSDivNo"/>
        </w:rPr>
        <w:t> </w:t>
      </w:r>
      <w:r>
        <w:t>—</w:t>
      </w:r>
      <w:r>
        <w:rPr>
          <w:rStyle w:val="CharSDivText"/>
        </w:rPr>
        <w:t> </w:t>
      </w:r>
      <w:r>
        <w:rPr>
          <w:rStyle w:val="CharSchText"/>
        </w:rPr>
        <w:t>Amendments to various Acts</w:t>
      </w:r>
      <w:bookmarkEnd w:id="173"/>
    </w:p>
    <w:p>
      <w:pPr>
        <w:pStyle w:val="nzMiscellaneousBody"/>
        <w:jc w:val="right"/>
      </w:pPr>
      <w:r>
        <w:t>[s. 63]</w:t>
      </w:r>
    </w:p>
    <w:p>
      <w:pPr>
        <w:pStyle w:val="nzHeading5"/>
      </w:pPr>
      <w:bookmarkStart w:id="174" w:name="_Toc120952522"/>
      <w:r>
        <w:rPr>
          <w:rStyle w:val="CharSClsNo"/>
        </w:rPr>
        <w:t>1</w:t>
      </w:r>
      <w:r>
        <w:t>.</w:t>
      </w:r>
      <w:r>
        <w:tab/>
      </w:r>
      <w:r>
        <w:rPr>
          <w:i/>
        </w:rPr>
        <w:t>Administration Act 1903</w:t>
      </w:r>
      <w:bookmarkEnd w:id="174"/>
    </w:p>
    <w:tbl>
      <w:tblPr>
        <w:tblW w:w="0" w:type="auto"/>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45"/>
        <w:gridCol w:w="5192"/>
      </w:tblGrid>
      <w:tr>
        <w:trPr>
          <w:cantSplit/>
        </w:trPr>
        <w:tc>
          <w:tcPr>
            <w:tcW w:w="1045" w:type="dxa"/>
          </w:tcPr>
          <w:p>
            <w:pPr>
              <w:pStyle w:val="nzTable"/>
            </w:pPr>
            <w:r>
              <w:t>s. 54(2)</w:t>
            </w:r>
          </w:p>
        </w:tc>
        <w:tc>
          <w:tcPr>
            <w:tcW w:w="5192" w:type="dxa"/>
          </w:tcPr>
          <w:p>
            <w:pPr>
              <w:pStyle w:val="nzTable"/>
            </w:pPr>
            <w:r>
              <w:t xml:space="preserve">Delete “Commissioners of the Supreme Court” and insert instead — </w:t>
            </w:r>
          </w:p>
          <w:p>
            <w:pPr>
              <w:pStyle w:val="nzTable"/>
            </w:pPr>
            <w:r>
              <w:t>“    the Principal Registrar    ”.</w:t>
            </w:r>
          </w:p>
        </w:tc>
      </w:tr>
    </w:tbl>
    <w:p>
      <w:pPr>
        <w:pStyle w:val="MiscClose"/>
        <w:rPr>
          <w:snapToGrid w:val="0"/>
        </w:rPr>
      </w:pPr>
      <w:r>
        <w:rPr>
          <w:snapToGrid w:val="0"/>
        </w:rPr>
        <w:t>”.</w:t>
      </w:r>
    </w:p>
    <w:p/>
    <w:p>
      <w:pPr>
        <w:sectPr>
          <w:headerReference w:type="even" r:id="rId29"/>
          <w:headerReference w:type="default" r:id="rId30"/>
          <w:pgSz w:w="11906" w:h="16838" w:code="9"/>
          <w:pgMar w:top="2376" w:right="2405" w:bottom="3542" w:left="2405" w:header="706" w:footer="3380" w:gutter="0"/>
          <w:cols w:space="720"/>
          <w:noEndnote/>
          <w:docGrid w:linePitch="326"/>
        </w:sectPr>
      </w:pPr>
    </w:p>
    <w:p/>
    <w:sectPr>
      <w:type w:val="continuous"/>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p>
      </w:tc>
      <w:tc>
        <w:tcPr>
          <w:tcW w:w="5915" w:type="dxa"/>
        </w:tcPr>
        <w:p>
          <w:pPr>
            <w:pStyle w:val="HeaderTextLeft"/>
          </w:pPr>
        </w:p>
      </w:tc>
    </w:tr>
    <w:tr>
      <w:tc>
        <w:tcPr>
          <w:tcW w:w="1348" w:type="dxa"/>
        </w:tcPr>
        <w:p>
          <w:pPr>
            <w:pStyle w:val="HeaderNumberLeft"/>
          </w:pPr>
        </w:p>
      </w:tc>
      <w:tc>
        <w:tcPr>
          <w:tcW w:w="5915" w:type="dxa"/>
        </w:tcPr>
        <w:p>
          <w:pPr>
            <w:pStyle w:val="HeaderTextLeft"/>
          </w:pPr>
        </w:p>
      </w:tc>
    </w:tr>
    <w:tr>
      <w:trPr>
        <w:cantSplit/>
      </w:trPr>
      <w:tc>
        <w:tcPr>
          <w:tcW w:w="7258" w:type="dxa"/>
          <w:gridSpan w:val="2"/>
        </w:tcPr>
        <w:p>
          <w:pPr>
            <w:pStyle w:val="HeaderTextLeft"/>
          </w:pPr>
          <w:r>
            <w:t>Contents</w:t>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p>
      </w:tc>
      <w:tc>
        <w:tcPr>
          <w:tcW w:w="1379" w:type="dxa"/>
        </w:tcPr>
        <w:p>
          <w:pPr>
            <w:pStyle w:val="HeaderNumberLeft"/>
            <w:ind w:right="17"/>
            <w:jc w:val="right"/>
          </w:pPr>
        </w:p>
      </w:tc>
    </w:tr>
    <w:tr>
      <w:tc>
        <w:tcPr>
          <w:tcW w:w="5884" w:type="dxa"/>
        </w:tcPr>
        <w:p>
          <w:pPr>
            <w:pStyle w:val="HeaderTextRight"/>
          </w:pPr>
        </w:p>
      </w:tc>
      <w:tc>
        <w:tcPr>
          <w:tcW w:w="1379" w:type="dxa"/>
        </w:tcPr>
        <w:p>
          <w:pPr>
            <w:pStyle w:val="HeaderNumberLeft"/>
            <w:ind w:right="17"/>
            <w:jc w:val="right"/>
          </w:pPr>
        </w:p>
      </w:tc>
    </w:tr>
    <w:tr>
      <w:trPr>
        <w:cantSplit/>
      </w:trPr>
      <w:tc>
        <w:tcPr>
          <w:tcW w:w="7258" w:type="dxa"/>
          <w:gridSpan w:val="2"/>
        </w:tcPr>
        <w:p>
          <w:pPr>
            <w:pStyle w:val="HeaderNumberRight"/>
            <w:ind w:right="17"/>
            <w:rPr>
              <w:b w:val="0"/>
            </w:rPr>
          </w:pPr>
          <w:r>
            <w:rPr>
              <w:b w:val="0"/>
            </w:rPr>
            <w:t>Contents</w:t>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p>
      </w:tc>
      <w:tc>
        <w:tcPr>
          <w:tcW w:w="5915" w:type="dxa"/>
        </w:tcPr>
        <w:p>
          <w:pPr>
            <w:pStyle w:val="HeaderTextLeft"/>
          </w:pPr>
        </w:p>
      </w:tc>
    </w:tr>
    <w:tr>
      <w:tc>
        <w:tcPr>
          <w:tcW w:w="1348" w:type="dxa"/>
        </w:tcPr>
        <w:p>
          <w:pPr>
            <w:pStyle w:val="HeaderNumberLeft"/>
          </w:pPr>
        </w:p>
      </w:tc>
      <w:tc>
        <w:tcPr>
          <w:tcW w:w="5915" w:type="dxa"/>
        </w:tcPr>
        <w:p>
          <w:pPr>
            <w:pStyle w:val="HeaderTextLeft"/>
          </w:pPr>
        </w:p>
      </w:tc>
    </w:tr>
    <w:tr>
      <w:trPr>
        <w:cantSplit/>
      </w:trPr>
      <w:tc>
        <w:tcPr>
          <w:tcW w:w="7258" w:type="dxa"/>
          <w:gridSpan w:val="2"/>
        </w:tcPr>
        <w:p>
          <w:pPr>
            <w:pStyle w:val="HeaderTextLeft"/>
            <w:rPr>
              <w:b/>
            </w:rPr>
          </w:pPr>
          <w:r>
            <w:rPr>
              <w:b/>
            </w:rPr>
            <w:fldChar w:fldCharType="begin"/>
          </w:r>
          <w:r>
            <w:rPr>
              <w:b/>
            </w:rPr>
            <w:instrText xml:space="preserve"> STYLEREF CharSchNo \* MERGEFORMAT </w:instrTex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p>
      </w:tc>
      <w:tc>
        <w:tcPr>
          <w:tcW w:w="1379" w:type="dxa"/>
        </w:tcPr>
        <w:p>
          <w:pPr>
            <w:pStyle w:val="HeaderNumberLeft"/>
            <w:ind w:right="17"/>
            <w:jc w:val="right"/>
          </w:pPr>
        </w:p>
      </w:tc>
    </w:tr>
    <w:tr>
      <w:tc>
        <w:tcPr>
          <w:tcW w:w="5884" w:type="dxa"/>
        </w:tcPr>
        <w:p>
          <w:pPr>
            <w:pStyle w:val="HeaderTextRight"/>
          </w:pPr>
        </w:p>
      </w:tc>
      <w:tc>
        <w:tcPr>
          <w:tcW w:w="1379" w:type="dxa"/>
        </w:tcPr>
        <w:p>
          <w:pPr>
            <w:pStyle w:val="HeaderNumberLeft"/>
            <w:ind w:right="17"/>
            <w:jc w:val="right"/>
          </w:pPr>
        </w:p>
      </w:tc>
    </w:tr>
    <w:tr>
      <w:trPr>
        <w:cantSplit/>
      </w:trPr>
      <w:tc>
        <w:tcPr>
          <w:tcW w:w="7258" w:type="dxa"/>
          <w:gridSpan w:val="2"/>
        </w:tcPr>
        <w:p>
          <w:pPr>
            <w:pStyle w:val="HeaderNumberRight"/>
            <w:ind w:right="17"/>
          </w:pPr>
          <w:r>
            <w:fldChar w:fldCharType="begin"/>
          </w:r>
          <w:r>
            <w:instrText xml:space="preserve"> STYLEREF CharSchNo \* MERGEFORMAT </w:instrText>
          </w:r>
          <w: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FF52EB"/>
    <w:multiLevelType w:val="multilevel"/>
    <w:tmpl w:val="429CA5F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9">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1">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4"/>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12340"/>
    <w:docVar w:name="WAFER_20151204112340" w:val="RemoveTrackChanges"/>
    <w:docVar w:name="WAFER_20151204112340_GUID" w:val="c1e724e6-a5a5-4a4c-bb30-7587c6958b2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16185</Words>
  <Characters>74779</Characters>
  <Application>Microsoft Office Word</Application>
  <DocSecurity>0</DocSecurity>
  <Lines>2136</Lines>
  <Paragraphs>1022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1903 - 10-d0-03</dc:title>
  <dc:subject/>
  <dc:creator/>
  <cp:keywords/>
  <dc:description/>
  <cp:lastModifiedBy>svcMRProcess</cp:lastModifiedBy>
  <cp:revision>4</cp:revision>
  <cp:lastPrinted>1999-07-08T01:01:00Z</cp:lastPrinted>
  <dcterms:created xsi:type="dcterms:W3CDTF">2015-12-04T09:15:00Z</dcterms:created>
  <dcterms:modified xsi:type="dcterms:W3CDTF">2015-12-04T09:15:00Z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20051202</vt:lpwstr>
  </property>
  <property fmtid="{D5CDD505-2E9C-101B-9397-08002B2CF9AE}" pid="4" name="DocumentType">
    <vt:lpwstr>Act</vt:lpwstr>
  </property>
  <property fmtid="{D5CDD505-2E9C-101B-9397-08002B2CF9AE}" pid="5" name="OwlsUID">
    <vt:i4>5</vt:i4>
  </property>
  <property fmtid="{D5CDD505-2E9C-101B-9397-08002B2CF9AE}" pid="6" name="AsAtDate">
    <vt:lpwstr>02 Dec 2005</vt:lpwstr>
  </property>
  <property fmtid="{D5CDD505-2E9C-101B-9397-08002B2CF9AE}" pid="7" name="Suffix">
    <vt:lpwstr>10-d0-03</vt:lpwstr>
  </property>
</Properties>
</file>