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176" w:rsidRDefault="008417CF">
      <w:pPr>
        <w:pStyle w:val="WA"/>
      </w:pPr>
      <w:bookmarkStart w:id="0" w:name="_GoBack"/>
      <w:bookmarkEnd w:id="0"/>
      <w:r>
        <w:t>Western Australia</w:t>
      </w:r>
    </w:p>
    <w:p w:rsidR="00EE3176" w:rsidRDefault="008417CF">
      <w:pPr>
        <w:pStyle w:val="NameofActRegPage1"/>
        <w:spacing w:before="3760" w:after="4200"/>
      </w:pPr>
      <w:r>
        <w:fldChar w:fldCharType="begin"/>
      </w:r>
      <w:r>
        <w:instrText xml:space="preserve"> STYLEREF "Name Of Act/Reg"</w:instrText>
      </w:r>
      <w:r>
        <w:fldChar w:fldCharType="separate"/>
      </w:r>
      <w:r w:rsidR="00C80D8F">
        <w:rPr>
          <w:noProof/>
        </w:rPr>
        <w:t>Anzac Day Act 1960</w:t>
      </w:r>
      <w:r>
        <w:fldChar w:fldCharType="end"/>
      </w:r>
    </w:p>
    <w:p w:rsidR="00EE3176" w:rsidRDefault="00EE3176">
      <w:pPr>
        <w:jc w:val="center"/>
        <w:rPr>
          <w:b/>
        </w:rPr>
        <w:sectPr w:rsidR="00EE317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E3176" w:rsidRDefault="008417CF">
      <w:pPr>
        <w:pStyle w:val="WA"/>
      </w:pPr>
      <w:r>
        <w:lastRenderedPageBreak/>
        <w:t>Western Australia</w:t>
      </w:r>
    </w:p>
    <w:p w:rsidR="00EE3176" w:rsidRDefault="008417CF">
      <w:pPr>
        <w:pStyle w:val="NameofActRegPage1"/>
      </w:pPr>
      <w:r>
        <w:fldChar w:fldCharType="begin"/>
      </w:r>
      <w:r>
        <w:instrText xml:space="preserve"> STYLEREF "Name Of Act/Reg"</w:instrText>
      </w:r>
      <w:r>
        <w:fldChar w:fldCharType="separate"/>
      </w:r>
      <w:r w:rsidR="00C80D8F">
        <w:rPr>
          <w:noProof/>
        </w:rPr>
        <w:t>Anzac Day Act 1960</w:t>
      </w:r>
      <w:r>
        <w:fldChar w:fldCharType="end"/>
      </w:r>
    </w:p>
    <w:p w:rsidR="00EE3176" w:rsidRDefault="008417CF">
      <w:pPr>
        <w:pStyle w:val="Arrangement"/>
      </w:pPr>
      <w:r>
        <w:t>CONTENTS</w:t>
      </w:r>
    </w:p>
    <w:p w:rsidR="00EE3176" w:rsidRDefault="008417CF">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_Toc131325007 \h </w:instrText>
      </w:r>
      <w:r>
        <w:rPr>
          <w:noProof/>
        </w:rPr>
      </w:r>
      <w:r>
        <w:rPr>
          <w:noProof/>
        </w:rPr>
        <w:fldChar w:fldCharType="separate"/>
      </w:r>
      <w:r w:rsidR="00C80D8F">
        <w:rPr>
          <w:noProof/>
        </w:rPr>
        <w:t>1</w:t>
      </w:r>
      <w:r>
        <w:rPr>
          <w:noProof/>
        </w:rPr>
        <w:fldChar w:fldCharType="end"/>
      </w:r>
    </w:p>
    <w:p w:rsidR="00EE3176" w:rsidRDefault="008417CF">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_Toc131325008 \h </w:instrText>
      </w:r>
      <w:r>
        <w:rPr>
          <w:noProof/>
        </w:rPr>
      </w:r>
      <w:r>
        <w:rPr>
          <w:noProof/>
        </w:rPr>
        <w:fldChar w:fldCharType="separate"/>
      </w:r>
      <w:r w:rsidR="00C80D8F">
        <w:rPr>
          <w:noProof/>
        </w:rPr>
        <w:t>1</w:t>
      </w:r>
      <w:r>
        <w:rPr>
          <w:noProof/>
        </w:rPr>
        <w:fldChar w:fldCharType="end"/>
      </w:r>
    </w:p>
    <w:p w:rsidR="00EE3176" w:rsidRDefault="008417CF">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Race meetings on Anzac Day</w:t>
      </w:r>
      <w:r>
        <w:rPr>
          <w:noProof/>
        </w:rPr>
        <w:tab/>
      </w:r>
      <w:r>
        <w:rPr>
          <w:noProof/>
        </w:rPr>
        <w:fldChar w:fldCharType="begin"/>
      </w:r>
      <w:r>
        <w:rPr>
          <w:noProof/>
        </w:rPr>
        <w:instrText xml:space="preserve"> PAGEREF _Toc131325009 \h </w:instrText>
      </w:r>
      <w:r>
        <w:rPr>
          <w:noProof/>
        </w:rPr>
      </w:r>
      <w:r>
        <w:rPr>
          <w:noProof/>
        </w:rPr>
        <w:fldChar w:fldCharType="separate"/>
      </w:r>
      <w:r w:rsidR="00C80D8F">
        <w:rPr>
          <w:noProof/>
        </w:rPr>
        <w:t>2</w:t>
      </w:r>
      <w:r>
        <w:rPr>
          <w:noProof/>
        </w:rPr>
        <w:fldChar w:fldCharType="end"/>
      </w:r>
    </w:p>
    <w:p w:rsidR="00EE3176" w:rsidRDefault="008417CF">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Proceeds of race meetings on Anzac Day to be paid to Trust</w:t>
      </w:r>
      <w:r>
        <w:rPr>
          <w:noProof/>
        </w:rPr>
        <w:tab/>
      </w:r>
      <w:r>
        <w:rPr>
          <w:noProof/>
        </w:rPr>
        <w:fldChar w:fldCharType="begin"/>
      </w:r>
      <w:r>
        <w:rPr>
          <w:noProof/>
        </w:rPr>
        <w:instrText xml:space="preserve"> PAGEREF _Toc131325010 \h </w:instrText>
      </w:r>
      <w:r>
        <w:rPr>
          <w:noProof/>
        </w:rPr>
      </w:r>
      <w:r>
        <w:rPr>
          <w:noProof/>
        </w:rPr>
        <w:fldChar w:fldCharType="separate"/>
      </w:r>
      <w:r w:rsidR="00C80D8F">
        <w:rPr>
          <w:noProof/>
        </w:rPr>
        <w:t>3</w:t>
      </w:r>
      <w:r>
        <w:rPr>
          <w:noProof/>
        </w:rPr>
        <w:fldChar w:fldCharType="end"/>
      </w:r>
    </w:p>
    <w:p w:rsidR="00EE3176" w:rsidRDefault="008417CF">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Sports on Anzac Day</w:t>
      </w:r>
      <w:r>
        <w:rPr>
          <w:noProof/>
        </w:rPr>
        <w:tab/>
      </w:r>
      <w:r>
        <w:rPr>
          <w:noProof/>
        </w:rPr>
        <w:fldChar w:fldCharType="begin"/>
      </w:r>
      <w:r>
        <w:rPr>
          <w:noProof/>
        </w:rPr>
        <w:instrText xml:space="preserve"> PAGEREF _Toc131325011 \h </w:instrText>
      </w:r>
      <w:r>
        <w:rPr>
          <w:noProof/>
        </w:rPr>
      </w:r>
      <w:r>
        <w:rPr>
          <w:noProof/>
        </w:rPr>
        <w:fldChar w:fldCharType="separate"/>
      </w:r>
      <w:r w:rsidR="00C80D8F">
        <w:rPr>
          <w:noProof/>
        </w:rPr>
        <w:t>4</w:t>
      </w:r>
      <w:r>
        <w:rPr>
          <w:noProof/>
        </w:rPr>
        <w:fldChar w:fldCharType="end"/>
      </w:r>
    </w:p>
    <w:p w:rsidR="00EE3176" w:rsidRDefault="008417CF">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Proceeds of sports on Anzac Day to be paid to Trust</w:t>
      </w:r>
      <w:r>
        <w:rPr>
          <w:noProof/>
        </w:rPr>
        <w:tab/>
      </w:r>
      <w:r>
        <w:rPr>
          <w:noProof/>
        </w:rPr>
        <w:fldChar w:fldCharType="begin"/>
      </w:r>
      <w:r>
        <w:rPr>
          <w:noProof/>
        </w:rPr>
        <w:instrText xml:space="preserve"> PAGEREF _Toc131325012 \h </w:instrText>
      </w:r>
      <w:r>
        <w:rPr>
          <w:noProof/>
        </w:rPr>
      </w:r>
      <w:r>
        <w:rPr>
          <w:noProof/>
        </w:rPr>
        <w:fldChar w:fldCharType="separate"/>
      </w:r>
      <w:r w:rsidR="00C80D8F">
        <w:rPr>
          <w:noProof/>
        </w:rPr>
        <w:t>4</w:t>
      </w:r>
      <w:r>
        <w:rPr>
          <w:noProof/>
        </w:rPr>
        <w:fldChar w:fldCharType="end"/>
      </w:r>
    </w:p>
    <w:p w:rsidR="00EE3176" w:rsidRDefault="008417CF">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Establishment of Anzac Day Trust Fund</w:t>
      </w:r>
      <w:r>
        <w:rPr>
          <w:noProof/>
        </w:rPr>
        <w:tab/>
      </w:r>
      <w:r>
        <w:rPr>
          <w:noProof/>
        </w:rPr>
        <w:fldChar w:fldCharType="begin"/>
      </w:r>
      <w:r>
        <w:rPr>
          <w:noProof/>
        </w:rPr>
        <w:instrText xml:space="preserve"> PAGEREF _Toc131325013 \h </w:instrText>
      </w:r>
      <w:r>
        <w:rPr>
          <w:noProof/>
        </w:rPr>
      </w:r>
      <w:r>
        <w:rPr>
          <w:noProof/>
        </w:rPr>
        <w:fldChar w:fldCharType="separate"/>
      </w:r>
      <w:r w:rsidR="00C80D8F">
        <w:rPr>
          <w:noProof/>
        </w:rPr>
        <w:t>5</w:t>
      </w:r>
      <w:r>
        <w:rPr>
          <w:noProof/>
        </w:rPr>
        <w:fldChar w:fldCharType="end"/>
      </w:r>
    </w:p>
    <w:p w:rsidR="00EE3176" w:rsidRDefault="008417CF">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The Anzac Day Trust constituted</w:t>
      </w:r>
      <w:r>
        <w:rPr>
          <w:noProof/>
        </w:rPr>
        <w:tab/>
      </w:r>
      <w:r>
        <w:rPr>
          <w:noProof/>
        </w:rPr>
        <w:fldChar w:fldCharType="begin"/>
      </w:r>
      <w:r>
        <w:rPr>
          <w:noProof/>
        </w:rPr>
        <w:instrText xml:space="preserve"> PAGEREF _Toc131325014 \h </w:instrText>
      </w:r>
      <w:r>
        <w:rPr>
          <w:noProof/>
        </w:rPr>
      </w:r>
      <w:r>
        <w:rPr>
          <w:noProof/>
        </w:rPr>
        <w:fldChar w:fldCharType="separate"/>
      </w:r>
      <w:r w:rsidR="00C80D8F">
        <w:rPr>
          <w:noProof/>
        </w:rPr>
        <w:t>7</w:t>
      </w:r>
      <w:r>
        <w:rPr>
          <w:noProof/>
        </w:rPr>
        <w:fldChar w:fldCharType="end"/>
      </w:r>
    </w:p>
    <w:p w:rsidR="00EE3176" w:rsidRDefault="008417CF">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Trust to be a body corporate</w:t>
      </w:r>
      <w:r>
        <w:rPr>
          <w:noProof/>
        </w:rPr>
        <w:tab/>
      </w:r>
      <w:r>
        <w:rPr>
          <w:noProof/>
        </w:rPr>
        <w:fldChar w:fldCharType="begin"/>
      </w:r>
      <w:r>
        <w:rPr>
          <w:noProof/>
        </w:rPr>
        <w:instrText xml:space="preserve"> PAGEREF _Toc131325015 \h </w:instrText>
      </w:r>
      <w:r>
        <w:rPr>
          <w:noProof/>
        </w:rPr>
      </w:r>
      <w:r>
        <w:rPr>
          <w:noProof/>
        </w:rPr>
        <w:fldChar w:fldCharType="separate"/>
      </w:r>
      <w:r w:rsidR="00C80D8F">
        <w:rPr>
          <w:noProof/>
        </w:rPr>
        <w:t>9</w:t>
      </w:r>
      <w:r>
        <w:rPr>
          <w:noProof/>
        </w:rPr>
        <w:fldChar w:fldCharType="end"/>
      </w:r>
    </w:p>
    <w:p w:rsidR="00EE3176" w:rsidRDefault="008417CF">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Eligibility of Trustees</w:t>
      </w:r>
      <w:r>
        <w:rPr>
          <w:noProof/>
        </w:rPr>
        <w:tab/>
      </w:r>
      <w:r>
        <w:rPr>
          <w:noProof/>
        </w:rPr>
        <w:fldChar w:fldCharType="begin"/>
      </w:r>
      <w:r>
        <w:rPr>
          <w:noProof/>
        </w:rPr>
        <w:instrText xml:space="preserve"> PAGEREF _Toc131325016 \h </w:instrText>
      </w:r>
      <w:r>
        <w:rPr>
          <w:noProof/>
        </w:rPr>
      </w:r>
      <w:r>
        <w:rPr>
          <w:noProof/>
        </w:rPr>
        <w:fldChar w:fldCharType="separate"/>
      </w:r>
      <w:r w:rsidR="00C80D8F">
        <w:rPr>
          <w:noProof/>
        </w:rPr>
        <w:t>9</w:t>
      </w:r>
      <w:r>
        <w:rPr>
          <w:noProof/>
        </w:rPr>
        <w:fldChar w:fldCharType="end"/>
      </w:r>
    </w:p>
    <w:p w:rsidR="00EE3176" w:rsidRDefault="008417CF">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Tenure of offices of Trustees</w:t>
      </w:r>
      <w:r>
        <w:rPr>
          <w:noProof/>
        </w:rPr>
        <w:tab/>
      </w:r>
      <w:r>
        <w:rPr>
          <w:noProof/>
        </w:rPr>
        <w:fldChar w:fldCharType="begin"/>
      </w:r>
      <w:r>
        <w:rPr>
          <w:noProof/>
        </w:rPr>
        <w:instrText xml:space="preserve"> PAGEREF _Toc131325017 \h </w:instrText>
      </w:r>
      <w:r>
        <w:rPr>
          <w:noProof/>
        </w:rPr>
      </w:r>
      <w:r>
        <w:rPr>
          <w:noProof/>
        </w:rPr>
        <w:fldChar w:fldCharType="separate"/>
      </w:r>
      <w:r w:rsidR="00C80D8F">
        <w:rPr>
          <w:noProof/>
        </w:rPr>
        <w:t>9</w:t>
      </w:r>
      <w:r>
        <w:rPr>
          <w:noProof/>
        </w:rPr>
        <w:fldChar w:fldCharType="end"/>
      </w:r>
    </w:p>
    <w:p w:rsidR="00EE3176" w:rsidRDefault="008417CF">
      <w:pPr>
        <w:pStyle w:val="TOC4"/>
        <w:tabs>
          <w:tab w:val="left" w:pos="1701"/>
        </w:tabs>
        <w:rPr>
          <w:noProof/>
          <w:sz w:val="24"/>
          <w:szCs w:val="24"/>
        </w:rPr>
      </w:pPr>
      <w:r>
        <w:rPr>
          <w:noProof/>
          <w:szCs w:val="24"/>
        </w:rPr>
        <w:t>14A</w:t>
      </w:r>
      <w:r>
        <w:rPr>
          <w:noProof/>
          <w:snapToGrid w:val="0"/>
          <w:szCs w:val="24"/>
        </w:rPr>
        <w:t>.</w:t>
      </w:r>
      <w:r>
        <w:rPr>
          <w:noProof/>
          <w:sz w:val="24"/>
          <w:szCs w:val="24"/>
        </w:rPr>
        <w:tab/>
      </w:r>
      <w:r>
        <w:rPr>
          <w:noProof/>
          <w:snapToGrid w:val="0"/>
          <w:szCs w:val="24"/>
        </w:rPr>
        <w:t>Recovery of proceeds</w:t>
      </w:r>
      <w:r>
        <w:rPr>
          <w:noProof/>
        </w:rPr>
        <w:tab/>
      </w:r>
      <w:r>
        <w:rPr>
          <w:noProof/>
        </w:rPr>
        <w:fldChar w:fldCharType="begin"/>
      </w:r>
      <w:r>
        <w:rPr>
          <w:noProof/>
        </w:rPr>
        <w:instrText xml:space="preserve"> PAGEREF _Toc131325018 \h </w:instrText>
      </w:r>
      <w:r>
        <w:rPr>
          <w:noProof/>
        </w:rPr>
      </w:r>
      <w:r>
        <w:rPr>
          <w:noProof/>
        </w:rPr>
        <w:fldChar w:fldCharType="separate"/>
      </w:r>
      <w:r w:rsidR="00C80D8F">
        <w:rPr>
          <w:noProof/>
        </w:rPr>
        <w:t>10</w:t>
      </w:r>
      <w:r>
        <w:rPr>
          <w:noProof/>
        </w:rPr>
        <w:fldChar w:fldCharType="end"/>
      </w:r>
    </w:p>
    <w:p w:rsidR="00EE3176" w:rsidRDefault="008417CF">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 xml:space="preserve">Application of the </w:t>
      </w:r>
      <w:r>
        <w:rPr>
          <w:i/>
          <w:noProof/>
          <w:snapToGrid w:val="0"/>
          <w:szCs w:val="24"/>
        </w:rPr>
        <w:t>Financial Administration and Audit Act 1985</w:t>
      </w:r>
      <w:r>
        <w:rPr>
          <w:noProof/>
        </w:rPr>
        <w:tab/>
      </w:r>
      <w:r>
        <w:rPr>
          <w:noProof/>
        </w:rPr>
        <w:fldChar w:fldCharType="begin"/>
      </w:r>
      <w:r>
        <w:rPr>
          <w:noProof/>
        </w:rPr>
        <w:instrText xml:space="preserve"> PAGEREF _Toc131325019 \h </w:instrText>
      </w:r>
      <w:r>
        <w:rPr>
          <w:noProof/>
        </w:rPr>
      </w:r>
      <w:r>
        <w:rPr>
          <w:noProof/>
        </w:rPr>
        <w:fldChar w:fldCharType="separate"/>
      </w:r>
      <w:r w:rsidR="00C80D8F">
        <w:rPr>
          <w:noProof/>
        </w:rPr>
        <w:t>10</w:t>
      </w:r>
      <w:r>
        <w:rPr>
          <w:noProof/>
        </w:rPr>
        <w:fldChar w:fldCharType="end"/>
      </w:r>
    </w:p>
    <w:p w:rsidR="00EE3176" w:rsidRDefault="008417CF">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Authentication of documents</w:t>
      </w:r>
      <w:r>
        <w:rPr>
          <w:noProof/>
        </w:rPr>
        <w:tab/>
      </w:r>
      <w:r>
        <w:rPr>
          <w:noProof/>
        </w:rPr>
        <w:fldChar w:fldCharType="begin"/>
      </w:r>
      <w:r>
        <w:rPr>
          <w:noProof/>
        </w:rPr>
        <w:instrText xml:space="preserve"> PAGEREF _Toc131325020 \h </w:instrText>
      </w:r>
      <w:r>
        <w:rPr>
          <w:noProof/>
        </w:rPr>
      </w:r>
      <w:r>
        <w:rPr>
          <w:noProof/>
        </w:rPr>
        <w:fldChar w:fldCharType="separate"/>
      </w:r>
      <w:r w:rsidR="00C80D8F">
        <w:rPr>
          <w:noProof/>
        </w:rPr>
        <w:t>11</w:t>
      </w:r>
      <w:r>
        <w:rPr>
          <w:noProof/>
        </w:rPr>
        <w:fldChar w:fldCharType="end"/>
      </w:r>
    </w:p>
    <w:p w:rsidR="00EE3176" w:rsidRDefault="008417CF">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_Toc131325021 \h </w:instrText>
      </w:r>
      <w:r>
        <w:rPr>
          <w:noProof/>
        </w:rPr>
      </w:r>
      <w:r>
        <w:rPr>
          <w:noProof/>
        </w:rPr>
        <w:fldChar w:fldCharType="separate"/>
      </w:r>
      <w:r w:rsidR="00C80D8F">
        <w:rPr>
          <w:noProof/>
        </w:rPr>
        <w:t>11</w:t>
      </w:r>
      <w:r>
        <w:rPr>
          <w:noProof/>
        </w:rPr>
        <w:fldChar w:fldCharType="end"/>
      </w:r>
    </w:p>
    <w:p w:rsidR="00EE3176" w:rsidRDefault="008417CF">
      <w:pPr>
        <w:pStyle w:val="TOC2"/>
        <w:tabs>
          <w:tab w:val="right" w:leader="dot" w:pos="7078"/>
        </w:tabs>
        <w:rPr>
          <w:b w:val="0"/>
          <w:noProof/>
          <w:sz w:val="24"/>
          <w:szCs w:val="24"/>
        </w:rPr>
      </w:pPr>
      <w:r>
        <w:rPr>
          <w:noProof/>
          <w:szCs w:val="26"/>
        </w:rPr>
        <w:t>Notes</w:t>
      </w:r>
    </w:p>
    <w:p w:rsidR="00EE3176" w:rsidRDefault="008417CF">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_Toc131325023 \h </w:instrText>
      </w:r>
      <w:r>
        <w:rPr>
          <w:noProof/>
        </w:rPr>
      </w:r>
      <w:r>
        <w:rPr>
          <w:noProof/>
        </w:rPr>
        <w:fldChar w:fldCharType="separate"/>
      </w:r>
      <w:r w:rsidR="00C80D8F">
        <w:rPr>
          <w:noProof/>
        </w:rPr>
        <w:t>12</w:t>
      </w:r>
      <w:r>
        <w:rPr>
          <w:noProof/>
        </w:rPr>
        <w:fldChar w:fldCharType="end"/>
      </w:r>
    </w:p>
    <w:p w:rsidR="00EE3176" w:rsidRDefault="008417CF">
      <w:pPr>
        <w:pStyle w:val="TOC2"/>
      </w:pPr>
      <w:r>
        <w:fldChar w:fldCharType="end"/>
      </w:r>
    </w:p>
    <w:p w:rsidR="00EE3176" w:rsidRDefault="008417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E3176" w:rsidRDefault="00EE3176">
      <w:pPr>
        <w:pStyle w:val="NoteHeading"/>
        <w:sectPr w:rsidR="00EE317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EE3176" w:rsidRDefault="008417CF">
      <w:pPr>
        <w:pStyle w:val="WA"/>
      </w:pPr>
      <w:r>
        <w:t>Western Australia</w:t>
      </w:r>
    </w:p>
    <w:p w:rsidR="00EE3176" w:rsidRDefault="008417CF">
      <w:pPr>
        <w:pStyle w:val="NameofActReg"/>
      </w:pPr>
      <w:r>
        <w:t xml:space="preserve">Anzac Day Act 1960 </w:t>
      </w:r>
    </w:p>
    <w:p w:rsidR="00EE3176" w:rsidRDefault="008417CF">
      <w:pPr>
        <w:pStyle w:val="LongTitle"/>
        <w:spacing w:after="480"/>
        <w:rPr>
          <w:snapToGrid w:val="0"/>
        </w:rPr>
      </w:pPr>
      <w:r>
        <w:rPr>
          <w:snapToGrid w:val="0"/>
        </w:rPr>
        <w:t xml:space="preserve">An Act to amend and consolidate the law relating to the observance of Anzac Day as a public holiday; to establish an Anzac Day Trust Fund; and for other and incidental purposes. </w:t>
      </w:r>
    </w:p>
    <w:p w:rsidR="00EE3176" w:rsidRDefault="008417CF">
      <w:pPr>
        <w:pStyle w:val="Heading5"/>
        <w:rPr>
          <w:snapToGrid w:val="0"/>
        </w:rPr>
      </w:pPr>
      <w:bookmarkStart w:id="1" w:name="_Toc411397699"/>
      <w:bookmarkStart w:id="2" w:name="_Toc8013405"/>
      <w:bookmarkStart w:id="3" w:name="_Toc131325007"/>
      <w:r>
        <w:rPr>
          <w:rStyle w:val="CharSectno"/>
        </w:rPr>
        <w:t>1</w:t>
      </w:r>
      <w:r>
        <w:rPr>
          <w:snapToGrid w:val="0"/>
        </w:rPr>
        <w:t>.</w:t>
      </w:r>
      <w:r>
        <w:rPr>
          <w:snapToGrid w:val="0"/>
        </w:rPr>
        <w:tab/>
        <w:t>Short title</w:t>
      </w:r>
      <w:bookmarkEnd w:id="1"/>
      <w:bookmarkEnd w:id="2"/>
      <w:bookmarkEnd w:id="3"/>
      <w:r>
        <w:rPr>
          <w:snapToGrid w:val="0"/>
        </w:rPr>
        <w:t xml:space="preserve"> </w:t>
      </w:r>
    </w:p>
    <w:p w:rsidR="00EE3176" w:rsidRDefault="008417CF">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rsidR="00EE3176" w:rsidRDefault="008417CF">
      <w:pPr>
        <w:pStyle w:val="Ednotesection"/>
        <w:rPr>
          <w:rStyle w:val="CharSectno"/>
        </w:rPr>
      </w:pPr>
      <w:bookmarkStart w:id="4" w:name="_Toc411397701"/>
      <w:bookmarkStart w:id="5" w:name="_Toc8013407"/>
      <w:r>
        <w:rPr>
          <w:rStyle w:val="CharSectno"/>
        </w:rPr>
        <w:t>[</w:t>
      </w:r>
      <w:r>
        <w:rPr>
          <w:b/>
          <w:bCs/>
        </w:rPr>
        <w:t>2</w:t>
      </w:r>
      <w:r>
        <w:rPr>
          <w:rStyle w:val="CharSectno"/>
          <w:b/>
        </w:rPr>
        <w:t>.</w:t>
      </w:r>
      <w:r>
        <w:rPr>
          <w:rStyle w:val="CharSectno"/>
        </w:rPr>
        <w:tab/>
        <w:t>Omitted under the Reprints Act 1984 s. 7(4)(f).]</w:t>
      </w:r>
    </w:p>
    <w:p w:rsidR="00EE3176" w:rsidRDefault="008417CF">
      <w:pPr>
        <w:pStyle w:val="Heading5"/>
        <w:rPr>
          <w:snapToGrid w:val="0"/>
        </w:rPr>
      </w:pPr>
      <w:bookmarkStart w:id="6" w:name="_Toc131325008"/>
      <w:r>
        <w:rPr>
          <w:rStyle w:val="CharSectno"/>
        </w:rPr>
        <w:t>3</w:t>
      </w:r>
      <w:r>
        <w:rPr>
          <w:snapToGrid w:val="0"/>
        </w:rPr>
        <w:t>.</w:t>
      </w:r>
      <w:r>
        <w:rPr>
          <w:snapToGrid w:val="0"/>
        </w:rPr>
        <w:tab/>
        <w:t>Interpretation</w:t>
      </w:r>
      <w:bookmarkEnd w:id="4"/>
      <w:bookmarkEnd w:id="5"/>
      <w:bookmarkEnd w:id="6"/>
      <w:r>
        <w:rPr>
          <w:snapToGrid w:val="0"/>
        </w:rPr>
        <w:t xml:space="preserve"> </w:t>
      </w:r>
    </w:p>
    <w:p w:rsidR="00EE3176" w:rsidRDefault="008417CF">
      <w:pPr>
        <w:pStyle w:val="Subsection"/>
        <w:rPr>
          <w:snapToGrid w:val="0"/>
        </w:rPr>
      </w:pPr>
      <w:r>
        <w:rPr>
          <w:snapToGrid w:val="0"/>
        </w:rPr>
        <w:tab/>
      </w:r>
      <w:r>
        <w:rPr>
          <w:snapToGrid w:val="0"/>
        </w:rPr>
        <w:tab/>
        <w:t>In this Act — </w:t>
      </w:r>
    </w:p>
    <w:p w:rsidR="00EE3176" w:rsidRDefault="008417CF">
      <w:pPr>
        <w:pStyle w:val="Defstart"/>
      </w:pPr>
      <w:r>
        <w:rPr>
          <w:b/>
        </w:rPr>
        <w:tab/>
        <w:t>“</w:t>
      </w:r>
      <w:r>
        <w:rPr>
          <w:rStyle w:val="CharDefText"/>
        </w:rPr>
        <w:t>Anzac Day</w:t>
      </w:r>
      <w:r>
        <w:rPr>
          <w:b/>
        </w:rPr>
        <w:t>”</w:t>
      </w:r>
      <w:r>
        <w:t xml:space="preserve"> means 25 April in each year;</w:t>
      </w:r>
    </w:p>
    <w:p w:rsidR="00EE3176" w:rsidRDefault="008417CF">
      <w:pPr>
        <w:pStyle w:val="Defstart"/>
      </w:pPr>
      <w:r>
        <w:tab/>
      </w:r>
      <w:r>
        <w:rPr>
          <w:b/>
        </w:rPr>
        <w:t>“</w:t>
      </w:r>
      <w:r>
        <w:rPr>
          <w:rStyle w:val="CharDefText"/>
        </w:rPr>
        <w:t>dependant</w:t>
      </w:r>
      <w:r>
        <w:rPr>
          <w:b/>
        </w:rPr>
        <w:t>”</w:t>
      </w:r>
      <w:r>
        <w:t>,</w:t>
      </w:r>
      <w:r>
        <w:rPr>
          <w:b/>
        </w:rPr>
        <w:t xml:space="preserve"> </w:t>
      </w:r>
      <w:r>
        <w:t>in relation to a deceased person, includes a person who, immediately before the death of the person, was a spouse, de facto partner or child of the person;</w:t>
      </w:r>
    </w:p>
    <w:p w:rsidR="00EE3176" w:rsidRDefault="008417CF">
      <w:pPr>
        <w:pStyle w:val="Defstart"/>
      </w:pPr>
      <w:r>
        <w:rPr>
          <w:b/>
        </w:rPr>
        <w:tab/>
        <w:t>“</w:t>
      </w:r>
      <w:r>
        <w:rPr>
          <w:rStyle w:val="CharDefText"/>
        </w:rPr>
        <w:t>race meeting</w:t>
      </w:r>
      <w:r>
        <w:rPr>
          <w:b/>
        </w:rPr>
        <w:t>”</w:t>
      </w:r>
      <w:r>
        <w:t xml:space="preserve"> means a meeting of persons for the purpose of holding or conducting horse racing, trotting racing, or greyhound racing;</w:t>
      </w:r>
    </w:p>
    <w:p w:rsidR="00EE3176" w:rsidRDefault="008417CF">
      <w:pPr>
        <w:pStyle w:val="Defstart"/>
      </w:pPr>
      <w:r>
        <w:rPr>
          <w:b/>
        </w:rPr>
        <w:tab/>
        <w:t>“</w:t>
      </w:r>
      <w:r>
        <w:rPr>
          <w:rStyle w:val="CharDefText"/>
        </w:rPr>
        <w:t>racing club</w:t>
      </w:r>
      <w:r>
        <w:rPr>
          <w:b/>
        </w:rPr>
        <w:t>”</w:t>
      </w:r>
      <w:r>
        <w:t xml:space="preserve"> means any club, company, association or body of persons, whether incorporated or otherwise, formed for the purpose of promoting horse racing, trotting racing, or greyhound racing;</w:t>
      </w:r>
    </w:p>
    <w:p w:rsidR="00EE3176" w:rsidRDefault="008417CF">
      <w:pPr>
        <w:pStyle w:val="Defstart"/>
      </w:pPr>
      <w:r>
        <w:rPr>
          <w:b/>
        </w:rPr>
        <w:tab/>
        <w:t>“</w:t>
      </w:r>
      <w:r>
        <w:rPr>
          <w:rStyle w:val="CharDefText"/>
        </w:rPr>
        <w:t>sports</w:t>
      </w:r>
      <w:r>
        <w:rPr>
          <w:b/>
        </w:rPr>
        <w:t>”</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rsidR="00EE3176" w:rsidRDefault="008417CF">
      <w:pPr>
        <w:pStyle w:val="Defstart"/>
      </w:pPr>
      <w:r>
        <w:rPr>
          <w:b/>
        </w:rPr>
        <w:tab/>
        <w:t>“</w:t>
      </w:r>
      <w:r>
        <w:rPr>
          <w:rStyle w:val="CharDefText"/>
        </w:rPr>
        <w:t>Trust</w:t>
      </w:r>
      <w:r>
        <w:rPr>
          <w:b/>
        </w:rPr>
        <w:t>”</w:t>
      </w:r>
      <w:r>
        <w:t xml:space="preserve"> means the body corporate constituted under this Act as The Anzac Day Trust;</w:t>
      </w:r>
    </w:p>
    <w:p w:rsidR="00EE3176" w:rsidRDefault="008417CF">
      <w:pPr>
        <w:pStyle w:val="Defstart"/>
      </w:pPr>
      <w:r>
        <w:rPr>
          <w:b/>
        </w:rPr>
        <w:tab/>
        <w:t>“</w:t>
      </w:r>
      <w:bookmarkStart w:id="7" w:name="endcomma"/>
      <w:bookmarkEnd w:id="7"/>
      <w:r>
        <w:rPr>
          <w:rStyle w:val="CharDefText"/>
        </w:rPr>
        <w:t>Trustee</w:t>
      </w:r>
      <w:r>
        <w:rPr>
          <w:b/>
        </w:rPr>
        <w:t>”</w:t>
      </w:r>
      <w:r>
        <w:t xml:space="preserve"> </w:t>
      </w:r>
      <w:bookmarkStart w:id="8" w:name="comma"/>
      <w:bookmarkEnd w:id="8"/>
      <w:r>
        <w:t>means a person occupying the office of Trustee of the Trust, including the office of chairman.</w:t>
      </w:r>
    </w:p>
    <w:p w:rsidR="00EE3176" w:rsidRDefault="008417CF">
      <w:pPr>
        <w:pStyle w:val="Footnotesection"/>
      </w:pPr>
      <w:r>
        <w:tab/>
        <w:t xml:space="preserve">[Section 3 amended by No. 14 of 1964 s. 2; No. 9 of 1975 s. 2; No. 28 of 2003 s. 12.] </w:t>
      </w:r>
    </w:p>
    <w:p w:rsidR="00EE3176" w:rsidRDefault="008417CF">
      <w:pPr>
        <w:pStyle w:val="Heading5"/>
        <w:rPr>
          <w:snapToGrid w:val="0"/>
        </w:rPr>
      </w:pPr>
      <w:bookmarkStart w:id="9" w:name="_Toc411397702"/>
      <w:bookmarkStart w:id="10" w:name="_Toc8013408"/>
      <w:bookmarkStart w:id="11" w:name="_Toc131325009"/>
      <w:r>
        <w:rPr>
          <w:rStyle w:val="CharSectno"/>
        </w:rPr>
        <w:t>4</w:t>
      </w:r>
      <w:r>
        <w:rPr>
          <w:snapToGrid w:val="0"/>
        </w:rPr>
        <w:t>.</w:t>
      </w:r>
      <w:r>
        <w:rPr>
          <w:snapToGrid w:val="0"/>
        </w:rPr>
        <w:tab/>
        <w:t>Race meetings on Anzac Day</w:t>
      </w:r>
      <w:bookmarkEnd w:id="9"/>
      <w:bookmarkEnd w:id="10"/>
      <w:bookmarkEnd w:id="11"/>
      <w:r>
        <w:rPr>
          <w:snapToGrid w:val="0"/>
        </w:rPr>
        <w:t xml:space="preserve"> </w:t>
      </w:r>
    </w:p>
    <w:p w:rsidR="00EE3176" w:rsidRDefault="008417CF">
      <w:pPr>
        <w:pStyle w:val="Subsection"/>
        <w:rPr>
          <w:snapToGrid w:val="0"/>
        </w:rPr>
      </w:pPr>
      <w:r>
        <w:rPr>
          <w:snapToGrid w:val="0"/>
        </w:rPr>
        <w:tab/>
        <w:t>(1)</w:t>
      </w:r>
      <w:r>
        <w:rPr>
          <w:snapToGrid w:val="0"/>
        </w:rPr>
        <w:tab/>
        <w:t>No license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license granted contrary to this section shall be void.</w:t>
      </w:r>
    </w:p>
    <w:p w:rsidR="00EE3176" w:rsidRDefault="008417CF">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rsidR="00EE3176" w:rsidRDefault="008417CF">
      <w:pPr>
        <w:pStyle w:val="Ednotesubsection"/>
      </w:pPr>
      <w:r>
        <w:tab/>
        <w:t>[(3)</w:t>
      </w:r>
      <w:r>
        <w:tab/>
        <w:t>repealed]</w:t>
      </w:r>
    </w:p>
    <w:p w:rsidR="00EE3176" w:rsidRDefault="008417CF">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rsidR="00EE3176" w:rsidRDefault="008417CF">
      <w:pPr>
        <w:pStyle w:val="Ednotesubsection"/>
      </w:pPr>
      <w:r>
        <w:tab/>
        <w:t>[(5)</w:t>
      </w:r>
      <w:r>
        <w:tab/>
        <w:t>repealed]</w:t>
      </w:r>
    </w:p>
    <w:p w:rsidR="00EE3176" w:rsidRDefault="008417CF">
      <w:pPr>
        <w:pStyle w:val="Footnotesection"/>
      </w:pPr>
      <w:r>
        <w:tab/>
        <w:t xml:space="preserve">[Section 4 amended by No. 113 of 1965 s. 8(1); No. 9 of 1975 s. 3; No. 35 of 2003 s. 73(2), (3); No. 62 of 2003 s. 4.] </w:t>
      </w:r>
    </w:p>
    <w:p w:rsidR="00EE3176" w:rsidRDefault="008417CF">
      <w:pPr>
        <w:pStyle w:val="Heading5"/>
        <w:rPr>
          <w:snapToGrid w:val="0"/>
        </w:rPr>
      </w:pPr>
      <w:bookmarkStart w:id="12" w:name="_Toc411397703"/>
      <w:bookmarkStart w:id="13" w:name="_Toc8013409"/>
      <w:bookmarkStart w:id="14" w:name="_Toc131325010"/>
      <w:r>
        <w:rPr>
          <w:rStyle w:val="CharSectno"/>
        </w:rPr>
        <w:t>5</w:t>
      </w:r>
      <w:r>
        <w:rPr>
          <w:snapToGrid w:val="0"/>
        </w:rPr>
        <w:t>.</w:t>
      </w:r>
      <w:r>
        <w:rPr>
          <w:snapToGrid w:val="0"/>
        </w:rPr>
        <w:tab/>
        <w:t>Proceeds of race meetings on Anzac Day to be paid to Trust</w:t>
      </w:r>
      <w:bookmarkEnd w:id="12"/>
      <w:bookmarkEnd w:id="13"/>
      <w:bookmarkEnd w:id="14"/>
      <w:r>
        <w:rPr>
          <w:snapToGrid w:val="0"/>
        </w:rPr>
        <w:t xml:space="preserve"> </w:t>
      </w:r>
    </w:p>
    <w:p w:rsidR="00EE3176" w:rsidRDefault="008417CF">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rsidR="00EE3176" w:rsidRDefault="008417CF">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rsidR="00EE3176" w:rsidRDefault="008417CF">
      <w:pPr>
        <w:pStyle w:val="Indenta"/>
        <w:rPr>
          <w:snapToGrid w:val="0"/>
        </w:rPr>
      </w:pPr>
      <w:r>
        <w:rPr>
          <w:snapToGrid w:val="0"/>
        </w:rPr>
        <w:tab/>
        <w:t>(b)</w:t>
      </w:r>
      <w:r>
        <w:rPr>
          <w:snapToGrid w:val="0"/>
        </w:rPr>
        <w:tab/>
        <w:t>pay to the Trust — </w:t>
      </w:r>
    </w:p>
    <w:p w:rsidR="00EE3176" w:rsidRDefault="008417CF">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rsidR="00EE3176" w:rsidRDefault="008417CF">
      <w:pPr>
        <w:pStyle w:val="Indenti"/>
        <w:rPr>
          <w:snapToGrid w:val="0"/>
        </w:rPr>
      </w:pPr>
      <w:r>
        <w:rPr>
          <w:snapToGrid w:val="0"/>
        </w:rPr>
        <w:tab/>
        <w:t>(ii)</w:t>
      </w:r>
      <w:r>
        <w:rPr>
          <w:snapToGrid w:val="0"/>
        </w:rPr>
        <w:tab/>
        <w:t>in the case of a race meeting held outside the metropolitan region, 60% of the net proceeds derived from that race meeting.</w:t>
      </w:r>
    </w:p>
    <w:p w:rsidR="00EE3176" w:rsidRDefault="008417CF">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rsidR="00EE3176" w:rsidRDefault="008417CF">
      <w:pPr>
        <w:pStyle w:val="Subsection"/>
      </w:pPr>
      <w:r>
        <w:tab/>
        <w:t>(3)</w:t>
      </w:r>
      <w:r>
        <w:tab/>
        <w:t xml:space="preserve">In this section — </w:t>
      </w:r>
    </w:p>
    <w:p w:rsidR="00EE3176" w:rsidRDefault="008417CF">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rsidR="00EE3176" w:rsidRDefault="008417CF">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EE3176" w:rsidRDefault="008417CF">
      <w:pPr>
        <w:pStyle w:val="Footnotesection"/>
      </w:pPr>
      <w:r>
        <w:tab/>
        <w:t xml:space="preserve">[Section 5 amended by No. 14 of 1964 s. 3; No. 113 of 1965 s. 8(1); No. 1 of 1976 s. 2; No. 35 of 2003 s. 73(4); No. 38 of 2005 s. 15.] </w:t>
      </w:r>
    </w:p>
    <w:p w:rsidR="00EE3176" w:rsidRDefault="008417CF">
      <w:pPr>
        <w:pStyle w:val="Heading5"/>
        <w:rPr>
          <w:snapToGrid w:val="0"/>
        </w:rPr>
      </w:pPr>
      <w:bookmarkStart w:id="15" w:name="_Toc411397704"/>
      <w:bookmarkStart w:id="16" w:name="_Toc8013410"/>
      <w:bookmarkStart w:id="17" w:name="_Toc131325011"/>
      <w:r>
        <w:rPr>
          <w:rStyle w:val="CharSectno"/>
        </w:rPr>
        <w:t>6</w:t>
      </w:r>
      <w:r>
        <w:rPr>
          <w:snapToGrid w:val="0"/>
        </w:rPr>
        <w:t>.</w:t>
      </w:r>
      <w:r>
        <w:rPr>
          <w:snapToGrid w:val="0"/>
        </w:rPr>
        <w:tab/>
        <w:t>Sports on Anzac Day</w:t>
      </w:r>
      <w:bookmarkEnd w:id="15"/>
      <w:bookmarkEnd w:id="16"/>
      <w:bookmarkEnd w:id="17"/>
      <w:r>
        <w:rPr>
          <w:snapToGrid w:val="0"/>
        </w:rPr>
        <w:t xml:space="preserve"> </w:t>
      </w:r>
    </w:p>
    <w:p w:rsidR="00EE3176" w:rsidRDefault="008417CF">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rsidR="00EE3176" w:rsidRDefault="008417CF">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rsidR="00EE3176" w:rsidRDefault="008417CF">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rsidR="00EE3176" w:rsidRDefault="008417CF">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rsidR="00EE3176" w:rsidRDefault="008417CF">
      <w:pPr>
        <w:pStyle w:val="Footnotesection"/>
      </w:pPr>
      <w:r>
        <w:tab/>
        <w:t xml:space="preserve">[Section 6 amended by No. 113 of 1965 s. 8(1); No. 14 of 1996 s. 4.] </w:t>
      </w:r>
    </w:p>
    <w:p w:rsidR="00EE3176" w:rsidRDefault="008417CF">
      <w:pPr>
        <w:pStyle w:val="Heading5"/>
        <w:rPr>
          <w:snapToGrid w:val="0"/>
        </w:rPr>
      </w:pPr>
      <w:bookmarkStart w:id="18" w:name="_Toc411397705"/>
      <w:bookmarkStart w:id="19" w:name="_Toc8013411"/>
      <w:bookmarkStart w:id="20" w:name="_Toc131325012"/>
      <w:r>
        <w:rPr>
          <w:rStyle w:val="CharSectno"/>
        </w:rPr>
        <w:t>7</w:t>
      </w:r>
      <w:r>
        <w:rPr>
          <w:snapToGrid w:val="0"/>
        </w:rPr>
        <w:t>.</w:t>
      </w:r>
      <w:r>
        <w:rPr>
          <w:snapToGrid w:val="0"/>
        </w:rPr>
        <w:tab/>
        <w:t>Proceeds of sports on Anzac Day to be paid to Trust</w:t>
      </w:r>
      <w:bookmarkEnd w:id="18"/>
      <w:bookmarkEnd w:id="19"/>
      <w:bookmarkEnd w:id="20"/>
      <w:r>
        <w:rPr>
          <w:snapToGrid w:val="0"/>
        </w:rPr>
        <w:t xml:space="preserve"> </w:t>
      </w:r>
    </w:p>
    <w:p w:rsidR="00EE3176" w:rsidRDefault="008417CF">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rsidR="00EE3176" w:rsidRDefault="008417CF">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rsidR="00EE3176" w:rsidRDefault="008417CF">
      <w:pPr>
        <w:pStyle w:val="Indenta"/>
        <w:rPr>
          <w:snapToGrid w:val="0"/>
        </w:rPr>
      </w:pPr>
      <w:r>
        <w:rPr>
          <w:snapToGrid w:val="0"/>
        </w:rPr>
        <w:tab/>
        <w:t>(b)</w:t>
      </w:r>
      <w:r>
        <w:rPr>
          <w:snapToGrid w:val="0"/>
        </w:rPr>
        <w:tab/>
        <w:t>pay to the Trust 60% of the net proceeds derived from the holding of those sports.</w:t>
      </w:r>
    </w:p>
    <w:p w:rsidR="00EE3176" w:rsidRDefault="008417CF">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rsidR="00EE3176" w:rsidRDefault="008417CF">
      <w:pPr>
        <w:pStyle w:val="Subsection"/>
        <w:keepNext/>
        <w:keepLines/>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EE3176" w:rsidRDefault="008417CF">
      <w:pPr>
        <w:pStyle w:val="Footnotesection"/>
      </w:pPr>
      <w:r>
        <w:tab/>
        <w:t xml:space="preserve">[Section 7 amended by No. 113 of 1965 s. 8(1); No. 1 of 1976 s. 3.] </w:t>
      </w:r>
    </w:p>
    <w:p w:rsidR="00EE3176" w:rsidRDefault="008417CF">
      <w:pPr>
        <w:pStyle w:val="Ednotesection"/>
      </w:pPr>
      <w:r>
        <w:t>[</w:t>
      </w:r>
      <w:r>
        <w:rPr>
          <w:b/>
        </w:rPr>
        <w:t>8.</w:t>
      </w:r>
      <w:r>
        <w:tab/>
        <w:t>Omitted under the Reprints Act 1984 s. 7(4)(e).]</w:t>
      </w:r>
    </w:p>
    <w:p w:rsidR="00EE3176" w:rsidRDefault="008417CF">
      <w:pPr>
        <w:pStyle w:val="Ednotesection"/>
      </w:pPr>
      <w:r>
        <w:t>[</w:t>
      </w:r>
      <w:r>
        <w:rPr>
          <w:b/>
        </w:rPr>
        <w:t>9.</w:t>
      </w:r>
      <w:r>
        <w:t xml:space="preserve"> </w:t>
      </w:r>
      <w:r>
        <w:tab/>
        <w:t xml:space="preserve">Repealed by No. 34 of 1985 s. 9.] </w:t>
      </w:r>
    </w:p>
    <w:p w:rsidR="00EE3176" w:rsidRDefault="008417CF">
      <w:pPr>
        <w:pStyle w:val="Heading5"/>
        <w:rPr>
          <w:snapToGrid w:val="0"/>
        </w:rPr>
      </w:pPr>
      <w:bookmarkStart w:id="21" w:name="_Toc411397707"/>
      <w:bookmarkStart w:id="22" w:name="_Toc8013413"/>
      <w:bookmarkStart w:id="23" w:name="_Toc131325013"/>
      <w:r>
        <w:rPr>
          <w:rStyle w:val="CharSectno"/>
        </w:rPr>
        <w:t>10</w:t>
      </w:r>
      <w:r>
        <w:rPr>
          <w:snapToGrid w:val="0"/>
        </w:rPr>
        <w:t>.</w:t>
      </w:r>
      <w:r>
        <w:rPr>
          <w:snapToGrid w:val="0"/>
        </w:rPr>
        <w:tab/>
        <w:t>Establishment of Anzac Day Trust Fund</w:t>
      </w:r>
      <w:bookmarkEnd w:id="21"/>
      <w:bookmarkEnd w:id="22"/>
      <w:bookmarkEnd w:id="23"/>
      <w:r>
        <w:rPr>
          <w:snapToGrid w:val="0"/>
        </w:rPr>
        <w:t xml:space="preserve"> </w:t>
      </w:r>
    </w:p>
    <w:p w:rsidR="00EE3176" w:rsidRDefault="008417CF">
      <w:pPr>
        <w:pStyle w:val="Subsection"/>
        <w:rPr>
          <w:snapToGrid w:val="0"/>
        </w:rPr>
      </w:pPr>
      <w:r>
        <w:rPr>
          <w:snapToGrid w:val="0"/>
        </w:rPr>
        <w:tab/>
        <w:t>(1)</w:t>
      </w:r>
      <w:r>
        <w:rPr>
          <w:snapToGrid w:val="0"/>
        </w:rPr>
        <w:tab/>
        <w:t xml:space="preserve">There shall be established at the Treasury, forming part of the Trust Fund constituted under section 9 of the </w:t>
      </w:r>
      <w:r>
        <w:rPr>
          <w:i/>
          <w:snapToGrid w:val="0"/>
        </w:rPr>
        <w:t>Financial Administration and Audit Act 1985</w:t>
      </w:r>
      <w:r>
        <w:rPr>
          <w:snapToGrid w:val="0"/>
        </w:rPr>
        <w:t>, a fund to be called the Anzac Day Trust Fund, which Fund shall, subject to the Treasurer, be administered by the Trust constituted under the provisions of this Act.</w:t>
      </w:r>
    </w:p>
    <w:p w:rsidR="00EE3176" w:rsidRDefault="008417CF">
      <w:pPr>
        <w:pStyle w:val="Subsection"/>
        <w:rPr>
          <w:snapToGrid w:val="0"/>
        </w:rPr>
      </w:pPr>
      <w:r>
        <w:rPr>
          <w:snapToGrid w:val="0"/>
        </w:rPr>
        <w:tab/>
        <w:t>(2)</w:t>
      </w:r>
      <w:r>
        <w:rPr>
          <w:snapToGrid w:val="0"/>
        </w:rPr>
        <w:tab/>
        <w:t>There shall be credited to the Treasury to the credit of the Fund — </w:t>
      </w:r>
    </w:p>
    <w:p w:rsidR="00EE3176" w:rsidRDefault="008417CF">
      <w:pPr>
        <w:pStyle w:val="Ednotepara"/>
        <w:rPr>
          <w:snapToGrid w:val="0"/>
        </w:rPr>
      </w:pPr>
      <w:r>
        <w:rPr>
          <w:snapToGrid w:val="0"/>
        </w:rPr>
        <w:tab/>
        <w:t>[(a)</w:t>
      </w:r>
      <w:r>
        <w:rPr>
          <w:snapToGrid w:val="0"/>
        </w:rPr>
        <w:tab/>
        <w:t>deleted]</w:t>
      </w:r>
    </w:p>
    <w:p w:rsidR="00EE3176" w:rsidRDefault="008417CF">
      <w:pPr>
        <w:pStyle w:val="Indenta"/>
        <w:rPr>
          <w:snapToGrid w:val="0"/>
        </w:rPr>
      </w:pPr>
      <w:r>
        <w:rPr>
          <w:snapToGrid w:val="0"/>
        </w:rPr>
        <w:tab/>
        <w:t>(b)</w:t>
      </w:r>
      <w:r>
        <w:rPr>
          <w:snapToGrid w:val="0"/>
        </w:rPr>
        <w:tab/>
        <w:t>all moneys paid to the Trust pursuant to the provisions of section 5;</w:t>
      </w:r>
    </w:p>
    <w:p w:rsidR="00EE3176" w:rsidRDefault="008417CF">
      <w:pPr>
        <w:pStyle w:val="Indenta"/>
        <w:rPr>
          <w:snapToGrid w:val="0"/>
        </w:rPr>
      </w:pPr>
      <w:r>
        <w:rPr>
          <w:snapToGrid w:val="0"/>
        </w:rPr>
        <w:tab/>
        <w:t>(c)</w:t>
      </w:r>
      <w:r>
        <w:rPr>
          <w:snapToGrid w:val="0"/>
        </w:rPr>
        <w:tab/>
        <w:t>all moneys paid to the Trust pursuant to the provisions of section 7; and</w:t>
      </w:r>
    </w:p>
    <w:p w:rsidR="00EE3176" w:rsidRDefault="008417CF">
      <w:pPr>
        <w:pStyle w:val="Indenta"/>
        <w:rPr>
          <w:snapToGrid w:val="0"/>
        </w:rPr>
      </w:pPr>
      <w:r>
        <w:rPr>
          <w:snapToGrid w:val="0"/>
        </w:rPr>
        <w:tab/>
        <w:t>(d)</w:t>
      </w:r>
      <w:r>
        <w:rPr>
          <w:snapToGrid w:val="0"/>
        </w:rPr>
        <w:tab/>
        <w:t>all donations, devises and bequests made to the Trust.</w:t>
      </w:r>
    </w:p>
    <w:p w:rsidR="00EE3176" w:rsidRDefault="008417CF">
      <w:pPr>
        <w:pStyle w:val="Subsection"/>
        <w:rPr>
          <w:snapToGrid w:val="0"/>
        </w:rPr>
      </w:pPr>
      <w:r>
        <w:rPr>
          <w:snapToGrid w:val="0"/>
        </w:rPr>
        <w:tab/>
        <w:t>(3)</w:t>
      </w:r>
      <w:r>
        <w:rPr>
          <w:snapToGrid w:val="0"/>
        </w:rPr>
        <w:tab/>
        <w:t>The moneys standing to the credit of the Fund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rsidR="00EE3176" w:rsidRDefault="008417CF">
      <w:pPr>
        <w:pStyle w:val="Indenta"/>
        <w:rPr>
          <w:snapToGrid w:val="0"/>
        </w:rPr>
      </w:pPr>
      <w:r>
        <w:rPr>
          <w:snapToGrid w:val="0"/>
        </w:rPr>
        <w:tab/>
        <w:t>(a)</w:t>
      </w:r>
      <w:r>
        <w:rPr>
          <w:snapToGrid w:val="0"/>
        </w:rPr>
        <w:tab/>
        <w:t>who were members of the naval, military or air forces of Her Majesty or of the Commonwealth; or</w:t>
      </w:r>
    </w:p>
    <w:p w:rsidR="00EE3176" w:rsidRDefault="008417CF">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rsidR="00EE3176" w:rsidRDefault="008417CF">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rsidR="00EE3176" w:rsidRDefault="008417CF">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rsidR="00EE3176" w:rsidRDefault="008417CF">
      <w:pPr>
        <w:pStyle w:val="Footnotesection"/>
      </w:pPr>
      <w:r>
        <w:tab/>
        <w:t xml:space="preserve">[Section 10 amended by No. 14 of 1964 s. 43; No. 2 of 1970 s. 2; No. 49 of 1996 s. 64; No. 28 of 2003 s. 13; No. 62 of 2003 s. 5.] </w:t>
      </w:r>
    </w:p>
    <w:p w:rsidR="00EE3176" w:rsidRDefault="008417CF">
      <w:pPr>
        <w:pStyle w:val="Heading5"/>
        <w:rPr>
          <w:snapToGrid w:val="0"/>
        </w:rPr>
      </w:pPr>
      <w:bookmarkStart w:id="24" w:name="_Toc411397708"/>
      <w:bookmarkStart w:id="25" w:name="_Toc8013414"/>
      <w:bookmarkStart w:id="26" w:name="_Toc131325014"/>
      <w:r>
        <w:rPr>
          <w:rStyle w:val="CharSectno"/>
        </w:rPr>
        <w:t>11</w:t>
      </w:r>
      <w:r>
        <w:rPr>
          <w:snapToGrid w:val="0"/>
        </w:rPr>
        <w:t>.</w:t>
      </w:r>
      <w:r>
        <w:rPr>
          <w:snapToGrid w:val="0"/>
        </w:rPr>
        <w:tab/>
        <w:t>The Anzac Day Trust constituted</w:t>
      </w:r>
      <w:bookmarkEnd w:id="24"/>
      <w:bookmarkEnd w:id="25"/>
      <w:bookmarkEnd w:id="26"/>
      <w:r>
        <w:rPr>
          <w:snapToGrid w:val="0"/>
        </w:rPr>
        <w:t xml:space="preserve"> </w:t>
      </w:r>
    </w:p>
    <w:p w:rsidR="00EE3176" w:rsidRDefault="008417CF">
      <w:pPr>
        <w:pStyle w:val="Subsection"/>
        <w:rPr>
          <w:snapToGrid w:val="0"/>
        </w:rPr>
      </w:pPr>
      <w:r>
        <w:rPr>
          <w:snapToGrid w:val="0"/>
        </w:rPr>
        <w:tab/>
        <w:t>(1)</w:t>
      </w:r>
      <w:r>
        <w:rPr>
          <w:snapToGrid w:val="0"/>
        </w:rPr>
        <w:tab/>
        <w:t>For the purposes of this Act a Trust is constituted under the name of “The Anzac Day Trust.”</w:t>
      </w:r>
    </w:p>
    <w:p w:rsidR="00EE3176" w:rsidRDefault="008417CF">
      <w:pPr>
        <w:pStyle w:val="Subsection"/>
        <w:rPr>
          <w:snapToGrid w:val="0"/>
        </w:rPr>
      </w:pPr>
      <w:r>
        <w:rPr>
          <w:snapToGrid w:val="0"/>
        </w:rPr>
        <w:tab/>
        <w:t>(2)</w:t>
      </w:r>
      <w:r>
        <w:rPr>
          <w:snapToGrid w:val="0"/>
        </w:rPr>
        <w:tab/>
        <w:t>The Trust shall consist of 4 Trustees (including the chairman) to be appointed from time to time by the Governor.</w:t>
      </w:r>
    </w:p>
    <w:p w:rsidR="00EE3176" w:rsidRDefault="008417CF">
      <w:pPr>
        <w:pStyle w:val="Subsection"/>
        <w:rPr>
          <w:snapToGrid w:val="0"/>
        </w:rPr>
      </w:pPr>
      <w:r>
        <w:rPr>
          <w:snapToGrid w:val="0"/>
        </w:rPr>
        <w:tab/>
        <w:t>(3)</w:t>
      </w:r>
      <w:r>
        <w:rPr>
          <w:snapToGrid w:val="0"/>
        </w:rPr>
        <w:tab/>
        <w:t>Of the 4 Trustees — </w:t>
      </w:r>
    </w:p>
    <w:p w:rsidR="00EE3176" w:rsidRDefault="008417CF">
      <w:pPr>
        <w:pStyle w:val="Indenta"/>
        <w:rPr>
          <w:snapToGrid w:val="0"/>
        </w:rPr>
      </w:pPr>
      <w:r>
        <w:rPr>
          <w:snapToGrid w:val="0"/>
        </w:rPr>
        <w:tab/>
        <w:t>(a)</w:t>
      </w:r>
      <w:r>
        <w:rPr>
          <w:snapToGrid w:val="0"/>
        </w:rPr>
        <w:tab/>
        <w:t>one shall be a person nominated by the Treasurer as the representative of the Treasury and he shall be chairman;</w:t>
      </w:r>
    </w:p>
    <w:p w:rsidR="00EE3176" w:rsidRDefault="008417CF">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rsidR="00EE3176" w:rsidRDefault="008417CF">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rsidR="00EE3176" w:rsidRDefault="008417CF">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licenses under the provisions of the </w:t>
      </w:r>
      <w:r>
        <w:rPr>
          <w:i/>
          <w:snapToGrid w:val="0"/>
        </w:rPr>
        <w:t>Charitable Collections Act 1946</w:t>
      </w:r>
      <w:r>
        <w:rPr>
          <w:snapToGrid w:val="0"/>
        </w:rPr>
        <w:t>.</w:t>
      </w:r>
    </w:p>
    <w:p w:rsidR="00EE3176" w:rsidRDefault="008417CF">
      <w:pPr>
        <w:pStyle w:val="Subsection"/>
        <w:tabs>
          <w:tab w:val="clear" w:pos="879"/>
          <w:tab w:val="right" w:pos="1332"/>
          <w:tab w:val="left" w:pos="1616"/>
        </w:tabs>
        <w:ind w:left="1616" w:hanging="1616"/>
        <w:rPr>
          <w:snapToGrid w:val="0"/>
        </w:rPr>
      </w:pPr>
      <w:r>
        <w:rPr>
          <w:snapToGrid w:val="0"/>
        </w:rPr>
        <w:tab/>
        <w:t>(4)</w:t>
      </w:r>
      <w:r>
        <w:rPr>
          <w:snapToGrid w:val="0"/>
        </w:rPr>
        <w:tab/>
        <w:t>(a)</w:t>
      </w:r>
      <w:r>
        <w:rPr>
          <w:snapToGrid w:val="0"/>
        </w:rPr>
        <w:tab/>
        <w:t>Where the Treasurer intends to nominate a Trustee mentioned in paragraph (b) or in paragraph (c) of subsection (3), he shall before making the nomination give written notice of that intention — </w:t>
      </w:r>
    </w:p>
    <w:p w:rsidR="00EE3176" w:rsidRDefault="008417CF">
      <w:pPr>
        <w:pStyle w:val="Indenti"/>
        <w:rPr>
          <w:snapToGrid w:val="0"/>
        </w:rPr>
      </w:pPr>
      <w:r>
        <w:rPr>
          <w:snapToGrid w:val="0"/>
        </w:rPr>
        <w:tab/>
        <w:t>(i)</w:t>
      </w:r>
      <w:r>
        <w:rPr>
          <w:snapToGrid w:val="0"/>
        </w:rPr>
        <w:tab/>
        <w:t>in the case of the Trustee mentioned in that paragraph (b), to the State President of the body referred to in that paragraph; or</w:t>
      </w:r>
    </w:p>
    <w:p w:rsidR="00EE3176" w:rsidRDefault="008417CF">
      <w:pPr>
        <w:pStyle w:val="Indenti"/>
        <w:rPr>
          <w:snapToGrid w:val="0"/>
        </w:rPr>
      </w:pPr>
      <w:r>
        <w:rPr>
          <w:snapToGrid w:val="0"/>
        </w:rPr>
        <w:tab/>
        <w:t>(ii)</w:t>
      </w:r>
      <w:r>
        <w:rPr>
          <w:snapToGrid w:val="0"/>
        </w:rPr>
        <w:tab/>
        <w:t>in the case of the Trustee mentioned in that paragraph (c), to the President of the body referred to in that paragraph.</w:t>
      </w:r>
    </w:p>
    <w:p w:rsidR="00EE3176" w:rsidRDefault="008417CF">
      <w:pPr>
        <w:pStyle w:val="Indenta"/>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rsidR="00EE3176" w:rsidRDefault="008417CF">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rsidR="00EE3176" w:rsidRDefault="008417CF">
      <w:pPr>
        <w:pStyle w:val="Subsection"/>
        <w:tabs>
          <w:tab w:val="clear" w:pos="879"/>
          <w:tab w:val="right" w:pos="1332"/>
          <w:tab w:val="left" w:pos="1616"/>
        </w:tabs>
        <w:ind w:left="1616" w:hanging="1616"/>
        <w:rPr>
          <w:snapToGrid w:val="0"/>
        </w:rPr>
      </w:pPr>
      <w:r>
        <w:rPr>
          <w:snapToGrid w:val="0"/>
        </w:rPr>
        <w:tab/>
        <w:t>(5)</w:t>
      </w:r>
      <w:r>
        <w:rPr>
          <w:snapToGrid w:val="0"/>
        </w:rPr>
        <w:tab/>
        <w:t>(a)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rsidR="00EE3176" w:rsidRDefault="008417CF">
      <w:pPr>
        <w:pStyle w:val="Indenta"/>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rsidR="00EE3176" w:rsidRDefault="008417CF">
      <w:pPr>
        <w:pStyle w:val="Indenta"/>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rsidR="00EE3176" w:rsidRDefault="008417CF">
      <w:pPr>
        <w:pStyle w:val="Subsection"/>
        <w:rPr>
          <w:snapToGrid w:val="0"/>
        </w:rPr>
      </w:pPr>
      <w:r>
        <w:rPr>
          <w:snapToGrid w:val="0"/>
        </w:rPr>
        <w:tab/>
        <w:t>(6)</w:t>
      </w:r>
      <w:r>
        <w:rPr>
          <w:snapToGrid w:val="0"/>
        </w:rPr>
        <w:tab/>
        <w:t>Any 3 Trustees shall form a quorum.</w:t>
      </w:r>
    </w:p>
    <w:p w:rsidR="00EE3176" w:rsidRDefault="008417CF">
      <w:pPr>
        <w:pStyle w:val="Footnotesection"/>
      </w:pPr>
      <w:r>
        <w:tab/>
        <w:t xml:space="preserve">[Section 11 amended by No. 14 of 1964 s. 5; No. 62 of 2003 s. 6.] </w:t>
      </w:r>
    </w:p>
    <w:p w:rsidR="00EE3176" w:rsidRDefault="008417CF">
      <w:pPr>
        <w:pStyle w:val="Heading5"/>
        <w:rPr>
          <w:snapToGrid w:val="0"/>
        </w:rPr>
      </w:pPr>
      <w:bookmarkStart w:id="27" w:name="_Toc411397709"/>
      <w:bookmarkStart w:id="28" w:name="_Toc8013415"/>
      <w:bookmarkStart w:id="29" w:name="_Toc131325015"/>
      <w:r>
        <w:rPr>
          <w:rStyle w:val="CharSectno"/>
        </w:rPr>
        <w:t>12</w:t>
      </w:r>
      <w:r>
        <w:rPr>
          <w:snapToGrid w:val="0"/>
        </w:rPr>
        <w:t>.</w:t>
      </w:r>
      <w:r>
        <w:rPr>
          <w:snapToGrid w:val="0"/>
        </w:rPr>
        <w:tab/>
        <w:t>Trust to be a body corporate</w:t>
      </w:r>
      <w:bookmarkEnd w:id="27"/>
      <w:bookmarkEnd w:id="28"/>
      <w:bookmarkEnd w:id="29"/>
      <w:r>
        <w:rPr>
          <w:snapToGrid w:val="0"/>
        </w:rPr>
        <w:t xml:space="preserve"> </w:t>
      </w:r>
    </w:p>
    <w:p w:rsidR="00EE3176" w:rsidRDefault="008417CF">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rsidR="00EE3176" w:rsidRDefault="008417CF">
      <w:pPr>
        <w:pStyle w:val="Heading5"/>
        <w:rPr>
          <w:snapToGrid w:val="0"/>
        </w:rPr>
      </w:pPr>
      <w:bookmarkStart w:id="30" w:name="_Toc411397710"/>
      <w:bookmarkStart w:id="31" w:name="_Toc8013416"/>
      <w:bookmarkStart w:id="32" w:name="_Toc131325016"/>
      <w:r>
        <w:rPr>
          <w:rStyle w:val="CharSectno"/>
        </w:rPr>
        <w:t>13</w:t>
      </w:r>
      <w:r>
        <w:rPr>
          <w:snapToGrid w:val="0"/>
        </w:rPr>
        <w:t>.</w:t>
      </w:r>
      <w:r>
        <w:rPr>
          <w:snapToGrid w:val="0"/>
        </w:rPr>
        <w:tab/>
        <w:t>Eligibility of Trustees</w:t>
      </w:r>
      <w:bookmarkEnd w:id="30"/>
      <w:bookmarkEnd w:id="31"/>
      <w:bookmarkEnd w:id="32"/>
      <w:r>
        <w:rPr>
          <w:snapToGrid w:val="0"/>
        </w:rPr>
        <w:t xml:space="preserve"> </w:t>
      </w:r>
    </w:p>
    <w:p w:rsidR="00EE3176" w:rsidRDefault="008417CF">
      <w:pPr>
        <w:pStyle w:val="Subsection"/>
        <w:keepNext/>
        <w:keepLines/>
        <w:rPr>
          <w:snapToGrid w:val="0"/>
        </w:rPr>
      </w:pPr>
      <w:r>
        <w:rPr>
          <w:snapToGrid w:val="0"/>
        </w:rPr>
        <w:tab/>
      </w:r>
      <w:r>
        <w:rPr>
          <w:snapToGrid w:val="0"/>
        </w:rPr>
        <w:tab/>
        <w:t>A person is not eligible for appointment and shall not be appointed to or hold office as a Trustee — </w:t>
      </w:r>
    </w:p>
    <w:p w:rsidR="00EE3176" w:rsidRDefault="008417CF">
      <w:pPr>
        <w:pStyle w:val="Indenta"/>
        <w:rPr>
          <w:snapToGrid w:val="0"/>
        </w:rPr>
      </w:pPr>
      <w:r>
        <w:rPr>
          <w:snapToGrid w:val="0"/>
        </w:rPr>
        <w:tab/>
        <w:t>(a)</w:t>
      </w:r>
      <w:r>
        <w:rPr>
          <w:snapToGrid w:val="0"/>
        </w:rPr>
        <w:tab/>
        <w:t>if he is bankrupt;</w:t>
      </w:r>
    </w:p>
    <w:p w:rsidR="00EE3176" w:rsidRDefault="008417CF">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rsidR="00EE3176" w:rsidRDefault="008417CF">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rsidR="00EE3176" w:rsidRDefault="008417CF">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rsidR="00EE3176" w:rsidRDefault="008417CF">
      <w:pPr>
        <w:pStyle w:val="Heading5"/>
        <w:rPr>
          <w:snapToGrid w:val="0"/>
        </w:rPr>
      </w:pPr>
      <w:bookmarkStart w:id="33" w:name="_Toc411397711"/>
      <w:bookmarkStart w:id="34" w:name="_Toc8013417"/>
      <w:bookmarkStart w:id="35" w:name="_Toc131325017"/>
      <w:r>
        <w:rPr>
          <w:rStyle w:val="CharSectno"/>
        </w:rPr>
        <w:t>14</w:t>
      </w:r>
      <w:r>
        <w:rPr>
          <w:snapToGrid w:val="0"/>
        </w:rPr>
        <w:t>.</w:t>
      </w:r>
      <w:r>
        <w:rPr>
          <w:snapToGrid w:val="0"/>
        </w:rPr>
        <w:tab/>
        <w:t>Tenure of offices of Trustees</w:t>
      </w:r>
      <w:bookmarkEnd w:id="33"/>
      <w:bookmarkEnd w:id="34"/>
      <w:bookmarkEnd w:id="35"/>
      <w:r>
        <w:rPr>
          <w:snapToGrid w:val="0"/>
        </w:rPr>
        <w:t xml:space="preserve"> </w:t>
      </w:r>
    </w:p>
    <w:p w:rsidR="00EE3176" w:rsidRDefault="008417CF">
      <w:pPr>
        <w:pStyle w:val="Subsection"/>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rsidR="00EE3176" w:rsidRDefault="008417CF">
      <w:pPr>
        <w:pStyle w:val="Subsection"/>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rsidR="00EE3176" w:rsidRDefault="008417CF">
      <w:pPr>
        <w:pStyle w:val="Heading5"/>
        <w:rPr>
          <w:snapToGrid w:val="0"/>
        </w:rPr>
      </w:pPr>
      <w:bookmarkStart w:id="36" w:name="_Toc411397712"/>
      <w:bookmarkStart w:id="37" w:name="_Toc8013418"/>
      <w:bookmarkStart w:id="38" w:name="_Toc131325018"/>
      <w:r>
        <w:rPr>
          <w:rStyle w:val="CharSectno"/>
        </w:rPr>
        <w:t>14A</w:t>
      </w:r>
      <w:r>
        <w:rPr>
          <w:snapToGrid w:val="0"/>
        </w:rPr>
        <w:t>.</w:t>
      </w:r>
      <w:r>
        <w:rPr>
          <w:snapToGrid w:val="0"/>
        </w:rPr>
        <w:tab/>
        <w:t>Recovery of proceeds</w:t>
      </w:r>
      <w:bookmarkEnd w:id="36"/>
      <w:bookmarkEnd w:id="37"/>
      <w:bookmarkEnd w:id="38"/>
      <w:r>
        <w:rPr>
          <w:snapToGrid w:val="0"/>
        </w:rPr>
        <w:t xml:space="preserve"> </w:t>
      </w:r>
    </w:p>
    <w:p w:rsidR="00EE3176" w:rsidRDefault="008417CF">
      <w:pPr>
        <w:pStyle w:val="Subsection"/>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rsidR="00EE3176" w:rsidRDefault="008417CF">
      <w:pPr>
        <w:pStyle w:val="Footnotesection"/>
      </w:pPr>
      <w:r>
        <w:tab/>
        <w:t xml:space="preserve">[Section 14A inserted by No. 14 of 1964 s. 6.] </w:t>
      </w:r>
    </w:p>
    <w:p w:rsidR="00EE3176" w:rsidRDefault="008417CF">
      <w:pPr>
        <w:pStyle w:val="Heading5"/>
        <w:rPr>
          <w:snapToGrid w:val="0"/>
        </w:rPr>
      </w:pPr>
      <w:bookmarkStart w:id="39" w:name="_Toc411397713"/>
      <w:bookmarkStart w:id="40" w:name="_Toc8013419"/>
      <w:bookmarkStart w:id="41" w:name="_Toc131325019"/>
      <w:r>
        <w:rPr>
          <w:rStyle w:val="CharSectno"/>
        </w:rPr>
        <w:t>15</w:t>
      </w:r>
      <w:r>
        <w:rPr>
          <w:snapToGrid w:val="0"/>
        </w:rPr>
        <w:t>.</w:t>
      </w:r>
      <w:r>
        <w:rPr>
          <w:snapToGrid w:val="0"/>
        </w:rPr>
        <w:tab/>
        <w:t xml:space="preserve">Application of the </w:t>
      </w:r>
      <w:r>
        <w:rPr>
          <w:i/>
          <w:snapToGrid w:val="0"/>
        </w:rPr>
        <w:t>Financial Administration and Audit Act 1985</w:t>
      </w:r>
      <w:bookmarkEnd w:id="39"/>
      <w:bookmarkEnd w:id="40"/>
      <w:bookmarkEnd w:id="41"/>
      <w:r>
        <w:rPr>
          <w:snapToGrid w:val="0"/>
        </w:rPr>
        <w:t xml:space="preserve"> </w:t>
      </w:r>
    </w:p>
    <w:p w:rsidR="00EE3176" w:rsidRDefault="008417CF">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rsidR="00EE3176" w:rsidRDefault="008417CF">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December.</w:t>
      </w:r>
    </w:p>
    <w:p w:rsidR="00EE3176" w:rsidRDefault="008417CF">
      <w:pPr>
        <w:pStyle w:val="Footnotesection"/>
      </w:pPr>
      <w:r>
        <w:tab/>
        <w:t xml:space="preserve">[Section 15 inserted by No. 98 of 1985 s. 3 (as amended by No. 4 of 1986 s. 3).] </w:t>
      </w:r>
    </w:p>
    <w:p w:rsidR="00EE3176" w:rsidRDefault="008417CF">
      <w:pPr>
        <w:pStyle w:val="Heading5"/>
        <w:rPr>
          <w:snapToGrid w:val="0"/>
        </w:rPr>
      </w:pPr>
      <w:bookmarkStart w:id="42" w:name="_Toc411397714"/>
      <w:bookmarkStart w:id="43" w:name="_Toc8013420"/>
      <w:bookmarkStart w:id="44" w:name="_Toc131325020"/>
      <w:r>
        <w:rPr>
          <w:rStyle w:val="CharSectno"/>
        </w:rPr>
        <w:t>16</w:t>
      </w:r>
      <w:r>
        <w:rPr>
          <w:snapToGrid w:val="0"/>
        </w:rPr>
        <w:t>.</w:t>
      </w:r>
      <w:r>
        <w:rPr>
          <w:snapToGrid w:val="0"/>
        </w:rPr>
        <w:tab/>
        <w:t>Authentication of documents</w:t>
      </w:r>
      <w:bookmarkEnd w:id="42"/>
      <w:bookmarkEnd w:id="43"/>
      <w:bookmarkEnd w:id="44"/>
      <w:r>
        <w:rPr>
          <w:snapToGrid w:val="0"/>
        </w:rPr>
        <w:t xml:space="preserve"> </w:t>
      </w:r>
    </w:p>
    <w:p w:rsidR="00EE3176" w:rsidRDefault="008417CF">
      <w:pPr>
        <w:pStyle w:val="Subsection"/>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rsidR="00EE3176" w:rsidRDefault="008417CF">
      <w:pPr>
        <w:pStyle w:val="Heading5"/>
        <w:rPr>
          <w:snapToGrid w:val="0"/>
        </w:rPr>
      </w:pPr>
      <w:bookmarkStart w:id="45" w:name="_Toc411397715"/>
      <w:bookmarkStart w:id="46" w:name="_Toc8013421"/>
      <w:bookmarkStart w:id="47" w:name="_Toc131325021"/>
      <w:r>
        <w:rPr>
          <w:rStyle w:val="CharSectno"/>
        </w:rPr>
        <w:t>17</w:t>
      </w:r>
      <w:r>
        <w:rPr>
          <w:snapToGrid w:val="0"/>
        </w:rPr>
        <w:t>.</w:t>
      </w:r>
      <w:r>
        <w:rPr>
          <w:snapToGrid w:val="0"/>
        </w:rPr>
        <w:tab/>
        <w:t>Regulations</w:t>
      </w:r>
      <w:bookmarkEnd w:id="45"/>
      <w:bookmarkEnd w:id="46"/>
      <w:bookmarkEnd w:id="47"/>
      <w:r>
        <w:rPr>
          <w:snapToGrid w:val="0"/>
        </w:rPr>
        <w:t xml:space="preserve"> </w:t>
      </w:r>
    </w:p>
    <w:p w:rsidR="00EE3176" w:rsidRDefault="008417CF">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rsidR="00EE3176" w:rsidRDefault="008417CF">
      <w:pPr>
        <w:pStyle w:val="Subsection"/>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rsidR="00EE3176" w:rsidRDefault="008417CF">
      <w:pPr>
        <w:pStyle w:val="Subsection"/>
        <w:rPr>
          <w:snapToGrid w:val="0"/>
        </w:rPr>
      </w:pPr>
      <w:r>
        <w:rPr>
          <w:snapToGrid w:val="0"/>
        </w:rPr>
        <w:tab/>
        <w:t>(2)</w:t>
      </w:r>
      <w:r>
        <w:rPr>
          <w:snapToGrid w:val="0"/>
        </w:rPr>
        <w:tab/>
        <w:t>Such regulations may prescribe a penalty not exceeding $100 for the breach or omission of and duty imposed by those regulations.</w:t>
      </w:r>
    </w:p>
    <w:p w:rsidR="00EE3176" w:rsidRDefault="008417CF">
      <w:pPr>
        <w:pStyle w:val="Footnotesection"/>
      </w:pPr>
      <w:r>
        <w:tab/>
        <w:t xml:space="preserve">[Section 17 amended by No. 113 of 1965 s. 8(1); No. 2 of 1970 s. 3.] </w:t>
      </w:r>
    </w:p>
    <w:p w:rsidR="00EE3176" w:rsidRDefault="008417CF">
      <w:pPr>
        <w:pStyle w:val="yEdnoteschedule"/>
      </w:pPr>
      <w:r>
        <w:t>[The Schedule omitted under the Reprints Act 1984 s. 7(4)(e).]</w:t>
      </w:r>
    </w:p>
    <w:p w:rsidR="00EE3176" w:rsidRDefault="00EE3176">
      <w:pPr>
        <w:rPr>
          <w:rStyle w:val="CharDivText"/>
        </w:rPr>
        <w:sectPr w:rsidR="00EE317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E3176" w:rsidRDefault="008417CF">
      <w:pPr>
        <w:pStyle w:val="nHeading2"/>
      </w:pPr>
      <w:bookmarkStart w:id="48" w:name="_Toc122430298"/>
      <w:bookmarkStart w:id="49" w:name="_Toc122948757"/>
      <w:bookmarkStart w:id="50" w:name="_Toc131325022"/>
      <w:r>
        <w:t>Notes</w:t>
      </w:r>
      <w:bookmarkEnd w:id="48"/>
      <w:bookmarkEnd w:id="49"/>
      <w:bookmarkEnd w:id="50"/>
    </w:p>
    <w:p w:rsidR="00EE3176" w:rsidRDefault="008417CF">
      <w:pPr>
        <w:pStyle w:val="nSubsection"/>
        <w:rPr>
          <w:snapToGrid w:val="0"/>
        </w:rPr>
      </w:pPr>
      <w:r>
        <w:rPr>
          <w:snapToGrid w:val="0"/>
          <w:vertAlign w:val="superscript"/>
        </w:rPr>
        <w:t>1</w:t>
      </w:r>
      <w:r>
        <w:rPr>
          <w:snapToGrid w:val="0"/>
        </w:rPr>
        <w:tab/>
        <w:t xml:space="preserve">This is a compilation of the </w:t>
      </w:r>
      <w:r>
        <w:rPr>
          <w:i/>
          <w:snapToGrid w:val="0"/>
        </w:rPr>
        <w:t>Anzac Day Act 1960</w:t>
      </w:r>
      <w:r>
        <w:rPr>
          <w:snapToGrid w:val="0"/>
        </w:rPr>
        <w:t xml:space="preserve"> and includes the amendments made by the other written laws referred to in the following table. The table also contains information about any reprint.</w:t>
      </w:r>
    </w:p>
    <w:p w:rsidR="00EE3176" w:rsidRDefault="008417CF">
      <w:pPr>
        <w:pStyle w:val="nHeading3"/>
        <w:rPr>
          <w:snapToGrid w:val="0"/>
        </w:rPr>
      </w:pPr>
      <w:bookmarkStart w:id="51" w:name="_Toc131325023"/>
      <w:r>
        <w:rPr>
          <w:snapToGrid w:val="0"/>
        </w:rPr>
        <w:t>Compilation table</w:t>
      </w:r>
      <w:bookmarkEnd w:id="5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EE3176">
        <w:trPr>
          <w:cantSplit/>
          <w:tblHeader/>
        </w:trPr>
        <w:tc>
          <w:tcPr>
            <w:tcW w:w="2268" w:type="dxa"/>
            <w:tcBorders>
              <w:top w:val="single" w:sz="12" w:space="0" w:color="auto"/>
              <w:bottom w:val="single" w:sz="12" w:space="0" w:color="auto"/>
            </w:tcBorders>
          </w:tcPr>
          <w:p w:rsidR="00EE3176" w:rsidRDefault="008417CF">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EE3176" w:rsidRDefault="008417CF">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EE3176" w:rsidRDefault="008417CF">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EE3176" w:rsidRDefault="008417CF">
            <w:pPr>
              <w:pStyle w:val="nTable"/>
              <w:spacing w:before="60" w:after="60"/>
              <w:rPr>
                <w:b/>
                <w:sz w:val="19"/>
              </w:rPr>
            </w:pPr>
            <w:r>
              <w:rPr>
                <w:b/>
                <w:sz w:val="19"/>
              </w:rPr>
              <w:t>Commencement</w:t>
            </w:r>
          </w:p>
        </w:tc>
      </w:tr>
      <w:tr w:rsidR="00EE3176">
        <w:trPr>
          <w:cantSplit/>
        </w:trPr>
        <w:tc>
          <w:tcPr>
            <w:tcW w:w="2268" w:type="dxa"/>
          </w:tcPr>
          <w:p w:rsidR="00EE3176" w:rsidRDefault="008417CF">
            <w:pPr>
              <w:pStyle w:val="nTable"/>
              <w:spacing w:before="120"/>
              <w:ind w:right="113"/>
              <w:rPr>
                <w:sz w:val="19"/>
              </w:rPr>
            </w:pPr>
            <w:r>
              <w:rPr>
                <w:i/>
                <w:sz w:val="19"/>
              </w:rPr>
              <w:t>Anzac Day Act 1960</w:t>
            </w:r>
          </w:p>
        </w:tc>
        <w:tc>
          <w:tcPr>
            <w:tcW w:w="1134" w:type="dxa"/>
          </w:tcPr>
          <w:p w:rsidR="00EE3176" w:rsidRDefault="008417CF">
            <w:pPr>
              <w:pStyle w:val="nTable"/>
              <w:spacing w:before="120"/>
              <w:rPr>
                <w:sz w:val="19"/>
              </w:rPr>
            </w:pPr>
            <w:r>
              <w:rPr>
                <w:sz w:val="19"/>
              </w:rPr>
              <w:t>73 of 1960</w:t>
            </w:r>
          </w:p>
        </w:tc>
        <w:tc>
          <w:tcPr>
            <w:tcW w:w="1134" w:type="dxa"/>
          </w:tcPr>
          <w:p w:rsidR="00EE3176" w:rsidRDefault="008417CF">
            <w:pPr>
              <w:pStyle w:val="nTable"/>
              <w:spacing w:before="120"/>
              <w:rPr>
                <w:sz w:val="19"/>
              </w:rPr>
            </w:pPr>
            <w:r>
              <w:rPr>
                <w:sz w:val="19"/>
              </w:rPr>
              <w:t>12 Dec 1960</w:t>
            </w:r>
          </w:p>
        </w:tc>
        <w:tc>
          <w:tcPr>
            <w:tcW w:w="2552" w:type="dxa"/>
          </w:tcPr>
          <w:p w:rsidR="00EE3176" w:rsidRDefault="008417CF">
            <w:pPr>
              <w:pStyle w:val="nTable"/>
              <w:spacing w:before="120"/>
              <w:rPr>
                <w:sz w:val="19"/>
              </w:rPr>
            </w:pPr>
            <w:r>
              <w:rPr>
                <w:sz w:val="19"/>
              </w:rPr>
              <w:t>12 Dec 1960</w:t>
            </w:r>
          </w:p>
        </w:tc>
      </w:tr>
      <w:tr w:rsidR="00EE3176">
        <w:trPr>
          <w:cantSplit/>
        </w:trPr>
        <w:tc>
          <w:tcPr>
            <w:tcW w:w="2268" w:type="dxa"/>
          </w:tcPr>
          <w:p w:rsidR="00EE3176" w:rsidRDefault="008417CF">
            <w:pPr>
              <w:pStyle w:val="nTable"/>
              <w:spacing w:before="120"/>
              <w:ind w:right="113"/>
              <w:rPr>
                <w:sz w:val="19"/>
              </w:rPr>
            </w:pPr>
            <w:r>
              <w:rPr>
                <w:i/>
                <w:sz w:val="19"/>
              </w:rPr>
              <w:t>Anzac Day Act Amendment Act 1964</w:t>
            </w:r>
          </w:p>
        </w:tc>
        <w:tc>
          <w:tcPr>
            <w:tcW w:w="1134" w:type="dxa"/>
          </w:tcPr>
          <w:p w:rsidR="00EE3176" w:rsidRDefault="008417CF">
            <w:pPr>
              <w:pStyle w:val="nTable"/>
              <w:spacing w:before="120"/>
              <w:rPr>
                <w:sz w:val="19"/>
              </w:rPr>
            </w:pPr>
            <w:r>
              <w:rPr>
                <w:sz w:val="19"/>
              </w:rPr>
              <w:t>14 of 1964</w:t>
            </w:r>
          </w:p>
        </w:tc>
        <w:tc>
          <w:tcPr>
            <w:tcW w:w="1134" w:type="dxa"/>
          </w:tcPr>
          <w:p w:rsidR="00EE3176" w:rsidRDefault="008417CF">
            <w:pPr>
              <w:pStyle w:val="nTable"/>
              <w:spacing w:before="120"/>
              <w:rPr>
                <w:sz w:val="19"/>
              </w:rPr>
            </w:pPr>
            <w:r>
              <w:rPr>
                <w:sz w:val="19"/>
              </w:rPr>
              <w:t>2 Oct 1964</w:t>
            </w:r>
          </w:p>
        </w:tc>
        <w:tc>
          <w:tcPr>
            <w:tcW w:w="2552" w:type="dxa"/>
          </w:tcPr>
          <w:p w:rsidR="00EE3176" w:rsidRDefault="008417CF">
            <w:pPr>
              <w:pStyle w:val="nTable"/>
              <w:spacing w:before="120"/>
              <w:rPr>
                <w:sz w:val="19"/>
              </w:rPr>
            </w:pPr>
            <w:r>
              <w:rPr>
                <w:sz w:val="19"/>
              </w:rPr>
              <w:t>2 Oct 1964</w:t>
            </w:r>
          </w:p>
        </w:tc>
      </w:tr>
      <w:tr w:rsidR="00EE3176">
        <w:trPr>
          <w:cantSplit/>
        </w:trPr>
        <w:tc>
          <w:tcPr>
            <w:tcW w:w="2268" w:type="dxa"/>
          </w:tcPr>
          <w:p w:rsidR="00EE3176" w:rsidRDefault="008417CF">
            <w:pPr>
              <w:pStyle w:val="nTable"/>
              <w:spacing w:before="120"/>
              <w:ind w:right="113"/>
              <w:rPr>
                <w:sz w:val="19"/>
              </w:rPr>
            </w:pPr>
            <w:r>
              <w:rPr>
                <w:i/>
                <w:sz w:val="19"/>
              </w:rPr>
              <w:t>Decimal Currency Act 1965</w:t>
            </w:r>
          </w:p>
        </w:tc>
        <w:tc>
          <w:tcPr>
            <w:tcW w:w="1134" w:type="dxa"/>
          </w:tcPr>
          <w:p w:rsidR="00EE3176" w:rsidRDefault="008417CF">
            <w:pPr>
              <w:pStyle w:val="nTable"/>
              <w:spacing w:before="120"/>
              <w:rPr>
                <w:sz w:val="19"/>
              </w:rPr>
            </w:pPr>
            <w:r>
              <w:rPr>
                <w:sz w:val="19"/>
              </w:rPr>
              <w:t>113 of 1965</w:t>
            </w:r>
          </w:p>
        </w:tc>
        <w:tc>
          <w:tcPr>
            <w:tcW w:w="1134" w:type="dxa"/>
          </w:tcPr>
          <w:p w:rsidR="00EE3176" w:rsidRDefault="008417CF">
            <w:pPr>
              <w:pStyle w:val="nTable"/>
              <w:spacing w:before="120"/>
              <w:rPr>
                <w:sz w:val="19"/>
              </w:rPr>
            </w:pPr>
            <w:r>
              <w:rPr>
                <w:sz w:val="19"/>
              </w:rPr>
              <w:t>21 Dec 1965</w:t>
            </w:r>
          </w:p>
        </w:tc>
        <w:tc>
          <w:tcPr>
            <w:tcW w:w="2552" w:type="dxa"/>
          </w:tcPr>
          <w:p w:rsidR="00EE3176" w:rsidRDefault="008417CF">
            <w:pPr>
              <w:pStyle w:val="nTable"/>
              <w:spacing w:before="120"/>
              <w:rPr>
                <w:sz w:val="19"/>
              </w:rPr>
            </w:pPr>
            <w:r>
              <w:rPr>
                <w:sz w:val="19"/>
              </w:rPr>
              <w:t xml:space="preserve">s. 4-9: 14 Feb 1966 (see s. 2(2)); </w:t>
            </w:r>
            <w:r>
              <w:rPr>
                <w:sz w:val="19"/>
              </w:rPr>
              <w:br/>
              <w:t>balance: 21 Dec 1965 (see s. 2(1))</w:t>
            </w:r>
          </w:p>
        </w:tc>
      </w:tr>
      <w:tr w:rsidR="00EE3176">
        <w:trPr>
          <w:cantSplit/>
        </w:trPr>
        <w:tc>
          <w:tcPr>
            <w:tcW w:w="2268" w:type="dxa"/>
          </w:tcPr>
          <w:p w:rsidR="00EE3176" w:rsidRDefault="008417CF">
            <w:pPr>
              <w:pStyle w:val="nTable"/>
              <w:spacing w:before="120"/>
              <w:ind w:right="113"/>
              <w:rPr>
                <w:sz w:val="19"/>
              </w:rPr>
            </w:pPr>
            <w:r>
              <w:rPr>
                <w:i/>
                <w:sz w:val="19"/>
              </w:rPr>
              <w:t>Anzac Day Act Amendment Act 1970</w:t>
            </w:r>
          </w:p>
        </w:tc>
        <w:tc>
          <w:tcPr>
            <w:tcW w:w="1134" w:type="dxa"/>
          </w:tcPr>
          <w:p w:rsidR="00EE3176" w:rsidRDefault="008417CF">
            <w:pPr>
              <w:pStyle w:val="nTable"/>
              <w:spacing w:before="120"/>
              <w:rPr>
                <w:sz w:val="19"/>
              </w:rPr>
            </w:pPr>
            <w:r>
              <w:rPr>
                <w:sz w:val="19"/>
              </w:rPr>
              <w:t>2 of 1970</w:t>
            </w:r>
          </w:p>
        </w:tc>
        <w:tc>
          <w:tcPr>
            <w:tcW w:w="1134" w:type="dxa"/>
          </w:tcPr>
          <w:p w:rsidR="00EE3176" w:rsidRDefault="008417CF">
            <w:pPr>
              <w:pStyle w:val="nTable"/>
              <w:spacing w:before="120"/>
              <w:rPr>
                <w:sz w:val="19"/>
              </w:rPr>
            </w:pPr>
            <w:r>
              <w:rPr>
                <w:sz w:val="19"/>
              </w:rPr>
              <w:t>29 Apr 1970</w:t>
            </w:r>
          </w:p>
        </w:tc>
        <w:tc>
          <w:tcPr>
            <w:tcW w:w="2552" w:type="dxa"/>
          </w:tcPr>
          <w:p w:rsidR="00EE3176" w:rsidRDefault="008417CF">
            <w:pPr>
              <w:pStyle w:val="nTable"/>
              <w:spacing w:before="120"/>
              <w:rPr>
                <w:sz w:val="19"/>
              </w:rPr>
            </w:pPr>
            <w:r>
              <w:rPr>
                <w:sz w:val="19"/>
              </w:rPr>
              <w:t>29 Apr 1970</w:t>
            </w:r>
          </w:p>
        </w:tc>
      </w:tr>
      <w:tr w:rsidR="00EE3176">
        <w:trPr>
          <w:cantSplit/>
        </w:trPr>
        <w:tc>
          <w:tcPr>
            <w:tcW w:w="7088" w:type="dxa"/>
            <w:gridSpan w:val="4"/>
          </w:tcPr>
          <w:p w:rsidR="00EE3176" w:rsidRDefault="008417CF">
            <w:pPr>
              <w:pStyle w:val="nTable"/>
              <w:spacing w:before="12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rsidR="00EE3176">
        <w:trPr>
          <w:cantSplit/>
        </w:trPr>
        <w:tc>
          <w:tcPr>
            <w:tcW w:w="2268" w:type="dxa"/>
          </w:tcPr>
          <w:p w:rsidR="00EE3176" w:rsidRDefault="008417CF">
            <w:pPr>
              <w:pStyle w:val="nTable"/>
              <w:spacing w:before="120"/>
              <w:ind w:right="113"/>
              <w:rPr>
                <w:sz w:val="19"/>
              </w:rPr>
            </w:pPr>
            <w:r>
              <w:rPr>
                <w:i/>
                <w:sz w:val="19"/>
              </w:rPr>
              <w:t>Anzac Day Act Amendment Act 1975</w:t>
            </w:r>
          </w:p>
        </w:tc>
        <w:tc>
          <w:tcPr>
            <w:tcW w:w="1134" w:type="dxa"/>
          </w:tcPr>
          <w:p w:rsidR="00EE3176" w:rsidRDefault="008417CF">
            <w:pPr>
              <w:pStyle w:val="nTable"/>
              <w:spacing w:before="120"/>
              <w:rPr>
                <w:sz w:val="19"/>
              </w:rPr>
            </w:pPr>
            <w:r>
              <w:rPr>
                <w:sz w:val="19"/>
              </w:rPr>
              <w:t>9 of 1975</w:t>
            </w:r>
          </w:p>
        </w:tc>
        <w:tc>
          <w:tcPr>
            <w:tcW w:w="1134" w:type="dxa"/>
          </w:tcPr>
          <w:p w:rsidR="00EE3176" w:rsidRDefault="008417CF">
            <w:pPr>
              <w:pStyle w:val="nTable"/>
              <w:spacing w:before="120"/>
              <w:rPr>
                <w:sz w:val="19"/>
              </w:rPr>
            </w:pPr>
            <w:r>
              <w:rPr>
                <w:sz w:val="19"/>
              </w:rPr>
              <w:t>9 May 1975</w:t>
            </w:r>
          </w:p>
        </w:tc>
        <w:tc>
          <w:tcPr>
            <w:tcW w:w="2552" w:type="dxa"/>
          </w:tcPr>
          <w:p w:rsidR="00EE3176" w:rsidRDefault="008417CF">
            <w:pPr>
              <w:pStyle w:val="nTable"/>
              <w:spacing w:before="120"/>
              <w:rPr>
                <w:sz w:val="19"/>
              </w:rPr>
            </w:pPr>
            <w:r>
              <w:rPr>
                <w:sz w:val="19"/>
              </w:rPr>
              <w:t>9 May 1975</w:t>
            </w:r>
          </w:p>
        </w:tc>
      </w:tr>
      <w:tr w:rsidR="00EE3176">
        <w:trPr>
          <w:cantSplit/>
        </w:trPr>
        <w:tc>
          <w:tcPr>
            <w:tcW w:w="2268" w:type="dxa"/>
          </w:tcPr>
          <w:p w:rsidR="00EE3176" w:rsidRDefault="008417CF">
            <w:pPr>
              <w:pStyle w:val="nTable"/>
              <w:spacing w:before="120"/>
              <w:ind w:right="113"/>
              <w:rPr>
                <w:sz w:val="19"/>
              </w:rPr>
            </w:pPr>
            <w:r>
              <w:rPr>
                <w:i/>
                <w:sz w:val="19"/>
              </w:rPr>
              <w:t>Anzac Day Act Amendment Act 1976</w:t>
            </w:r>
          </w:p>
        </w:tc>
        <w:tc>
          <w:tcPr>
            <w:tcW w:w="1134" w:type="dxa"/>
          </w:tcPr>
          <w:p w:rsidR="00EE3176" w:rsidRDefault="008417CF">
            <w:pPr>
              <w:pStyle w:val="nTable"/>
              <w:spacing w:before="120"/>
              <w:rPr>
                <w:sz w:val="19"/>
              </w:rPr>
            </w:pPr>
            <w:r>
              <w:rPr>
                <w:sz w:val="19"/>
              </w:rPr>
              <w:t>1 of 1976</w:t>
            </w:r>
          </w:p>
        </w:tc>
        <w:tc>
          <w:tcPr>
            <w:tcW w:w="1134" w:type="dxa"/>
          </w:tcPr>
          <w:p w:rsidR="00EE3176" w:rsidRDefault="008417CF">
            <w:pPr>
              <w:pStyle w:val="nTable"/>
              <w:spacing w:before="120"/>
              <w:rPr>
                <w:sz w:val="19"/>
              </w:rPr>
            </w:pPr>
            <w:r>
              <w:rPr>
                <w:sz w:val="19"/>
              </w:rPr>
              <w:t>12 Apr 1976</w:t>
            </w:r>
          </w:p>
        </w:tc>
        <w:tc>
          <w:tcPr>
            <w:tcW w:w="2552" w:type="dxa"/>
          </w:tcPr>
          <w:p w:rsidR="00EE3176" w:rsidRDefault="008417CF">
            <w:pPr>
              <w:pStyle w:val="nTable"/>
              <w:spacing w:before="120"/>
              <w:rPr>
                <w:sz w:val="19"/>
              </w:rPr>
            </w:pPr>
            <w:r>
              <w:rPr>
                <w:sz w:val="19"/>
              </w:rPr>
              <w:t>12 Apr 1976</w:t>
            </w:r>
          </w:p>
        </w:tc>
      </w:tr>
      <w:tr w:rsidR="00EE3176">
        <w:trPr>
          <w:cantSplit/>
        </w:trPr>
        <w:tc>
          <w:tcPr>
            <w:tcW w:w="2268" w:type="dxa"/>
          </w:tcPr>
          <w:p w:rsidR="00EE3176" w:rsidRDefault="008417CF">
            <w:pPr>
              <w:pStyle w:val="nTable"/>
              <w:spacing w:before="120"/>
              <w:ind w:right="113"/>
              <w:rPr>
                <w:sz w:val="19"/>
              </w:rPr>
            </w:pPr>
            <w:r>
              <w:rPr>
                <w:i/>
                <w:sz w:val="19"/>
              </w:rPr>
              <w:t>Acts Amendment (Betting Control) Act 1985</w:t>
            </w:r>
            <w:r>
              <w:rPr>
                <w:sz w:val="19"/>
              </w:rPr>
              <w:t xml:space="preserve"> Pt. III</w:t>
            </w:r>
          </w:p>
        </w:tc>
        <w:tc>
          <w:tcPr>
            <w:tcW w:w="1134" w:type="dxa"/>
          </w:tcPr>
          <w:p w:rsidR="00EE3176" w:rsidRDefault="008417CF">
            <w:pPr>
              <w:pStyle w:val="nTable"/>
              <w:spacing w:before="120"/>
              <w:rPr>
                <w:sz w:val="19"/>
              </w:rPr>
            </w:pPr>
            <w:r>
              <w:rPr>
                <w:sz w:val="19"/>
              </w:rPr>
              <w:t>34 of 1985</w:t>
            </w:r>
          </w:p>
        </w:tc>
        <w:tc>
          <w:tcPr>
            <w:tcW w:w="1134" w:type="dxa"/>
          </w:tcPr>
          <w:p w:rsidR="00EE3176" w:rsidRDefault="008417CF">
            <w:pPr>
              <w:pStyle w:val="nTable"/>
              <w:spacing w:before="120"/>
              <w:rPr>
                <w:sz w:val="19"/>
              </w:rPr>
            </w:pPr>
            <w:r>
              <w:rPr>
                <w:sz w:val="19"/>
              </w:rPr>
              <w:t>24 Apr 1985</w:t>
            </w:r>
          </w:p>
        </w:tc>
        <w:tc>
          <w:tcPr>
            <w:tcW w:w="2552" w:type="dxa"/>
          </w:tcPr>
          <w:p w:rsidR="00EE3176" w:rsidRDefault="008417CF">
            <w:pPr>
              <w:pStyle w:val="nTable"/>
              <w:spacing w:before="120"/>
              <w:rPr>
                <w:sz w:val="19"/>
              </w:rPr>
            </w:pPr>
            <w:r>
              <w:rPr>
                <w:sz w:val="19"/>
              </w:rPr>
              <w:t>24 Apr 1985 (see s. 2)</w:t>
            </w:r>
          </w:p>
        </w:tc>
      </w:tr>
      <w:tr w:rsidR="00EE3176">
        <w:trPr>
          <w:cantSplit/>
        </w:trPr>
        <w:tc>
          <w:tcPr>
            <w:tcW w:w="2268" w:type="dxa"/>
          </w:tcPr>
          <w:p w:rsidR="00EE3176" w:rsidRDefault="008417CF">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EE3176" w:rsidRDefault="008417CF">
            <w:pPr>
              <w:pStyle w:val="nTable"/>
              <w:spacing w:before="120"/>
              <w:rPr>
                <w:sz w:val="19"/>
              </w:rPr>
            </w:pPr>
            <w:r>
              <w:rPr>
                <w:sz w:val="19"/>
              </w:rPr>
              <w:t>98 of 1985</w:t>
            </w:r>
            <w:r>
              <w:rPr>
                <w:sz w:val="19"/>
              </w:rPr>
              <w:br/>
              <w:t>(as amended by No. 4 of 1986)</w:t>
            </w:r>
          </w:p>
        </w:tc>
        <w:tc>
          <w:tcPr>
            <w:tcW w:w="1134" w:type="dxa"/>
          </w:tcPr>
          <w:p w:rsidR="00EE3176" w:rsidRDefault="008417CF">
            <w:pPr>
              <w:pStyle w:val="nTable"/>
              <w:spacing w:before="120"/>
              <w:rPr>
                <w:sz w:val="19"/>
              </w:rPr>
            </w:pPr>
            <w:r>
              <w:rPr>
                <w:sz w:val="19"/>
              </w:rPr>
              <w:t>4 Dec 1985</w:t>
            </w:r>
          </w:p>
        </w:tc>
        <w:tc>
          <w:tcPr>
            <w:tcW w:w="2552" w:type="dxa"/>
          </w:tcPr>
          <w:p w:rsidR="00EE3176" w:rsidRDefault="008417CF">
            <w:pPr>
              <w:pStyle w:val="nTable"/>
              <w:spacing w:before="120"/>
              <w:rPr>
                <w:sz w:val="19"/>
              </w:rPr>
            </w:pPr>
            <w:r>
              <w:rPr>
                <w:sz w:val="19"/>
              </w:rPr>
              <w:t xml:space="preserve">1 Jul 1986 (see s. 2 and </w:t>
            </w:r>
            <w:r>
              <w:rPr>
                <w:i/>
                <w:sz w:val="19"/>
              </w:rPr>
              <w:t>Gazette</w:t>
            </w:r>
            <w:r>
              <w:rPr>
                <w:sz w:val="19"/>
              </w:rPr>
              <w:t xml:space="preserve"> 30 Jun 1986 p. 2255)</w:t>
            </w:r>
          </w:p>
        </w:tc>
      </w:tr>
      <w:tr w:rsidR="00EE3176">
        <w:trPr>
          <w:cantSplit/>
        </w:trPr>
        <w:tc>
          <w:tcPr>
            <w:tcW w:w="2268" w:type="dxa"/>
          </w:tcPr>
          <w:p w:rsidR="00EE3176" w:rsidRDefault="008417CF">
            <w:pPr>
              <w:pStyle w:val="nTable"/>
              <w:spacing w:before="120"/>
              <w:ind w:right="113"/>
              <w:rPr>
                <w:sz w:val="19"/>
              </w:rPr>
            </w:pPr>
            <w:r>
              <w:rPr>
                <w:i/>
                <w:sz w:val="19"/>
              </w:rPr>
              <w:t>Local Government (Consequential Amendments) Act 1996</w:t>
            </w:r>
            <w:r>
              <w:rPr>
                <w:sz w:val="19"/>
              </w:rPr>
              <w:t xml:space="preserve"> s. 4</w:t>
            </w:r>
          </w:p>
        </w:tc>
        <w:tc>
          <w:tcPr>
            <w:tcW w:w="1134" w:type="dxa"/>
          </w:tcPr>
          <w:p w:rsidR="00EE3176" w:rsidRDefault="008417CF">
            <w:pPr>
              <w:pStyle w:val="nTable"/>
              <w:spacing w:before="120"/>
              <w:rPr>
                <w:sz w:val="19"/>
              </w:rPr>
            </w:pPr>
            <w:r>
              <w:rPr>
                <w:sz w:val="19"/>
              </w:rPr>
              <w:t>14 of 1996</w:t>
            </w:r>
          </w:p>
        </w:tc>
        <w:tc>
          <w:tcPr>
            <w:tcW w:w="1134" w:type="dxa"/>
          </w:tcPr>
          <w:p w:rsidR="00EE3176" w:rsidRDefault="008417CF">
            <w:pPr>
              <w:pStyle w:val="nTable"/>
              <w:spacing w:before="120"/>
              <w:rPr>
                <w:sz w:val="19"/>
              </w:rPr>
            </w:pPr>
            <w:r>
              <w:rPr>
                <w:sz w:val="19"/>
              </w:rPr>
              <w:t>28 Jun 1996</w:t>
            </w:r>
          </w:p>
        </w:tc>
        <w:tc>
          <w:tcPr>
            <w:tcW w:w="2552" w:type="dxa"/>
          </w:tcPr>
          <w:p w:rsidR="00EE3176" w:rsidRDefault="008417CF">
            <w:pPr>
              <w:pStyle w:val="nTable"/>
              <w:spacing w:before="120"/>
              <w:rPr>
                <w:sz w:val="19"/>
              </w:rPr>
            </w:pPr>
            <w:r>
              <w:rPr>
                <w:sz w:val="19"/>
              </w:rPr>
              <w:t>1 Jul 1996 (see s. 2)</w:t>
            </w:r>
          </w:p>
        </w:tc>
      </w:tr>
      <w:tr w:rsidR="00EE3176">
        <w:trPr>
          <w:cantSplit/>
        </w:trPr>
        <w:tc>
          <w:tcPr>
            <w:tcW w:w="2268" w:type="dxa"/>
          </w:tcPr>
          <w:p w:rsidR="00EE3176" w:rsidRDefault="008417CF">
            <w:pPr>
              <w:pStyle w:val="nTable"/>
              <w:spacing w:before="120" w:after="60"/>
              <w:ind w:right="113"/>
              <w:rPr>
                <w:sz w:val="19"/>
              </w:rPr>
            </w:pPr>
            <w:r>
              <w:rPr>
                <w:i/>
                <w:sz w:val="19"/>
              </w:rPr>
              <w:t>Financial Legislation Amendment Act 1996</w:t>
            </w:r>
            <w:r>
              <w:rPr>
                <w:sz w:val="19"/>
              </w:rPr>
              <w:t xml:space="preserve"> s. 64 </w:t>
            </w:r>
          </w:p>
        </w:tc>
        <w:tc>
          <w:tcPr>
            <w:tcW w:w="1134" w:type="dxa"/>
          </w:tcPr>
          <w:p w:rsidR="00EE3176" w:rsidRDefault="008417CF">
            <w:pPr>
              <w:pStyle w:val="nTable"/>
              <w:spacing w:before="120"/>
              <w:rPr>
                <w:sz w:val="19"/>
              </w:rPr>
            </w:pPr>
            <w:r>
              <w:rPr>
                <w:sz w:val="19"/>
              </w:rPr>
              <w:t>49 of 1996</w:t>
            </w:r>
          </w:p>
        </w:tc>
        <w:tc>
          <w:tcPr>
            <w:tcW w:w="1134" w:type="dxa"/>
          </w:tcPr>
          <w:p w:rsidR="00EE3176" w:rsidRDefault="008417CF">
            <w:pPr>
              <w:pStyle w:val="nTable"/>
              <w:spacing w:before="120"/>
              <w:rPr>
                <w:sz w:val="19"/>
              </w:rPr>
            </w:pPr>
            <w:r>
              <w:rPr>
                <w:sz w:val="19"/>
              </w:rPr>
              <w:t>25 Oct 1996</w:t>
            </w:r>
          </w:p>
        </w:tc>
        <w:tc>
          <w:tcPr>
            <w:tcW w:w="2552" w:type="dxa"/>
          </w:tcPr>
          <w:p w:rsidR="00EE3176" w:rsidRDefault="008417CF">
            <w:pPr>
              <w:pStyle w:val="nTable"/>
              <w:spacing w:before="120"/>
              <w:rPr>
                <w:sz w:val="19"/>
              </w:rPr>
            </w:pPr>
            <w:r>
              <w:rPr>
                <w:sz w:val="19"/>
              </w:rPr>
              <w:t>25 Oct 1996 (see s. 2(1))</w:t>
            </w:r>
          </w:p>
        </w:tc>
      </w:tr>
      <w:tr w:rsidR="00EE3176">
        <w:trPr>
          <w:cantSplit/>
        </w:trPr>
        <w:tc>
          <w:tcPr>
            <w:tcW w:w="7088" w:type="dxa"/>
            <w:gridSpan w:val="4"/>
          </w:tcPr>
          <w:p w:rsidR="00EE3176" w:rsidRDefault="008417CF">
            <w:pPr>
              <w:pStyle w:val="nTable"/>
              <w:spacing w:before="120"/>
              <w:rPr>
                <w:sz w:val="19"/>
              </w:rPr>
            </w:pPr>
            <w:r>
              <w:rPr>
                <w:b/>
                <w:sz w:val="19"/>
              </w:rPr>
              <w:t xml:space="preserve">Reprint of the </w:t>
            </w:r>
            <w:r>
              <w:rPr>
                <w:b/>
                <w:i/>
                <w:sz w:val="19"/>
              </w:rPr>
              <w:t>Anzac Day Act 1960</w:t>
            </w:r>
            <w:r>
              <w:rPr>
                <w:b/>
                <w:sz w:val="19"/>
              </w:rPr>
              <w:t xml:space="preserve"> as at 24 May 2002</w:t>
            </w:r>
            <w:r>
              <w:rPr>
                <w:sz w:val="19"/>
              </w:rPr>
              <w:t xml:space="preserve"> </w:t>
            </w:r>
            <w:r>
              <w:rPr>
                <w:sz w:val="19"/>
              </w:rPr>
              <w:br/>
              <w:t>(includes amendments listed above)</w:t>
            </w:r>
          </w:p>
        </w:tc>
      </w:tr>
      <w:tr w:rsidR="00EE3176">
        <w:trPr>
          <w:cantSplit/>
        </w:trPr>
        <w:tc>
          <w:tcPr>
            <w:tcW w:w="2268" w:type="dxa"/>
          </w:tcPr>
          <w:p w:rsidR="00EE3176" w:rsidRDefault="008417CF">
            <w:pPr>
              <w:pStyle w:val="nTable"/>
              <w:spacing w:before="120" w:after="60"/>
              <w:ind w:right="113"/>
              <w:rPr>
                <w:sz w:val="19"/>
              </w:rPr>
            </w:pPr>
            <w:r>
              <w:rPr>
                <w:i/>
                <w:sz w:val="19"/>
              </w:rPr>
              <w:t>Acts Amendment (Equality of Status) Act 2003</w:t>
            </w:r>
            <w:r>
              <w:rPr>
                <w:sz w:val="19"/>
              </w:rPr>
              <w:t xml:space="preserve"> Pt. 3</w:t>
            </w:r>
          </w:p>
        </w:tc>
        <w:tc>
          <w:tcPr>
            <w:tcW w:w="1134" w:type="dxa"/>
          </w:tcPr>
          <w:p w:rsidR="00EE3176" w:rsidRDefault="008417CF">
            <w:pPr>
              <w:pStyle w:val="nTable"/>
              <w:spacing w:before="120"/>
              <w:rPr>
                <w:sz w:val="19"/>
              </w:rPr>
            </w:pPr>
            <w:r>
              <w:rPr>
                <w:sz w:val="19"/>
              </w:rPr>
              <w:t>28 of 2003</w:t>
            </w:r>
          </w:p>
        </w:tc>
        <w:tc>
          <w:tcPr>
            <w:tcW w:w="1134" w:type="dxa"/>
          </w:tcPr>
          <w:p w:rsidR="00EE3176" w:rsidRDefault="008417CF">
            <w:pPr>
              <w:pStyle w:val="nTable"/>
              <w:spacing w:before="120"/>
              <w:rPr>
                <w:sz w:val="19"/>
              </w:rPr>
            </w:pPr>
            <w:r>
              <w:rPr>
                <w:sz w:val="19"/>
              </w:rPr>
              <w:t>22 May 2003</w:t>
            </w:r>
          </w:p>
        </w:tc>
        <w:tc>
          <w:tcPr>
            <w:tcW w:w="2552" w:type="dxa"/>
          </w:tcPr>
          <w:p w:rsidR="00EE3176" w:rsidRDefault="008417CF">
            <w:pPr>
              <w:pStyle w:val="nTable"/>
              <w:spacing w:before="120"/>
              <w:rPr>
                <w:sz w:val="19"/>
              </w:rPr>
            </w:pPr>
            <w:r>
              <w:rPr>
                <w:sz w:val="19"/>
              </w:rPr>
              <w:t xml:space="preserve">1 Jul 2003 (see s. 2 and </w:t>
            </w:r>
            <w:r>
              <w:rPr>
                <w:i/>
                <w:sz w:val="19"/>
              </w:rPr>
              <w:t>Gazette</w:t>
            </w:r>
            <w:r>
              <w:rPr>
                <w:sz w:val="19"/>
              </w:rPr>
              <w:t xml:space="preserve"> 30 Jun 2003 p. 2579)</w:t>
            </w:r>
          </w:p>
        </w:tc>
      </w:tr>
      <w:tr w:rsidR="00EE3176">
        <w:trPr>
          <w:cantSplit/>
        </w:trPr>
        <w:tc>
          <w:tcPr>
            <w:tcW w:w="2268" w:type="dxa"/>
          </w:tcPr>
          <w:p w:rsidR="00EE3176" w:rsidRDefault="008417CF">
            <w:pPr>
              <w:pStyle w:val="nTable"/>
              <w:spacing w:before="120" w:after="60"/>
              <w:ind w:right="113"/>
              <w:rPr>
                <w:i/>
                <w:sz w:val="19"/>
              </w:rPr>
            </w:pPr>
            <w:r>
              <w:rPr>
                <w:i/>
                <w:sz w:val="19"/>
              </w:rPr>
              <w:t>Racing and Gambling Legislation Amendment and Repeal Act 2003</w:t>
            </w:r>
            <w:r>
              <w:rPr>
                <w:sz w:val="19"/>
              </w:rPr>
              <w:t xml:space="preserve"> s. 73</w:t>
            </w:r>
            <w:r>
              <w:rPr>
                <w:sz w:val="19"/>
                <w:vertAlign w:val="superscript"/>
              </w:rPr>
              <w:t> 4</w:t>
            </w:r>
          </w:p>
        </w:tc>
        <w:tc>
          <w:tcPr>
            <w:tcW w:w="1134" w:type="dxa"/>
          </w:tcPr>
          <w:p w:rsidR="00EE3176" w:rsidRDefault="008417CF">
            <w:pPr>
              <w:pStyle w:val="nTable"/>
              <w:spacing w:before="120"/>
              <w:rPr>
                <w:sz w:val="19"/>
              </w:rPr>
            </w:pPr>
            <w:r>
              <w:rPr>
                <w:sz w:val="19"/>
              </w:rPr>
              <w:t>35 of 2003</w:t>
            </w:r>
          </w:p>
        </w:tc>
        <w:tc>
          <w:tcPr>
            <w:tcW w:w="1134" w:type="dxa"/>
          </w:tcPr>
          <w:p w:rsidR="00EE3176" w:rsidRDefault="008417CF">
            <w:pPr>
              <w:pStyle w:val="nTable"/>
              <w:spacing w:before="120"/>
              <w:rPr>
                <w:sz w:val="19"/>
              </w:rPr>
            </w:pPr>
            <w:r>
              <w:rPr>
                <w:sz w:val="19"/>
              </w:rPr>
              <w:t>26 Jun 2003</w:t>
            </w:r>
          </w:p>
        </w:tc>
        <w:tc>
          <w:tcPr>
            <w:tcW w:w="2552" w:type="dxa"/>
          </w:tcPr>
          <w:p w:rsidR="00EE3176" w:rsidRDefault="008417CF">
            <w:pPr>
              <w:pStyle w:val="nTable"/>
              <w:spacing w:before="120"/>
              <w:rPr>
                <w:sz w:val="19"/>
              </w:rPr>
            </w:pPr>
            <w:r>
              <w:rPr>
                <w:sz w:val="19"/>
              </w:rPr>
              <w:t xml:space="preserve">1 Aug 2003 (see s. 2 and </w:t>
            </w:r>
            <w:r>
              <w:rPr>
                <w:i/>
                <w:sz w:val="19"/>
              </w:rPr>
              <w:t>Gazette</w:t>
            </w:r>
            <w:r>
              <w:rPr>
                <w:sz w:val="19"/>
              </w:rPr>
              <w:t xml:space="preserve"> 29 Jul 2003 p. 3259)</w:t>
            </w:r>
          </w:p>
        </w:tc>
      </w:tr>
      <w:tr w:rsidR="00EE3176">
        <w:trPr>
          <w:cantSplit/>
        </w:trPr>
        <w:tc>
          <w:tcPr>
            <w:tcW w:w="2268" w:type="dxa"/>
          </w:tcPr>
          <w:p w:rsidR="00EE3176" w:rsidRDefault="008417CF">
            <w:pPr>
              <w:pStyle w:val="nTable"/>
              <w:spacing w:before="120" w:after="60"/>
              <w:ind w:right="113"/>
              <w:rPr>
                <w:i/>
                <w:sz w:val="19"/>
              </w:rPr>
            </w:pPr>
            <w:r>
              <w:rPr>
                <w:i/>
                <w:sz w:val="19"/>
              </w:rPr>
              <w:t>Anzac Day Amendment Act 2003</w:t>
            </w:r>
          </w:p>
        </w:tc>
        <w:tc>
          <w:tcPr>
            <w:tcW w:w="1134" w:type="dxa"/>
          </w:tcPr>
          <w:p w:rsidR="00EE3176" w:rsidRDefault="008417CF">
            <w:pPr>
              <w:pStyle w:val="nTable"/>
              <w:spacing w:before="120"/>
              <w:rPr>
                <w:sz w:val="19"/>
              </w:rPr>
            </w:pPr>
            <w:r>
              <w:rPr>
                <w:sz w:val="19"/>
              </w:rPr>
              <w:t>62 of 2003</w:t>
            </w:r>
          </w:p>
        </w:tc>
        <w:tc>
          <w:tcPr>
            <w:tcW w:w="1134" w:type="dxa"/>
          </w:tcPr>
          <w:p w:rsidR="00EE3176" w:rsidRDefault="008417CF">
            <w:pPr>
              <w:pStyle w:val="nTable"/>
              <w:spacing w:before="120"/>
              <w:rPr>
                <w:sz w:val="19"/>
              </w:rPr>
            </w:pPr>
            <w:r>
              <w:rPr>
                <w:sz w:val="19"/>
              </w:rPr>
              <w:t>26 Nov 2003</w:t>
            </w:r>
          </w:p>
        </w:tc>
        <w:tc>
          <w:tcPr>
            <w:tcW w:w="2552" w:type="dxa"/>
          </w:tcPr>
          <w:p w:rsidR="00EE3176" w:rsidRDefault="008417CF">
            <w:pPr>
              <w:pStyle w:val="nTable"/>
              <w:spacing w:before="120"/>
              <w:rPr>
                <w:sz w:val="19"/>
              </w:rPr>
            </w:pPr>
            <w:r>
              <w:rPr>
                <w:sz w:val="19"/>
              </w:rPr>
              <w:t>26 Nov 2003 (see s. 2)</w:t>
            </w:r>
          </w:p>
        </w:tc>
      </w:tr>
      <w:tr w:rsidR="00EE3176">
        <w:trPr>
          <w:cantSplit/>
        </w:trPr>
        <w:tc>
          <w:tcPr>
            <w:tcW w:w="2268" w:type="dxa"/>
            <w:tcBorders>
              <w:bottom w:val="single" w:sz="4" w:space="0" w:color="auto"/>
            </w:tcBorders>
          </w:tcPr>
          <w:p w:rsidR="00EE3176" w:rsidRDefault="008417CF">
            <w:pPr>
              <w:pStyle w:val="nTable"/>
              <w:spacing w:before="120" w:after="6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rsidR="00EE3176" w:rsidRDefault="008417CF">
            <w:pPr>
              <w:pStyle w:val="nTable"/>
              <w:spacing w:before="120"/>
              <w:rPr>
                <w:sz w:val="19"/>
              </w:rPr>
            </w:pPr>
            <w:r>
              <w:rPr>
                <w:snapToGrid w:val="0"/>
                <w:sz w:val="19"/>
                <w:lang w:val="en-US"/>
              </w:rPr>
              <w:t>38 of 2005</w:t>
            </w:r>
          </w:p>
        </w:tc>
        <w:tc>
          <w:tcPr>
            <w:tcW w:w="1134" w:type="dxa"/>
            <w:tcBorders>
              <w:bottom w:val="single" w:sz="4" w:space="0" w:color="auto"/>
            </w:tcBorders>
          </w:tcPr>
          <w:p w:rsidR="00EE3176" w:rsidRDefault="008417CF">
            <w:pPr>
              <w:pStyle w:val="nTable"/>
              <w:spacing w:before="120"/>
              <w:rPr>
                <w:sz w:val="19"/>
              </w:rPr>
            </w:pPr>
            <w:r>
              <w:rPr>
                <w:sz w:val="19"/>
              </w:rPr>
              <w:t>12 Dec 2005</w:t>
            </w:r>
          </w:p>
        </w:tc>
        <w:tc>
          <w:tcPr>
            <w:tcW w:w="2552" w:type="dxa"/>
            <w:tcBorders>
              <w:bottom w:val="single" w:sz="4" w:space="0" w:color="auto"/>
            </w:tcBorders>
          </w:tcPr>
          <w:p w:rsidR="00EE3176" w:rsidRDefault="008417CF">
            <w:pPr>
              <w:pStyle w:val="nTable"/>
              <w:spacing w:before="120"/>
              <w:rPr>
                <w:sz w:val="19"/>
              </w:rPr>
            </w:pPr>
            <w:r>
              <w:rPr>
                <w:sz w:val="19"/>
              </w:rPr>
              <w:t xml:space="preserve">9 Apr 2006 (see s. 2 and </w:t>
            </w:r>
            <w:r>
              <w:rPr>
                <w:i/>
                <w:iCs/>
                <w:sz w:val="19"/>
              </w:rPr>
              <w:t>Gazette</w:t>
            </w:r>
            <w:r>
              <w:rPr>
                <w:sz w:val="19"/>
              </w:rPr>
              <w:t xml:space="preserve"> 21 Mar 2006 p. 1078)</w:t>
            </w:r>
          </w:p>
        </w:tc>
      </w:tr>
    </w:tbl>
    <w:p w:rsidR="00EE3176" w:rsidRDefault="008417CF">
      <w:pPr>
        <w:pStyle w:val="nSubsection"/>
        <w:keepNext/>
        <w:rPr>
          <w:snapToGrid w:val="0"/>
        </w:rPr>
      </w:pPr>
      <w:r>
        <w:rPr>
          <w:snapToGrid w:val="0"/>
          <w:vertAlign w:val="superscript"/>
        </w:rPr>
        <w:t>2</w:t>
      </w:r>
      <w:r>
        <w:rPr>
          <w:snapToGrid w:val="0"/>
        </w:rPr>
        <w:tab/>
        <w:t>Footnote no longer applicable.</w:t>
      </w:r>
      <w:bookmarkStart w:id="52" w:name="UpToHere"/>
      <w:bookmarkEnd w:id="52"/>
    </w:p>
    <w:p w:rsidR="00EE3176" w:rsidRDefault="008417CF">
      <w:pPr>
        <w:pStyle w:val="nSubsection"/>
        <w:keepNext/>
        <w:rPr>
          <w:snapToGrid w:val="0"/>
        </w:rPr>
      </w:pPr>
      <w:r>
        <w:rPr>
          <w:snapToGrid w:val="0"/>
          <w:vertAlign w:val="superscript"/>
        </w:rPr>
        <w:t>3</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rsidR="00EE3176" w:rsidRDefault="008417CF">
      <w:pPr>
        <w:pStyle w:val="nSubsection"/>
      </w:pPr>
      <w:r>
        <w:rPr>
          <w:vertAlign w:val="superscript"/>
        </w:rPr>
        <w:t>4</w:t>
      </w:r>
      <w:r>
        <w:tab/>
        <w:t xml:space="preserve">The </w:t>
      </w:r>
      <w:r>
        <w:rPr>
          <w:i/>
        </w:rPr>
        <w:t>Racing and Gambling Legislation Amendment and Repeal Act 2003</w:t>
      </w:r>
      <w:r>
        <w:t xml:space="preserve"> s. 19 reads as follows:</w:t>
      </w:r>
    </w:p>
    <w:p w:rsidR="00EE3176" w:rsidRDefault="008417CF">
      <w:pPr>
        <w:pStyle w:val="MiscOpen"/>
      </w:pPr>
      <w:r>
        <w:t>“</w:t>
      </w:r>
    </w:p>
    <w:p w:rsidR="00EE3176" w:rsidRDefault="008417CF">
      <w:pPr>
        <w:pStyle w:val="nzHeading5"/>
      </w:pPr>
      <w:bookmarkStart w:id="53" w:name="_Toc20219085"/>
      <w:bookmarkStart w:id="54" w:name="_Toc20710666"/>
      <w:bookmarkStart w:id="55" w:name="_Toc22632825"/>
      <w:bookmarkStart w:id="56" w:name="_Toc44146574"/>
      <w:r>
        <w:rPr>
          <w:rStyle w:val="CharSectno"/>
        </w:rPr>
        <w:t>19</w:t>
      </w:r>
      <w:r>
        <w:t>.</w:t>
      </w:r>
      <w:r>
        <w:tab/>
        <w:t>Power to amend regulations</w:t>
      </w:r>
      <w:bookmarkEnd w:id="53"/>
      <w:bookmarkEnd w:id="54"/>
      <w:bookmarkEnd w:id="55"/>
      <w:bookmarkEnd w:id="56"/>
      <w:r>
        <w:t xml:space="preserve"> </w:t>
      </w:r>
    </w:p>
    <w:p w:rsidR="00EE3176" w:rsidRDefault="008417CF">
      <w:pPr>
        <w:pStyle w:val="nzSubsection"/>
      </w:pPr>
      <w:r>
        <w:tab/>
        <w:t>(1)</w:t>
      </w:r>
      <w:r>
        <w:tab/>
        <w:t>The Governor, on the recommendation of the Minister, may make regulations amending subsidiary legislation made under any Act.</w:t>
      </w:r>
    </w:p>
    <w:p w:rsidR="00EE3176" w:rsidRDefault="008417CF">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EE3176" w:rsidRDefault="008417CF">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EE3176" w:rsidRDefault="008417CF">
      <w:pPr>
        <w:pStyle w:val="MiscClose"/>
      </w:pPr>
      <w:r>
        <w:t>”.</w:t>
      </w:r>
    </w:p>
    <w:p w:rsidR="00EE3176" w:rsidRDefault="00EE3176"/>
    <w:p w:rsidR="00EE3176" w:rsidRDefault="00EE3176">
      <w:pPr>
        <w:sectPr w:rsidR="00EE317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EE3176" w:rsidRDefault="00EE3176"/>
    <w:sectPr w:rsidR="00EE3176">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176" w:rsidRDefault="008417CF">
      <w:r>
        <w:separator/>
      </w:r>
    </w:p>
  </w:endnote>
  <w:endnote w:type="continuationSeparator" w:id="0">
    <w:p w:rsidR="00EE3176" w:rsidRDefault="00841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p>
  <w:p w:rsidR="00EE3176" w:rsidRDefault="008417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rsidR="00EE3176" w:rsidRDefault="008417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rsidR="00EE3176" w:rsidRDefault="008417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p>
  <w:p w:rsidR="00EE3176" w:rsidRDefault="008417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E3176" w:rsidRDefault="008417C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0D8F">
      <w:rPr>
        <w:rStyle w:val="PageNumber"/>
        <w:rFonts w:ascii="Arial" w:hAnsi="Arial" w:cs="Arial"/>
        <w:noProof/>
      </w:rPr>
      <w:t>i</w:t>
    </w:r>
    <w:r>
      <w:rPr>
        <w:rStyle w:val="PageNumber"/>
        <w:rFonts w:ascii="Arial" w:hAnsi="Arial" w:cs="Arial"/>
      </w:rPr>
      <w:fldChar w:fldCharType="end"/>
    </w:r>
  </w:p>
  <w:p w:rsidR="00EE3176" w:rsidRDefault="008417C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0D8F">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rsidR="00EE3176" w:rsidRDefault="008417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0D8F">
      <w:rPr>
        <w:rStyle w:val="CharPageNo"/>
        <w:rFonts w:ascii="Arial" w:hAnsi="Arial"/>
        <w:noProof/>
      </w:rPr>
      <w:t>13</w:t>
    </w:r>
    <w:r>
      <w:rPr>
        <w:rStyle w:val="CharPageNo"/>
        <w:rFonts w:ascii="Arial" w:hAnsi="Arial"/>
      </w:rPr>
      <w:fldChar w:fldCharType="end"/>
    </w:r>
  </w:p>
  <w:p w:rsidR="00EE3176" w:rsidRDefault="008417C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Footer"/>
      <w:tabs>
        <w:tab w:val="clear" w:pos="4153"/>
        <w:tab w:val="right" w:pos="7088"/>
      </w:tabs>
      <w:rPr>
        <w:rStyle w:val="PageNumber"/>
      </w:rPr>
    </w:pPr>
  </w:p>
  <w:p w:rsidR="00EE3176" w:rsidRDefault="00841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0D8F">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0D8F">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0D8F">
      <w:rPr>
        <w:rStyle w:val="CharPageNo"/>
        <w:rFonts w:ascii="Arial" w:hAnsi="Arial"/>
        <w:noProof/>
      </w:rPr>
      <w:t>1</w:t>
    </w:r>
    <w:r>
      <w:rPr>
        <w:rStyle w:val="CharPageNo"/>
        <w:rFonts w:ascii="Arial" w:hAnsi="Arial"/>
      </w:rPr>
      <w:fldChar w:fldCharType="end"/>
    </w:r>
  </w:p>
  <w:p w:rsidR="00EE3176" w:rsidRDefault="008417C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176" w:rsidRDefault="008417CF">
      <w:r>
        <w:separator/>
      </w:r>
    </w:p>
  </w:footnote>
  <w:footnote w:type="continuationSeparator" w:id="0">
    <w:p w:rsidR="00EE3176" w:rsidRDefault="00841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3176">
      <w:trPr>
        <w:cantSplit/>
      </w:trPr>
      <w:tc>
        <w:tcPr>
          <w:tcW w:w="7312" w:type="dxa"/>
          <w:gridSpan w:val="2"/>
        </w:tcPr>
        <w:p w:rsidR="00EE3176" w:rsidRDefault="008417CF">
          <w:pPr>
            <w:pStyle w:val="HeaderActNameLeft"/>
          </w:pPr>
          <w:r>
            <w:rPr>
              <w:i w:val="0"/>
            </w:rPr>
            <w:fldChar w:fldCharType="begin"/>
          </w:r>
          <w:r>
            <w:rPr>
              <w:i w:val="0"/>
            </w:rPr>
            <w:instrText xml:space="preserve"> Styleref "Name of Act/Reg" </w:instrText>
          </w:r>
          <w:r>
            <w:rPr>
              <w:i w:val="0"/>
            </w:rPr>
            <w:fldChar w:fldCharType="separate"/>
          </w:r>
          <w:r w:rsidR="00C80D8F">
            <w:rPr>
              <w:i w:val="0"/>
              <w:noProof/>
            </w:rPr>
            <w:t>Anzac Day Act 1960</w:t>
          </w:r>
          <w:r>
            <w:rPr>
              <w:i w:val="0"/>
            </w:rPr>
            <w:fldChar w:fldCharType="end"/>
          </w:r>
        </w:p>
      </w:tc>
    </w:tr>
    <w:tr w:rsidR="00EE3176">
      <w:tc>
        <w:tcPr>
          <w:tcW w:w="1548" w:type="dxa"/>
        </w:tcPr>
        <w:p w:rsidR="00EE3176" w:rsidRDefault="00EE3176">
          <w:pPr>
            <w:pStyle w:val="HeaderNumberLeft"/>
          </w:pPr>
        </w:p>
      </w:tc>
      <w:tc>
        <w:tcPr>
          <w:tcW w:w="5764" w:type="dxa"/>
        </w:tcPr>
        <w:p w:rsidR="00EE3176" w:rsidRDefault="00EE3176">
          <w:pPr>
            <w:pStyle w:val="HeaderTextLeft"/>
          </w:pPr>
        </w:p>
      </w:tc>
    </w:tr>
    <w:tr w:rsidR="00EE3176">
      <w:tc>
        <w:tcPr>
          <w:tcW w:w="1548" w:type="dxa"/>
        </w:tcPr>
        <w:p w:rsidR="00EE3176" w:rsidRDefault="00EE3176">
          <w:pPr>
            <w:pStyle w:val="HeaderNumberLeft"/>
          </w:pPr>
        </w:p>
      </w:tc>
      <w:tc>
        <w:tcPr>
          <w:tcW w:w="5764" w:type="dxa"/>
        </w:tcPr>
        <w:p w:rsidR="00EE3176" w:rsidRDefault="00EE3176">
          <w:pPr>
            <w:pStyle w:val="HeaderTextLeft"/>
          </w:pPr>
        </w:p>
      </w:tc>
    </w:tr>
    <w:tr w:rsidR="00EE3176">
      <w:trPr>
        <w:cantSplit/>
      </w:trPr>
      <w:tc>
        <w:tcPr>
          <w:tcW w:w="7312" w:type="dxa"/>
          <w:gridSpan w:val="2"/>
        </w:tcPr>
        <w:p w:rsidR="00EE3176" w:rsidRDefault="00EE3176">
          <w:pPr>
            <w:pStyle w:val="HeaderSectionLeft"/>
          </w:pPr>
        </w:p>
      </w:tc>
    </w:tr>
  </w:tbl>
  <w:p w:rsidR="00EE3176" w:rsidRDefault="00EE31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E3176">
      <w:trPr>
        <w:cantSplit/>
      </w:trPr>
      <w:tc>
        <w:tcPr>
          <w:tcW w:w="7312" w:type="dxa"/>
          <w:gridSpan w:val="2"/>
        </w:tcPr>
        <w:p w:rsidR="00EE3176" w:rsidRDefault="008417CF">
          <w:pPr>
            <w:pStyle w:val="HeaderActNameRight"/>
          </w:pPr>
          <w:fldSimple w:instr=" Styleref &quot;Name of Act/Reg&quot; ">
            <w:r w:rsidR="00C80D8F">
              <w:rPr>
                <w:noProof/>
              </w:rPr>
              <w:t>Anzac Day Act 1960</w:t>
            </w:r>
          </w:fldSimple>
        </w:p>
      </w:tc>
    </w:tr>
    <w:tr w:rsidR="00EE3176">
      <w:tc>
        <w:tcPr>
          <w:tcW w:w="5760" w:type="dxa"/>
        </w:tcPr>
        <w:p w:rsidR="00EE3176" w:rsidRDefault="00EE3176">
          <w:pPr>
            <w:pStyle w:val="HeaderTextRight"/>
          </w:pPr>
        </w:p>
      </w:tc>
      <w:tc>
        <w:tcPr>
          <w:tcW w:w="1552" w:type="dxa"/>
        </w:tcPr>
        <w:p w:rsidR="00EE3176" w:rsidRDefault="00EE3176">
          <w:pPr>
            <w:pStyle w:val="HeaderNumberRight"/>
          </w:pPr>
        </w:p>
      </w:tc>
    </w:tr>
    <w:tr w:rsidR="00EE3176">
      <w:tc>
        <w:tcPr>
          <w:tcW w:w="5760" w:type="dxa"/>
        </w:tcPr>
        <w:p w:rsidR="00EE3176" w:rsidRDefault="00EE3176">
          <w:pPr>
            <w:pStyle w:val="HeaderTextRight"/>
          </w:pPr>
        </w:p>
      </w:tc>
      <w:tc>
        <w:tcPr>
          <w:tcW w:w="1552" w:type="dxa"/>
        </w:tcPr>
        <w:p w:rsidR="00EE3176" w:rsidRDefault="00EE3176">
          <w:pPr>
            <w:pStyle w:val="HeaderNumberRight"/>
          </w:pPr>
        </w:p>
      </w:tc>
    </w:tr>
    <w:tr w:rsidR="00EE3176">
      <w:trPr>
        <w:cantSplit/>
      </w:trPr>
      <w:tc>
        <w:tcPr>
          <w:tcW w:w="7312" w:type="dxa"/>
          <w:gridSpan w:val="2"/>
        </w:tcPr>
        <w:p w:rsidR="00EE3176" w:rsidRDefault="00EE3176">
          <w:pPr>
            <w:pStyle w:val="HeaderSectionRight"/>
          </w:pPr>
        </w:p>
      </w:tc>
    </w:tr>
  </w:tbl>
  <w:p w:rsidR="00EE3176" w:rsidRDefault="00EE31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E3176">
      <w:trPr>
        <w:cantSplit/>
      </w:trPr>
      <w:tc>
        <w:tcPr>
          <w:tcW w:w="7312" w:type="dxa"/>
          <w:gridSpan w:val="2"/>
        </w:tcPr>
        <w:p w:rsidR="00EE3176" w:rsidRDefault="008417CF">
          <w:pPr>
            <w:pStyle w:val="HeaderActNameLeft"/>
          </w:pPr>
          <w:fldSimple w:instr=" Styleref &quot;Name of Act/Reg&quot; ">
            <w:r w:rsidR="00C80D8F">
              <w:rPr>
                <w:noProof/>
              </w:rPr>
              <w:t>Anzac Day Act 1960</w:t>
            </w:r>
          </w:fldSimple>
        </w:p>
      </w:tc>
    </w:tr>
    <w:tr w:rsidR="00EE3176">
      <w:tc>
        <w:tcPr>
          <w:tcW w:w="1305" w:type="dxa"/>
        </w:tcPr>
        <w:p w:rsidR="00EE3176" w:rsidRDefault="008417CF">
          <w:pPr>
            <w:pStyle w:val="HeaderNumberLeft"/>
          </w:pPr>
          <w:r>
            <w:fldChar w:fldCharType="begin"/>
          </w:r>
          <w:r>
            <w:instrText xml:space="preserve"> styleref CharPartNo </w:instrText>
          </w:r>
          <w:r>
            <w:fldChar w:fldCharType="end"/>
          </w:r>
        </w:p>
      </w:tc>
      <w:tc>
        <w:tcPr>
          <w:tcW w:w="6007" w:type="dxa"/>
        </w:tcPr>
        <w:p w:rsidR="00EE3176" w:rsidRDefault="008417CF">
          <w:pPr>
            <w:pStyle w:val="HeaderTextLeft"/>
          </w:pPr>
          <w:r>
            <w:fldChar w:fldCharType="begin"/>
          </w:r>
          <w:r>
            <w:instrText xml:space="preserve"> styleref CharPartText </w:instrText>
          </w:r>
          <w:r>
            <w:fldChar w:fldCharType="end"/>
          </w:r>
        </w:p>
      </w:tc>
    </w:tr>
    <w:tr w:rsidR="00EE3176">
      <w:tc>
        <w:tcPr>
          <w:tcW w:w="1305" w:type="dxa"/>
        </w:tcPr>
        <w:p w:rsidR="00EE3176" w:rsidRDefault="008417CF">
          <w:pPr>
            <w:pStyle w:val="HeaderNumberLeft"/>
          </w:pPr>
          <w:r>
            <w:fldChar w:fldCharType="begin"/>
          </w:r>
          <w:r>
            <w:instrText xml:space="preserve"> styleref CharDivNo </w:instrText>
          </w:r>
          <w:r>
            <w:fldChar w:fldCharType="end"/>
          </w:r>
        </w:p>
      </w:tc>
      <w:tc>
        <w:tcPr>
          <w:tcW w:w="6007" w:type="dxa"/>
        </w:tcPr>
        <w:p w:rsidR="00EE3176" w:rsidRDefault="008417CF">
          <w:pPr>
            <w:pStyle w:val="HeaderTextLeft"/>
          </w:pPr>
          <w:r>
            <w:fldChar w:fldCharType="begin"/>
          </w:r>
          <w:r>
            <w:instrText xml:space="preserve"> styleref CharDivText </w:instrText>
          </w:r>
          <w:r>
            <w:fldChar w:fldCharType="end"/>
          </w:r>
        </w:p>
      </w:tc>
    </w:tr>
    <w:tr w:rsidR="00EE3176">
      <w:trPr>
        <w:cantSplit/>
      </w:trPr>
      <w:tc>
        <w:tcPr>
          <w:tcW w:w="7312" w:type="dxa"/>
          <w:gridSpan w:val="2"/>
        </w:tcPr>
        <w:p w:rsidR="00EE3176" w:rsidRDefault="008417CF">
          <w:pPr>
            <w:pStyle w:val="HeaderSectionLeft"/>
          </w:pPr>
          <w:r>
            <w:t xml:space="preserve">s. </w:t>
          </w:r>
          <w:fldSimple w:instr=" styleref CharSectno ">
            <w:r w:rsidR="00C80D8F">
              <w:rPr>
                <w:noProof/>
              </w:rPr>
              <w:t>1</w:t>
            </w:r>
          </w:fldSimple>
        </w:p>
      </w:tc>
    </w:tr>
  </w:tbl>
  <w:p w:rsidR="00EE3176" w:rsidRDefault="00EE3176">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E3176">
      <w:trPr>
        <w:cantSplit/>
      </w:trPr>
      <w:tc>
        <w:tcPr>
          <w:tcW w:w="7312" w:type="dxa"/>
          <w:gridSpan w:val="2"/>
        </w:tcPr>
        <w:p w:rsidR="00EE3176" w:rsidRDefault="008417CF">
          <w:pPr>
            <w:pStyle w:val="HeaderActNameRight"/>
          </w:pPr>
          <w:fldSimple w:instr=" Styleref &quot;Name of Act/Reg&quot; ">
            <w:r w:rsidR="00C80D8F">
              <w:rPr>
                <w:noProof/>
              </w:rPr>
              <w:t>Anzac Day Act 1960</w:t>
            </w:r>
          </w:fldSimple>
        </w:p>
      </w:tc>
    </w:tr>
    <w:tr w:rsidR="00EE3176">
      <w:tc>
        <w:tcPr>
          <w:tcW w:w="5985" w:type="dxa"/>
        </w:tcPr>
        <w:p w:rsidR="00EE3176" w:rsidRDefault="008417CF">
          <w:pPr>
            <w:pStyle w:val="HeaderTextRight"/>
          </w:pPr>
          <w:r>
            <w:fldChar w:fldCharType="begin"/>
          </w:r>
          <w:r>
            <w:instrText xml:space="preserve"> styleref CharPartText </w:instrText>
          </w:r>
          <w:r>
            <w:fldChar w:fldCharType="end"/>
          </w:r>
        </w:p>
      </w:tc>
      <w:tc>
        <w:tcPr>
          <w:tcW w:w="1327" w:type="dxa"/>
        </w:tcPr>
        <w:p w:rsidR="00EE3176" w:rsidRDefault="008417CF">
          <w:pPr>
            <w:pStyle w:val="HeaderNumberRight"/>
          </w:pPr>
          <w:r>
            <w:fldChar w:fldCharType="begin"/>
          </w:r>
          <w:r>
            <w:instrText xml:space="preserve"> styleref CharPartNo </w:instrText>
          </w:r>
          <w:r>
            <w:fldChar w:fldCharType="end"/>
          </w:r>
        </w:p>
      </w:tc>
    </w:tr>
    <w:tr w:rsidR="00EE3176">
      <w:tc>
        <w:tcPr>
          <w:tcW w:w="5985" w:type="dxa"/>
        </w:tcPr>
        <w:p w:rsidR="00EE3176" w:rsidRDefault="008417CF">
          <w:pPr>
            <w:pStyle w:val="HeaderTextRight"/>
          </w:pPr>
          <w:r>
            <w:fldChar w:fldCharType="begin"/>
          </w:r>
          <w:r>
            <w:instrText xml:space="preserve"> styleref CharDivText </w:instrText>
          </w:r>
          <w:r>
            <w:fldChar w:fldCharType="end"/>
          </w:r>
        </w:p>
      </w:tc>
      <w:tc>
        <w:tcPr>
          <w:tcW w:w="1327" w:type="dxa"/>
        </w:tcPr>
        <w:p w:rsidR="00EE3176" w:rsidRDefault="008417CF">
          <w:pPr>
            <w:pStyle w:val="HeaderNumberRight"/>
          </w:pPr>
          <w:r>
            <w:fldChar w:fldCharType="begin"/>
          </w:r>
          <w:r>
            <w:instrText xml:space="preserve"> styleref CharDivNo </w:instrText>
          </w:r>
          <w:r>
            <w:fldChar w:fldCharType="end"/>
          </w:r>
        </w:p>
      </w:tc>
    </w:tr>
    <w:tr w:rsidR="00EE3176">
      <w:trPr>
        <w:cantSplit/>
      </w:trPr>
      <w:tc>
        <w:tcPr>
          <w:tcW w:w="7312" w:type="dxa"/>
          <w:gridSpan w:val="2"/>
        </w:tcPr>
        <w:p w:rsidR="00EE3176" w:rsidRDefault="008417CF">
          <w:pPr>
            <w:pStyle w:val="HeaderSectionRight"/>
          </w:pPr>
          <w:r>
            <w:t xml:space="preserve">s. </w:t>
          </w:r>
          <w:fldSimple w:instr=" styleref CharSectno ">
            <w:r w:rsidR="00C80D8F">
              <w:rPr>
                <w:noProof/>
              </w:rPr>
              <w:t>1</w:t>
            </w:r>
          </w:fldSimple>
        </w:p>
      </w:tc>
    </w:tr>
  </w:tbl>
  <w:p w:rsidR="00EE3176" w:rsidRDefault="00EE31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3176">
      <w:trPr>
        <w:cantSplit/>
      </w:trPr>
      <w:tc>
        <w:tcPr>
          <w:tcW w:w="7312" w:type="dxa"/>
          <w:gridSpan w:val="2"/>
        </w:tcPr>
        <w:p w:rsidR="00EE3176" w:rsidRDefault="008417CF">
          <w:pPr>
            <w:pStyle w:val="HeaderActNameLeft"/>
          </w:pPr>
          <w:fldSimple w:instr=" Styleref &quot;Name of Act/Reg&quot; ">
            <w:r w:rsidR="00C80D8F">
              <w:rPr>
                <w:noProof/>
              </w:rPr>
              <w:t>Anzac Day Act 1960</w:t>
            </w:r>
          </w:fldSimple>
        </w:p>
      </w:tc>
    </w:tr>
    <w:tr w:rsidR="00EE3176">
      <w:tc>
        <w:tcPr>
          <w:tcW w:w="1548" w:type="dxa"/>
        </w:tcPr>
        <w:p w:rsidR="00EE3176" w:rsidRDefault="00EE3176">
          <w:pPr>
            <w:pStyle w:val="HeaderNumberLeft"/>
          </w:pPr>
        </w:p>
      </w:tc>
      <w:tc>
        <w:tcPr>
          <w:tcW w:w="5764" w:type="dxa"/>
        </w:tcPr>
        <w:p w:rsidR="00EE3176" w:rsidRDefault="00EE3176">
          <w:pPr>
            <w:pStyle w:val="HeaderTextLeft"/>
          </w:pPr>
        </w:p>
      </w:tc>
    </w:tr>
    <w:tr w:rsidR="00EE3176">
      <w:tc>
        <w:tcPr>
          <w:tcW w:w="1548" w:type="dxa"/>
        </w:tcPr>
        <w:p w:rsidR="00EE3176" w:rsidRDefault="00EE3176">
          <w:pPr>
            <w:pStyle w:val="HeaderNumberLeft"/>
          </w:pPr>
        </w:p>
      </w:tc>
      <w:tc>
        <w:tcPr>
          <w:tcW w:w="5764" w:type="dxa"/>
        </w:tcPr>
        <w:p w:rsidR="00EE3176" w:rsidRDefault="00EE3176">
          <w:pPr>
            <w:pStyle w:val="HeaderTextLeft"/>
          </w:pPr>
        </w:p>
      </w:tc>
    </w:tr>
    <w:tr w:rsidR="00EE3176">
      <w:trPr>
        <w:cantSplit/>
      </w:trPr>
      <w:tc>
        <w:tcPr>
          <w:tcW w:w="7312" w:type="dxa"/>
          <w:gridSpan w:val="2"/>
        </w:tcPr>
        <w:p w:rsidR="00EE3176" w:rsidRDefault="00EE3176">
          <w:pPr>
            <w:pStyle w:val="HeaderSectionLeft"/>
          </w:pPr>
        </w:p>
      </w:tc>
    </w:tr>
  </w:tbl>
  <w:p w:rsidR="00EE3176" w:rsidRDefault="00EE31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E3176">
      <w:trPr>
        <w:cantSplit/>
      </w:trPr>
      <w:tc>
        <w:tcPr>
          <w:tcW w:w="7312" w:type="dxa"/>
          <w:gridSpan w:val="2"/>
        </w:tcPr>
        <w:p w:rsidR="00EE3176" w:rsidRDefault="008417CF">
          <w:pPr>
            <w:pStyle w:val="HeaderActNameRight"/>
          </w:pPr>
          <w:fldSimple w:instr=" Styleref &quot;Name of Act/Reg&quot; ">
            <w:r w:rsidR="00C80D8F">
              <w:rPr>
                <w:noProof/>
              </w:rPr>
              <w:t>Anzac Day Act 1960</w:t>
            </w:r>
          </w:fldSimple>
        </w:p>
      </w:tc>
    </w:tr>
    <w:tr w:rsidR="00EE3176">
      <w:tc>
        <w:tcPr>
          <w:tcW w:w="5760" w:type="dxa"/>
        </w:tcPr>
        <w:p w:rsidR="00EE3176" w:rsidRDefault="00EE3176">
          <w:pPr>
            <w:pStyle w:val="HeaderTextRight"/>
          </w:pPr>
        </w:p>
      </w:tc>
      <w:tc>
        <w:tcPr>
          <w:tcW w:w="1552" w:type="dxa"/>
        </w:tcPr>
        <w:p w:rsidR="00EE3176" w:rsidRDefault="00EE3176">
          <w:pPr>
            <w:pStyle w:val="HeaderNumberRight"/>
          </w:pPr>
        </w:p>
      </w:tc>
    </w:tr>
    <w:tr w:rsidR="00EE3176">
      <w:tc>
        <w:tcPr>
          <w:tcW w:w="5760" w:type="dxa"/>
        </w:tcPr>
        <w:p w:rsidR="00EE3176" w:rsidRDefault="00EE3176">
          <w:pPr>
            <w:pStyle w:val="HeaderTextRight"/>
          </w:pPr>
        </w:p>
      </w:tc>
      <w:tc>
        <w:tcPr>
          <w:tcW w:w="1552" w:type="dxa"/>
        </w:tcPr>
        <w:p w:rsidR="00EE3176" w:rsidRDefault="00EE3176">
          <w:pPr>
            <w:pStyle w:val="HeaderNumberRight"/>
          </w:pPr>
        </w:p>
      </w:tc>
    </w:tr>
    <w:tr w:rsidR="00EE3176">
      <w:trPr>
        <w:cantSplit/>
      </w:trPr>
      <w:tc>
        <w:tcPr>
          <w:tcW w:w="7312" w:type="dxa"/>
          <w:gridSpan w:val="2"/>
        </w:tcPr>
        <w:p w:rsidR="00EE3176" w:rsidRDefault="00EE3176">
          <w:pPr>
            <w:pStyle w:val="HeaderSectionRight"/>
          </w:pPr>
        </w:p>
      </w:tc>
    </w:tr>
  </w:tbl>
  <w:p w:rsidR="00EE3176" w:rsidRDefault="00EE317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EE31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8417CF">
    <w:pPr>
      <w:pStyle w:val="headerpartodd"/>
      <w:ind w:left="0" w:firstLine="0"/>
      <w:rPr>
        <w:i/>
      </w:rPr>
    </w:pPr>
    <w:r>
      <w:rPr>
        <w:i/>
      </w:rPr>
      <w:fldChar w:fldCharType="begin"/>
    </w:r>
    <w:r>
      <w:rPr>
        <w:i/>
      </w:rPr>
      <w:instrText xml:space="preserve"> Styleref "Name of Act/Reg" </w:instrText>
    </w:r>
    <w:r>
      <w:rPr>
        <w:i/>
      </w:rPr>
      <w:fldChar w:fldCharType="separate"/>
    </w:r>
    <w:r w:rsidR="00C80D8F">
      <w:rPr>
        <w:i/>
        <w:noProof/>
      </w:rPr>
      <w:t>Anzac Day Act 1960</w:t>
    </w:r>
    <w:r>
      <w:rPr>
        <w:i/>
      </w:rPr>
      <w:fldChar w:fldCharType="end"/>
    </w:r>
  </w:p>
  <w:p w:rsidR="00EE3176" w:rsidRDefault="00EE3176">
    <w:pPr>
      <w:pStyle w:val="headerpartodd"/>
      <w:ind w:left="0" w:firstLine="0"/>
      <w:rPr>
        <w:b w:val="0"/>
        <w:i/>
      </w:rPr>
    </w:pPr>
  </w:p>
  <w:p w:rsidR="00EE3176" w:rsidRDefault="00EE3176">
    <w:pPr>
      <w:pStyle w:val="headerpart"/>
    </w:pPr>
  </w:p>
  <w:p w:rsidR="00EE3176" w:rsidRDefault="00EE3176">
    <w:pPr>
      <w:pStyle w:val="headerpart"/>
    </w:pPr>
  </w:p>
  <w:p w:rsidR="00EE3176" w:rsidRDefault="00EE3176">
    <w:pPr>
      <w:pBdr>
        <w:bottom w:val="single" w:sz="6" w:space="1" w:color="auto"/>
      </w:pBdr>
      <w:rPr>
        <w:b/>
      </w:rPr>
    </w:pPr>
  </w:p>
  <w:p w:rsidR="00EE3176" w:rsidRDefault="00EE317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176" w:rsidRDefault="008417CF">
    <w:pPr>
      <w:pStyle w:val="headerpartodd"/>
      <w:ind w:left="0" w:firstLine="0"/>
      <w:jc w:val="right"/>
      <w:rPr>
        <w:i/>
      </w:rPr>
    </w:pPr>
    <w:r>
      <w:rPr>
        <w:i/>
      </w:rPr>
      <w:fldChar w:fldCharType="begin"/>
    </w:r>
    <w:r>
      <w:rPr>
        <w:i/>
      </w:rPr>
      <w:instrText xml:space="preserve"> Styleref "Name of Act/Reg" </w:instrText>
    </w:r>
    <w:r>
      <w:rPr>
        <w:i/>
      </w:rPr>
      <w:fldChar w:fldCharType="separate"/>
    </w:r>
    <w:r w:rsidR="00C80D8F">
      <w:rPr>
        <w:i/>
        <w:noProof/>
      </w:rPr>
      <w:t>Anzac Day Act 1960</w:t>
    </w:r>
    <w:r>
      <w:rPr>
        <w:i/>
      </w:rPr>
      <w:fldChar w:fldCharType="end"/>
    </w:r>
  </w:p>
  <w:p w:rsidR="00EE3176" w:rsidRDefault="00EE3176">
    <w:pPr>
      <w:pStyle w:val="headerpartodd"/>
      <w:ind w:left="0" w:firstLine="0"/>
      <w:jc w:val="right"/>
      <w:rPr>
        <w:b w:val="0"/>
        <w:i/>
      </w:rPr>
    </w:pPr>
  </w:p>
  <w:p w:rsidR="00EE3176" w:rsidRDefault="00EE3176">
    <w:pPr>
      <w:pStyle w:val="headerpart"/>
      <w:jc w:val="right"/>
    </w:pPr>
  </w:p>
  <w:p w:rsidR="00EE3176" w:rsidRDefault="00EE3176">
    <w:pPr>
      <w:pStyle w:val="headerpart"/>
      <w:jc w:val="right"/>
    </w:pPr>
  </w:p>
  <w:p w:rsidR="00EE3176" w:rsidRDefault="00EE3176">
    <w:pPr>
      <w:pBdr>
        <w:bottom w:val="single" w:sz="6" w:space="1" w:color="auto"/>
      </w:pBdr>
      <w:jc w:val="right"/>
      <w:rPr>
        <w:b/>
      </w:rPr>
    </w:pPr>
  </w:p>
  <w:p w:rsidR="00EE3176" w:rsidRDefault="00EE31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A41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2881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1A61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B4A2A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5010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52ED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32F42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DC98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18E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07AC8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18A2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910AB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7CF"/>
    <w:rsid w:val="005B30C7"/>
    <w:rsid w:val="008417CF"/>
    <w:rsid w:val="00892917"/>
    <w:rsid w:val="00C80D8F"/>
    <w:rsid w:val="00EE31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3873</Words>
  <Characters>17354</Characters>
  <Application>Microsoft Office Word</Application>
  <DocSecurity>0</DocSecurity>
  <Lines>510</Lines>
  <Paragraphs>255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1960 - 02-e0-02</dc:title>
  <dc:subject/>
  <dc:creator>svcMRProcess</dc:creator>
  <cp:keywords/>
  <cp:lastModifiedBy>svcMRProcess</cp:lastModifiedBy>
  <cp:revision>4</cp:revision>
  <cp:lastPrinted>2002-05-30T07:00:00Z</cp:lastPrinted>
  <dcterms:created xsi:type="dcterms:W3CDTF">2013-02-13T11:08:00Z</dcterms:created>
  <dcterms:modified xsi:type="dcterms:W3CDTF">2013-02-13T11:08:00Z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49</vt:i4>
  </property>
  <property fmtid="{D5CDD505-2E9C-101B-9397-08002B2CF9AE}" pid="6" name="AsAtDate">
    <vt:lpwstr>09 Apr 2006</vt:lpwstr>
  </property>
  <property fmtid="{D5CDD505-2E9C-101B-9397-08002B2CF9AE}" pid="7" name="Suffix">
    <vt:lpwstr>02-e0-02</vt:lpwstr>
  </property>
</Properties>
</file>